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DE" w:rsidRDefault="00BD6CDE" w:rsidP="00BD6CD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AF4265">
        <w:rPr>
          <w:rFonts w:ascii="Palatino Linotype" w:hAnsi="Palatino Linotype"/>
          <w:b/>
          <w:sz w:val="24"/>
          <w:szCs w:val="24"/>
        </w:rPr>
        <w:t>RAPORT ESPI</w:t>
      </w:r>
    </w:p>
    <w:p w:rsidR="00BD6CDE" w:rsidRDefault="00BD6CDE" w:rsidP="00BD6CDE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Raport publikowany w Kancelarii „Publicznej” po walnym zgromadzeniu. </w:t>
      </w:r>
    </w:p>
    <w:p w:rsidR="00BD6CDE" w:rsidRPr="00AF4265" w:rsidRDefault="00BD6CDE" w:rsidP="00BD6CDE">
      <w:pPr>
        <w:spacing w:after="0"/>
        <w:rPr>
          <w:rFonts w:ascii="Palatino Linotype" w:hAnsi="Palatino Linotype"/>
          <w:sz w:val="24"/>
          <w:szCs w:val="24"/>
        </w:rPr>
      </w:pPr>
    </w:p>
    <w:p w:rsidR="00BD6CDE" w:rsidRPr="00AF4265" w:rsidRDefault="00BD6CDE" w:rsidP="00BD6CDE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highlight w:val="yellow"/>
        </w:rPr>
        <w:t>TEMAT</w:t>
      </w:r>
      <w:r w:rsidRPr="00AF4265">
        <w:rPr>
          <w:rFonts w:ascii="Palatino Linotype" w:hAnsi="Palatino Linotype"/>
          <w:b/>
          <w:sz w:val="24"/>
          <w:szCs w:val="24"/>
          <w:highlight w:val="yellow"/>
        </w:rPr>
        <w:t>:</w:t>
      </w:r>
    </w:p>
    <w:p w:rsidR="00BD6CDE" w:rsidRDefault="00BD6CDE" w:rsidP="00ED1414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AF4265">
        <w:rPr>
          <w:rFonts w:ascii="Palatino Linotype" w:eastAsia="Times New Roman" w:hAnsi="Palatino Linotype" w:cs="Times New Roman"/>
          <w:sz w:val="24"/>
          <w:szCs w:val="24"/>
        </w:rPr>
        <w:t>Lista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 akcjonariuszy posiadających co najmniej 5% głosów na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Nadz</w:t>
      </w:r>
      <w:r w:rsidRPr="00AF4265">
        <w:rPr>
          <w:rFonts w:ascii="Palatino Linotype" w:eastAsia="Times New Roman" w:hAnsi="Palatino Linotype" w:cs="Times New Roman"/>
          <w:sz w:val="24"/>
          <w:szCs w:val="24"/>
        </w:rPr>
        <w:t xml:space="preserve">wyczajnym 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Walnym Zgromadzeniu Spółki w dniu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31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lipca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 201</w:t>
      </w:r>
      <w:r w:rsidR="00ED1414">
        <w:rPr>
          <w:rFonts w:ascii="Palatino Linotype" w:eastAsia="Times New Roman" w:hAnsi="Palatino Linotype" w:cs="Times New Roman"/>
          <w:sz w:val="24"/>
          <w:szCs w:val="24"/>
        </w:rPr>
        <w:t>5 r.</w:t>
      </w:r>
    </w:p>
    <w:p w:rsidR="00ED1414" w:rsidRPr="00ED1414" w:rsidRDefault="00ED1414" w:rsidP="00ED1414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BD6CDE" w:rsidRPr="00AF4265" w:rsidRDefault="00BD6CDE" w:rsidP="00BD6CDE">
      <w:pPr>
        <w:spacing w:after="0"/>
        <w:rPr>
          <w:rFonts w:ascii="Palatino Linotype" w:hAnsi="Palatino Linotype"/>
          <w:b/>
          <w:sz w:val="24"/>
          <w:szCs w:val="24"/>
        </w:rPr>
      </w:pPr>
      <w:r w:rsidRPr="00AF4265">
        <w:rPr>
          <w:rFonts w:ascii="Palatino Linotype" w:hAnsi="Palatino Linotype"/>
          <w:b/>
          <w:sz w:val="24"/>
          <w:szCs w:val="24"/>
          <w:highlight w:val="yellow"/>
        </w:rPr>
        <w:t>Podstawa prawna:</w:t>
      </w:r>
      <w:r w:rsidRPr="00AF4265">
        <w:rPr>
          <w:rFonts w:ascii="Palatino Linotype" w:hAnsi="Palatino Linotype"/>
          <w:b/>
          <w:sz w:val="24"/>
          <w:szCs w:val="24"/>
        </w:rPr>
        <w:t xml:space="preserve"> </w:t>
      </w:r>
    </w:p>
    <w:p w:rsidR="00BD6CDE" w:rsidRPr="00AF4265" w:rsidRDefault="00BD6CDE" w:rsidP="00BD6CDE">
      <w:pPr>
        <w:spacing w:after="0"/>
        <w:rPr>
          <w:rFonts w:ascii="Palatino Linotype" w:hAnsi="Palatino Linotype"/>
          <w:sz w:val="24"/>
          <w:szCs w:val="24"/>
        </w:rPr>
      </w:pPr>
      <w:r w:rsidRPr="00AF4265">
        <w:rPr>
          <w:rFonts w:ascii="Palatino Linotype" w:hAnsi="Palatino Linotype"/>
          <w:sz w:val="24"/>
          <w:szCs w:val="24"/>
        </w:rPr>
        <w:t>Art. 70 pkt 3 Ustawy o ofercie  - WZ lista powyżej 5%</w:t>
      </w:r>
    </w:p>
    <w:p w:rsidR="00BD6CDE" w:rsidRDefault="00BD6CDE" w:rsidP="00BD6CDE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BD6CDE" w:rsidRPr="00AF4265" w:rsidRDefault="00BD6CDE" w:rsidP="00BD6CDE">
      <w:pPr>
        <w:spacing w:after="0"/>
        <w:rPr>
          <w:rFonts w:ascii="Palatino Linotype" w:hAnsi="Palatino Linotype"/>
          <w:b/>
          <w:sz w:val="24"/>
          <w:szCs w:val="24"/>
        </w:rPr>
      </w:pPr>
      <w:r w:rsidRPr="00AF4265">
        <w:rPr>
          <w:rFonts w:ascii="Palatino Linotype" w:hAnsi="Palatino Linotype"/>
          <w:b/>
          <w:sz w:val="24"/>
          <w:szCs w:val="24"/>
          <w:highlight w:val="yellow"/>
        </w:rPr>
        <w:t>TREŚĆ:</w:t>
      </w:r>
    </w:p>
    <w:p w:rsidR="00BD6CDE" w:rsidRDefault="00BD6CDE" w:rsidP="00D265AB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Zarząd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M10</w:t>
      </w:r>
      <w:r w:rsidR="00ED1414">
        <w:rPr>
          <w:rFonts w:ascii="Palatino Linotype" w:eastAsia="Times New Roman" w:hAnsi="Palatino Linotype" w:cs="Times New Roman"/>
          <w:sz w:val="24"/>
          <w:szCs w:val="24"/>
        </w:rPr>
        <w:t xml:space="preserve"> S.A.</w:t>
      </w:r>
      <w:r w:rsidR="0049017C">
        <w:rPr>
          <w:rFonts w:ascii="Palatino Linotype" w:eastAsia="Times New Roman" w:hAnsi="Palatino Linotype" w:cs="Times New Roman"/>
          <w:sz w:val="24"/>
          <w:szCs w:val="24"/>
        </w:rPr>
        <w:t>, w trakcie zmiany na GLG Pharma S.A.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(</w:t>
      </w:r>
      <w:r w:rsidR="00ED1414">
        <w:rPr>
          <w:rFonts w:ascii="Palatino Linotype" w:eastAsia="Times New Roman" w:hAnsi="Palatino Linotype" w:cs="Times New Roman"/>
          <w:sz w:val="24"/>
          <w:szCs w:val="24"/>
        </w:rPr>
        <w:t xml:space="preserve">dalej: </w:t>
      </w:r>
      <w:r>
        <w:rPr>
          <w:rFonts w:ascii="Palatino Linotype" w:eastAsia="Times New Roman" w:hAnsi="Palatino Linotype" w:cs="Times New Roman"/>
          <w:sz w:val="24"/>
          <w:szCs w:val="24"/>
        </w:rPr>
        <w:t>„Spółka”)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 przekazuje poniżej listę akcjonariuszy posiadających co najmniej 5% głosów na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Nadz</w:t>
      </w:r>
      <w:r>
        <w:rPr>
          <w:rFonts w:ascii="Palatino Linotype" w:eastAsia="Times New Roman" w:hAnsi="Palatino Linotype" w:cs="Times New Roman"/>
          <w:sz w:val="24"/>
          <w:szCs w:val="24"/>
        </w:rPr>
        <w:t>wyczajnym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 xml:space="preserve"> Walnym Zgromadzeniu Spółki w dniu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31 lipca</w:t>
      </w:r>
      <w:r w:rsidR="00ED1414">
        <w:rPr>
          <w:rFonts w:ascii="Palatino Linotype" w:eastAsia="Times New Roman" w:hAnsi="Palatino Linotype" w:cs="Times New Roman"/>
          <w:sz w:val="24"/>
          <w:szCs w:val="24"/>
        </w:rPr>
        <w:t xml:space="preserve"> 2015 r.</w:t>
      </w:r>
      <w:r w:rsidRPr="00E31CD0">
        <w:rPr>
          <w:rFonts w:ascii="Palatino Linotype" w:eastAsia="Times New Roman" w:hAnsi="Palatino Linotype" w:cs="Times New Roman"/>
          <w:sz w:val="24"/>
          <w:szCs w:val="24"/>
        </w:rPr>
        <w:t>:</w:t>
      </w:r>
    </w:p>
    <w:p w:rsidR="00BD6CDE" w:rsidRPr="00AF4265" w:rsidRDefault="00BD6CDE" w:rsidP="00BD6CDE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E31CD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AF4265">
        <w:rPr>
          <w:rFonts w:ascii="Palatino Linotype" w:eastAsia="Times New Roman" w:hAnsi="Palatino Linotype" w:cs="Times New Roman"/>
          <w:sz w:val="24"/>
          <w:szCs w:val="24"/>
        </w:rPr>
        <w:t xml:space="preserve">Nazwa akcjonariusza: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 xml:space="preserve">ASTORIA CAPITAL S.A. </w:t>
      </w:r>
    </w:p>
    <w:p w:rsidR="00BD6CDE" w:rsidRPr="00AF4265" w:rsidRDefault="00BD6CDE" w:rsidP="00BD6CDE">
      <w:pPr>
        <w:spacing w:after="0"/>
        <w:rPr>
          <w:rFonts w:ascii="Palatino Linotype" w:eastAsia="Times New Roman" w:hAnsi="Palatino Linotype" w:cs="Times New Roman"/>
          <w:sz w:val="24"/>
          <w:szCs w:val="24"/>
        </w:rPr>
      </w:pPr>
      <w:r w:rsidRPr="00AF4265">
        <w:rPr>
          <w:rFonts w:ascii="Palatino Linotype" w:eastAsia="Times New Roman" w:hAnsi="Palatino Linotype" w:cs="Times New Roman"/>
          <w:sz w:val="24"/>
          <w:szCs w:val="24"/>
        </w:rPr>
        <w:t xml:space="preserve">Liczba </w:t>
      </w:r>
      <w:r>
        <w:rPr>
          <w:rFonts w:ascii="Palatino Linotype" w:eastAsia="Times New Roman" w:hAnsi="Palatino Linotype" w:cs="Times New Roman"/>
          <w:sz w:val="24"/>
          <w:szCs w:val="24"/>
        </w:rPr>
        <w:t>zarejestrowanych</w:t>
      </w:r>
      <w:r w:rsidRPr="00AF4265">
        <w:rPr>
          <w:rFonts w:ascii="Palatino Linotype" w:eastAsia="Times New Roman" w:hAnsi="Palatino Linotype" w:cs="Times New Roman"/>
          <w:sz w:val="24"/>
          <w:szCs w:val="24"/>
        </w:rPr>
        <w:t xml:space="preserve"> akcji: 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6.888.400</w:t>
      </w:r>
    </w:p>
    <w:p w:rsidR="00BD6CDE" w:rsidRPr="00AF4265" w:rsidRDefault="00BD6CDE" w:rsidP="00BD6CDE">
      <w:pPr>
        <w:spacing w:after="0"/>
        <w:rPr>
          <w:rFonts w:ascii="Palatino Linotype" w:eastAsia="Times New Roman" w:hAnsi="Palatino Linotype" w:cs="Times New Roman"/>
          <w:sz w:val="24"/>
          <w:szCs w:val="24"/>
        </w:rPr>
      </w:pPr>
      <w:r w:rsidRPr="00AF4265">
        <w:rPr>
          <w:rFonts w:ascii="Palatino Linotype" w:eastAsia="Times New Roman" w:hAnsi="Palatino Linotype" w:cs="Times New Roman"/>
          <w:sz w:val="24"/>
          <w:szCs w:val="24"/>
        </w:rPr>
        <w:t>Liczba głosów z akcji:</w:t>
      </w:r>
      <w:r w:rsidRPr="00AF4265">
        <w:rPr>
          <w:rFonts w:ascii="Palatino Linotype" w:hAnsi="Palatino Linotype" w:cs="Calibri"/>
          <w:sz w:val="24"/>
          <w:szCs w:val="24"/>
        </w:rPr>
        <w:t xml:space="preserve"> </w:t>
      </w:r>
      <w:r w:rsidR="00ED1414">
        <w:rPr>
          <w:rFonts w:ascii="Palatino Linotype" w:eastAsia="Times New Roman" w:hAnsi="Palatino Linotype" w:cs="Times New Roman"/>
          <w:sz w:val="24"/>
          <w:szCs w:val="24"/>
        </w:rPr>
        <w:t>6</w:t>
      </w:r>
      <w:r w:rsidR="00415D61">
        <w:rPr>
          <w:rFonts w:ascii="Palatino Linotype" w:eastAsia="Times New Roman" w:hAnsi="Palatino Linotype" w:cs="Times New Roman"/>
          <w:sz w:val="24"/>
          <w:szCs w:val="24"/>
        </w:rPr>
        <w:t>.888.400</w:t>
      </w:r>
    </w:p>
    <w:p w:rsidR="00BD6CDE" w:rsidRPr="00AF4265" w:rsidRDefault="00BD6CDE" w:rsidP="00BD6CDE">
      <w:pPr>
        <w:spacing w:after="0"/>
        <w:rPr>
          <w:rFonts w:ascii="Palatino Linotype" w:eastAsia="Times New Roman" w:hAnsi="Palatino Linotype" w:cs="Times New Roman"/>
          <w:sz w:val="24"/>
          <w:szCs w:val="24"/>
        </w:rPr>
      </w:pPr>
      <w:r w:rsidRPr="00AF4265">
        <w:rPr>
          <w:rFonts w:ascii="Palatino Linotype" w:eastAsia="Times New Roman" w:hAnsi="Palatino Linotype" w:cs="Times New Roman"/>
          <w:sz w:val="24"/>
          <w:szCs w:val="24"/>
        </w:rPr>
        <w:t>Udział w głosach na WZ: 100%</w:t>
      </w:r>
    </w:p>
    <w:p w:rsidR="00BD6CDE" w:rsidRPr="00AF4265" w:rsidRDefault="00BD6CDE" w:rsidP="00BD6CDE">
      <w:pPr>
        <w:spacing w:after="0"/>
        <w:rPr>
          <w:rFonts w:ascii="Palatino Linotype" w:eastAsia="Times New Roman" w:hAnsi="Palatino Linotype" w:cs="Times New Roman"/>
          <w:sz w:val="24"/>
          <w:szCs w:val="24"/>
        </w:rPr>
      </w:pPr>
      <w:r w:rsidRPr="00AF4265">
        <w:rPr>
          <w:rFonts w:ascii="Palatino Linotype" w:eastAsia="Times New Roman" w:hAnsi="Palatino Linotype" w:cs="Times New Roman"/>
          <w:sz w:val="24"/>
          <w:szCs w:val="24"/>
        </w:rPr>
        <w:t>Udział w ogólnej liczbie głosów:</w:t>
      </w:r>
      <w:r w:rsidR="005212AC">
        <w:rPr>
          <w:rFonts w:ascii="Palatino Linotype" w:eastAsia="Times New Roman" w:hAnsi="Palatino Linotype" w:cs="Times New Roman"/>
          <w:sz w:val="24"/>
          <w:szCs w:val="24"/>
        </w:rPr>
        <w:t xml:space="preserve"> 38,27</w:t>
      </w:r>
      <w:r>
        <w:rPr>
          <w:rFonts w:ascii="Palatino Linotype" w:eastAsia="Times New Roman" w:hAnsi="Palatino Linotype" w:cs="Times New Roman"/>
          <w:sz w:val="24"/>
          <w:szCs w:val="24"/>
        </w:rPr>
        <w:t>%</w:t>
      </w:r>
    </w:p>
    <w:p w:rsidR="00BD6CDE" w:rsidRPr="00AF4265" w:rsidRDefault="00BD6CDE" w:rsidP="00BD6CDE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BD6CDE" w:rsidRPr="00AF4265" w:rsidRDefault="00BD6CDE" w:rsidP="00BD6CDE">
      <w:pPr>
        <w:spacing w:after="0"/>
        <w:rPr>
          <w:rFonts w:ascii="Palatino Linotype" w:hAnsi="Palatino Linotype"/>
          <w:sz w:val="24"/>
          <w:szCs w:val="24"/>
        </w:rPr>
      </w:pPr>
    </w:p>
    <w:p w:rsidR="00BD6CDE" w:rsidRPr="00AF4265" w:rsidRDefault="00BD6CDE" w:rsidP="00BD6CDE">
      <w:pPr>
        <w:rPr>
          <w:rFonts w:ascii="Palatino Linotype" w:hAnsi="Palatino Linotype"/>
          <w:sz w:val="24"/>
          <w:szCs w:val="24"/>
        </w:rPr>
      </w:pPr>
    </w:p>
    <w:p w:rsidR="008D3B8C" w:rsidRDefault="008D3B8C"/>
    <w:sectPr w:rsidR="008D3B8C" w:rsidSect="0051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90"/>
    <w:rsid w:val="00061EC5"/>
    <w:rsid w:val="001C2490"/>
    <w:rsid w:val="00415D61"/>
    <w:rsid w:val="0042039C"/>
    <w:rsid w:val="0049017C"/>
    <w:rsid w:val="005212AC"/>
    <w:rsid w:val="006E672E"/>
    <w:rsid w:val="007B287C"/>
    <w:rsid w:val="008D3B8C"/>
    <w:rsid w:val="00BD6CDE"/>
    <w:rsid w:val="00C85207"/>
    <w:rsid w:val="00D265AB"/>
    <w:rsid w:val="00E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C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C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Programista</cp:lastModifiedBy>
  <cp:revision>2</cp:revision>
  <dcterms:created xsi:type="dcterms:W3CDTF">2015-08-03T17:43:00Z</dcterms:created>
  <dcterms:modified xsi:type="dcterms:W3CDTF">2015-08-03T17:43:00Z</dcterms:modified>
</cp:coreProperties>
</file>