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9D0FC" w14:textId="77777777" w:rsidR="00DD0AA7" w:rsidRDefault="00DD0AA7" w:rsidP="00DD0AA7">
      <w:pPr>
        <w:jc w:val="center"/>
        <w:rPr>
          <w:rFonts w:ascii="Calibri" w:hAnsi="Calibri" w:cs="Arial"/>
          <w:b/>
          <w:sz w:val="40"/>
          <w:szCs w:val="40"/>
        </w:rPr>
      </w:pPr>
    </w:p>
    <w:p w14:paraId="05A316E9" w14:textId="77777777" w:rsidR="00F67FFC" w:rsidRPr="00E5671C" w:rsidRDefault="00F67FFC" w:rsidP="00DD0AA7">
      <w:pPr>
        <w:jc w:val="center"/>
        <w:rPr>
          <w:rFonts w:ascii="Calibri" w:hAnsi="Calibri" w:cs="Arial"/>
          <w:b/>
          <w:sz w:val="40"/>
          <w:szCs w:val="40"/>
        </w:rPr>
      </w:pPr>
    </w:p>
    <w:p w14:paraId="5CB2A76F" w14:textId="77777777" w:rsidR="00DD0AA7" w:rsidRPr="00E5671C" w:rsidRDefault="00DD0AA7" w:rsidP="00DD0AA7">
      <w:pPr>
        <w:jc w:val="center"/>
        <w:rPr>
          <w:rFonts w:ascii="Calibri" w:hAnsi="Calibri" w:cs="Arial"/>
          <w:b/>
          <w:sz w:val="40"/>
          <w:szCs w:val="40"/>
        </w:rPr>
      </w:pPr>
    </w:p>
    <w:p w14:paraId="4CCE2F68" w14:textId="77777777" w:rsidR="00DD0AA7" w:rsidRPr="00E5671C" w:rsidRDefault="00DD0AA7" w:rsidP="00DD0AA7">
      <w:pPr>
        <w:jc w:val="center"/>
        <w:rPr>
          <w:rFonts w:ascii="Calibri" w:hAnsi="Calibri" w:cs="Arial"/>
          <w:b/>
          <w:sz w:val="40"/>
          <w:szCs w:val="40"/>
        </w:rPr>
      </w:pPr>
    </w:p>
    <w:p w14:paraId="1CFD79B5" w14:textId="77777777" w:rsidR="00DD0AA7" w:rsidRPr="00183773" w:rsidRDefault="00AC3E02" w:rsidP="00DD0AA7">
      <w:pPr>
        <w:jc w:val="center"/>
        <w:rPr>
          <w:rFonts w:ascii="Calibri" w:hAnsi="Calibri" w:cs="Arial"/>
          <w:b/>
          <w:sz w:val="40"/>
          <w:szCs w:val="40"/>
          <w:highlight w:val="green"/>
        </w:rPr>
      </w:pPr>
      <w:r w:rsidRPr="00183773">
        <w:rPr>
          <w:rFonts w:ascii="Calibri" w:hAnsi="Calibri" w:cs="Arial"/>
          <w:b/>
          <w:noProof/>
          <w:color w:val="FF0000"/>
          <w:spacing w:val="30"/>
          <w:sz w:val="44"/>
          <w:szCs w:val="44"/>
          <w:highlight w:val="green"/>
        </w:rPr>
        <w:drawing>
          <wp:anchor distT="0" distB="0" distL="114300" distR="114300" simplePos="0" relativeHeight="251658240" behindDoc="0" locked="0" layoutInCell="1" allowOverlap="1" wp14:anchorId="6A84FAE9" wp14:editId="0A9AAC11">
            <wp:simplePos x="0" y="0"/>
            <wp:positionH relativeFrom="column">
              <wp:posOffset>4445</wp:posOffset>
            </wp:positionH>
            <wp:positionV relativeFrom="paragraph">
              <wp:posOffset>2540</wp:posOffset>
            </wp:positionV>
            <wp:extent cx="5759450" cy="2068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068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332CED3" w14:textId="77777777" w:rsidR="00DD0AA7" w:rsidRPr="00183773" w:rsidRDefault="00DD0AA7" w:rsidP="00DD0AA7">
      <w:pPr>
        <w:jc w:val="center"/>
        <w:rPr>
          <w:rFonts w:ascii="Calibri" w:hAnsi="Calibri" w:cs="Arial"/>
          <w:b/>
          <w:sz w:val="40"/>
          <w:szCs w:val="40"/>
          <w:highlight w:val="green"/>
        </w:rPr>
      </w:pPr>
    </w:p>
    <w:p w14:paraId="0F3545BA" w14:textId="77777777" w:rsidR="004F5CE2" w:rsidRPr="00183773" w:rsidRDefault="004F5CE2" w:rsidP="00DD0AA7">
      <w:pPr>
        <w:jc w:val="center"/>
        <w:rPr>
          <w:rFonts w:ascii="Calibri" w:hAnsi="Calibri" w:cs="Arial"/>
          <w:b/>
          <w:sz w:val="40"/>
          <w:szCs w:val="40"/>
          <w:highlight w:val="green"/>
        </w:rPr>
      </w:pPr>
    </w:p>
    <w:p w14:paraId="09C0B894" w14:textId="77777777" w:rsidR="004F5CE2" w:rsidRPr="00183773" w:rsidRDefault="004F5CE2" w:rsidP="00DD0AA7">
      <w:pPr>
        <w:jc w:val="center"/>
        <w:rPr>
          <w:rFonts w:ascii="Calibri" w:hAnsi="Calibri" w:cs="Arial"/>
          <w:b/>
          <w:sz w:val="40"/>
          <w:szCs w:val="40"/>
          <w:highlight w:val="green"/>
        </w:rPr>
      </w:pPr>
    </w:p>
    <w:p w14:paraId="4175CE99" w14:textId="77777777" w:rsidR="00F67FFC" w:rsidRPr="00183773" w:rsidRDefault="00F67FFC" w:rsidP="00DD0AA7">
      <w:pPr>
        <w:jc w:val="center"/>
        <w:rPr>
          <w:rFonts w:ascii="Calibri" w:hAnsi="Calibri" w:cs="Arial"/>
          <w:b/>
          <w:sz w:val="40"/>
          <w:szCs w:val="40"/>
          <w:highlight w:val="green"/>
        </w:rPr>
      </w:pPr>
    </w:p>
    <w:p w14:paraId="5F838C56" w14:textId="77777777" w:rsidR="009E1ED4" w:rsidRPr="00F27BC8" w:rsidRDefault="009E1ED4" w:rsidP="009E1ED4">
      <w:pPr>
        <w:jc w:val="center"/>
        <w:rPr>
          <w:rFonts w:ascii="Calibri" w:hAnsi="Calibri" w:cs="Arial"/>
          <w:b/>
          <w:sz w:val="40"/>
          <w:szCs w:val="40"/>
        </w:rPr>
      </w:pPr>
      <w:r w:rsidRPr="00F27BC8">
        <w:rPr>
          <w:rFonts w:ascii="Calibri" w:hAnsi="Calibri" w:cs="Arial"/>
          <w:b/>
          <w:sz w:val="44"/>
          <w:szCs w:val="44"/>
        </w:rPr>
        <w:t xml:space="preserve">SKONSOLIDOWANE SPRAWOZDANIE </w:t>
      </w:r>
    </w:p>
    <w:p w14:paraId="54ABA764" w14:textId="77777777" w:rsidR="00DD0AA7" w:rsidRPr="00F27BC8" w:rsidRDefault="009E1ED4" w:rsidP="009E1ED4">
      <w:pPr>
        <w:jc w:val="center"/>
        <w:rPr>
          <w:rFonts w:ascii="Calibri" w:hAnsi="Calibri" w:cs="Arial"/>
          <w:b/>
          <w:sz w:val="44"/>
          <w:szCs w:val="44"/>
        </w:rPr>
      </w:pPr>
      <w:r w:rsidRPr="00F27BC8">
        <w:rPr>
          <w:rFonts w:ascii="Calibri" w:hAnsi="Calibri" w:cs="Arial"/>
          <w:b/>
          <w:sz w:val="44"/>
          <w:szCs w:val="44"/>
        </w:rPr>
        <w:t>Z DZIAŁALNOŚCI GRUPY KAPITAŁOWEJ</w:t>
      </w:r>
    </w:p>
    <w:p w14:paraId="58419399" w14:textId="77777777" w:rsidR="00022C36" w:rsidRPr="00F27BC8" w:rsidRDefault="00022C36" w:rsidP="00DA1302">
      <w:pPr>
        <w:jc w:val="center"/>
        <w:rPr>
          <w:rFonts w:ascii="Calibri" w:hAnsi="Calibri" w:cs="Arial"/>
          <w:b/>
          <w:sz w:val="44"/>
          <w:szCs w:val="44"/>
        </w:rPr>
      </w:pPr>
      <w:r w:rsidRPr="00F27BC8">
        <w:rPr>
          <w:rFonts w:ascii="Calibri" w:hAnsi="Calibri" w:cs="Arial"/>
          <w:b/>
          <w:sz w:val="44"/>
          <w:szCs w:val="44"/>
        </w:rPr>
        <w:t xml:space="preserve">ZA </w:t>
      </w:r>
      <w:r w:rsidR="00A0702F" w:rsidRPr="00F27BC8">
        <w:rPr>
          <w:rFonts w:ascii="Calibri" w:hAnsi="Calibri" w:cs="Arial"/>
          <w:b/>
          <w:sz w:val="44"/>
          <w:szCs w:val="44"/>
        </w:rPr>
        <w:t>PIERWSZE</w:t>
      </w:r>
      <w:r w:rsidRPr="00F27BC8">
        <w:rPr>
          <w:rFonts w:ascii="Calibri" w:hAnsi="Calibri" w:cs="Arial"/>
          <w:b/>
          <w:sz w:val="44"/>
          <w:szCs w:val="44"/>
        </w:rPr>
        <w:t xml:space="preserve"> PÓŁROCZE </w:t>
      </w:r>
      <w:r w:rsidR="00EC687F" w:rsidRPr="00F27BC8">
        <w:rPr>
          <w:rFonts w:ascii="Calibri" w:hAnsi="Calibri" w:cs="Arial"/>
          <w:b/>
          <w:sz w:val="44"/>
          <w:szCs w:val="44"/>
        </w:rPr>
        <w:t>201</w:t>
      </w:r>
      <w:r w:rsidR="00F27BC8">
        <w:rPr>
          <w:rFonts w:ascii="Calibri" w:hAnsi="Calibri" w:cs="Arial"/>
          <w:b/>
          <w:sz w:val="44"/>
          <w:szCs w:val="44"/>
        </w:rPr>
        <w:t>6</w:t>
      </w:r>
      <w:r w:rsidR="00E24AF1" w:rsidRPr="00F27BC8">
        <w:rPr>
          <w:rFonts w:ascii="Calibri" w:hAnsi="Calibri" w:cs="Arial"/>
          <w:b/>
          <w:sz w:val="44"/>
          <w:szCs w:val="44"/>
        </w:rPr>
        <w:t xml:space="preserve"> </w:t>
      </w:r>
      <w:r w:rsidRPr="00F27BC8">
        <w:rPr>
          <w:rFonts w:ascii="Calibri" w:hAnsi="Calibri" w:cs="Arial"/>
          <w:b/>
          <w:sz w:val="44"/>
          <w:szCs w:val="44"/>
        </w:rPr>
        <w:t>ROKU</w:t>
      </w:r>
    </w:p>
    <w:p w14:paraId="66C8407A" w14:textId="77777777" w:rsidR="00DD0AA7" w:rsidRPr="00183773" w:rsidRDefault="00DD0AA7" w:rsidP="00DD0AA7">
      <w:pPr>
        <w:jc w:val="center"/>
        <w:rPr>
          <w:rFonts w:ascii="Calibri" w:hAnsi="Calibri" w:cs="Arial"/>
          <w:b/>
          <w:sz w:val="44"/>
          <w:szCs w:val="44"/>
          <w:highlight w:val="green"/>
        </w:rPr>
      </w:pPr>
    </w:p>
    <w:p w14:paraId="2B5E77BE" w14:textId="77777777" w:rsidR="00DD0AA7" w:rsidRPr="00183773" w:rsidRDefault="00DD0AA7">
      <w:pPr>
        <w:rPr>
          <w:rFonts w:ascii="Calibri" w:hAnsi="Calibri"/>
          <w:highlight w:val="green"/>
        </w:rPr>
      </w:pPr>
    </w:p>
    <w:p w14:paraId="62246B52" w14:textId="77777777" w:rsidR="00530BE3" w:rsidRPr="00183773" w:rsidRDefault="00530BE3">
      <w:pPr>
        <w:rPr>
          <w:rFonts w:ascii="Calibri" w:hAnsi="Calibri"/>
          <w:highlight w:val="green"/>
        </w:rPr>
      </w:pPr>
    </w:p>
    <w:p w14:paraId="2A360494" w14:textId="77777777" w:rsidR="00530BE3" w:rsidRPr="00183773" w:rsidRDefault="00530BE3">
      <w:pPr>
        <w:rPr>
          <w:rFonts w:ascii="Calibri" w:hAnsi="Calibri"/>
          <w:highlight w:val="green"/>
        </w:rPr>
      </w:pPr>
    </w:p>
    <w:p w14:paraId="755A68CB" w14:textId="77777777" w:rsidR="00F66C6E" w:rsidRPr="00183773" w:rsidRDefault="00F66C6E">
      <w:pPr>
        <w:rPr>
          <w:rFonts w:ascii="Calibri" w:hAnsi="Calibri"/>
          <w:highlight w:val="green"/>
        </w:rPr>
      </w:pPr>
    </w:p>
    <w:p w14:paraId="28733B71" w14:textId="77777777" w:rsidR="00F66C6E" w:rsidRPr="00183773" w:rsidRDefault="00F66C6E">
      <w:pPr>
        <w:rPr>
          <w:rFonts w:ascii="Calibri" w:hAnsi="Calibri"/>
          <w:highlight w:val="green"/>
        </w:rPr>
      </w:pPr>
    </w:p>
    <w:p w14:paraId="67BC3617" w14:textId="77777777" w:rsidR="00F66C6E" w:rsidRPr="00183773" w:rsidRDefault="00F66C6E">
      <w:pPr>
        <w:rPr>
          <w:rFonts w:ascii="Calibri" w:hAnsi="Calibri"/>
          <w:highlight w:val="green"/>
        </w:rPr>
      </w:pPr>
    </w:p>
    <w:p w14:paraId="3A73FA9B" w14:textId="77777777" w:rsidR="00F66C6E" w:rsidRPr="00183773" w:rsidRDefault="00F66C6E">
      <w:pPr>
        <w:rPr>
          <w:rFonts w:ascii="Calibri" w:hAnsi="Calibri"/>
          <w:highlight w:val="green"/>
        </w:rPr>
      </w:pPr>
    </w:p>
    <w:p w14:paraId="0E61D584" w14:textId="77777777" w:rsidR="009E1ED4" w:rsidRPr="00183773" w:rsidRDefault="009E1ED4">
      <w:pPr>
        <w:rPr>
          <w:rFonts w:ascii="Calibri" w:hAnsi="Calibri"/>
          <w:highlight w:val="green"/>
        </w:rPr>
      </w:pPr>
    </w:p>
    <w:p w14:paraId="5A48EE30" w14:textId="77777777" w:rsidR="009E1ED4" w:rsidRPr="00183773" w:rsidRDefault="009E1ED4">
      <w:pPr>
        <w:rPr>
          <w:rFonts w:ascii="Calibri" w:hAnsi="Calibri"/>
          <w:highlight w:val="green"/>
        </w:rPr>
      </w:pPr>
    </w:p>
    <w:p w14:paraId="3AE67AFC" w14:textId="77777777" w:rsidR="009E1ED4" w:rsidRPr="00183773" w:rsidRDefault="009E1ED4">
      <w:pPr>
        <w:rPr>
          <w:rFonts w:ascii="Calibri" w:hAnsi="Calibri"/>
          <w:highlight w:val="green"/>
        </w:rPr>
      </w:pPr>
    </w:p>
    <w:p w14:paraId="3708DD54" w14:textId="77777777" w:rsidR="009E1ED4" w:rsidRPr="00183773" w:rsidRDefault="009E1ED4">
      <w:pPr>
        <w:rPr>
          <w:rFonts w:ascii="Calibri" w:hAnsi="Calibri"/>
          <w:highlight w:val="green"/>
        </w:rPr>
      </w:pPr>
    </w:p>
    <w:p w14:paraId="6A1FB9CD" w14:textId="77777777" w:rsidR="009E1ED4" w:rsidRPr="00183773" w:rsidRDefault="009E1ED4">
      <w:pPr>
        <w:rPr>
          <w:rFonts w:ascii="Calibri" w:hAnsi="Calibri"/>
          <w:highlight w:val="green"/>
        </w:rPr>
      </w:pPr>
    </w:p>
    <w:p w14:paraId="5E27E8F4" w14:textId="77777777" w:rsidR="00E24AF1" w:rsidRPr="003C426A" w:rsidRDefault="00E24AF1" w:rsidP="00E24AF1">
      <w:pPr>
        <w:jc w:val="center"/>
        <w:rPr>
          <w:rFonts w:ascii="Calibri" w:hAnsi="Calibri"/>
          <w:b/>
          <w:sz w:val="28"/>
          <w:szCs w:val="28"/>
        </w:rPr>
      </w:pPr>
      <w:r w:rsidRPr="003C426A">
        <w:rPr>
          <w:rFonts w:ascii="Calibri" w:hAnsi="Calibri"/>
          <w:b/>
          <w:sz w:val="28"/>
          <w:szCs w:val="28"/>
        </w:rPr>
        <w:t>Oświęcim</w:t>
      </w:r>
    </w:p>
    <w:p w14:paraId="3C20BFAB" w14:textId="77777777" w:rsidR="00E24AF1" w:rsidRPr="00F27BC8" w:rsidRDefault="006938D6" w:rsidP="00E24AF1">
      <w:pPr>
        <w:jc w:val="center"/>
        <w:rPr>
          <w:rFonts w:ascii="Calibri" w:hAnsi="Calibri"/>
          <w:sz w:val="28"/>
          <w:szCs w:val="28"/>
        </w:rPr>
      </w:pPr>
      <w:r w:rsidRPr="00F27BC8">
        <w:rPr>
          <w:rFonts w:ascii="Calibri" w:hAnsi="Calibri"/>
          <w:sz w:val="28"/>
          <w:szCs w:val="28"/>
        </w:rPr>
        <w:t>2</w:t>
      </w:r>
      <w:r w:rsidR="00E07855">
        <w:rPr>
          <w:rFonts w:ascii="Calibri" w:hAnsi="Calibri"/>
          <w:sz w:val="28"/>
          <w:szCs w:val="28"/>
        </w:rPr>
        <w:t>9</w:t>
      </w:r>
      <w:r w:rsidR="00EC687F" w:rsidRPr="00F27BC8">
        <w:rPr>
          <w:rFonts w:ascii="Calibri" w:hAnsi="Calibri"/>
          <w:sz w:val="28"/>
          <w:szCs w:val="28"/>
        </w:rPr>
        <w:t xml:space="preserve"> sierpnia 201</w:t>
      </w:r>
      <w:r w:rsidR="003C426A">
        <w:rPr>
          <w:rFonts w:ascii="Calibri" w:hAnsi="Calibri"/>
          <w:sz w:val="28"/>
          <w:szCs w:val="28"/>
        </w:rPr>
        <w:t>6</w:t>
      </w:r>
    </w:p>
    <w:p w14:paraId="4F65D398" w14:textId="77777777" w:rsidR="00F66C6E" w:rsidRPr="00F27BC8" w:rsidRDefault="00F66C6E" w:rsidP="00F66C6E">
      <w:pPr>
        <w:rPr>
          <w:rFonts w:ascii="Calibri" w:hAnsi="Calibri" w:cs="Arial"/>
          <w:b/>
          <w:sz w:val="28"/>
          <w:szCs w:val="28"/>
        </w:rPr>
      </w:pPr>
      <w:r w:rsidRPr="003C426A">
        <w:rPr>
          <w:rFonts w:ascii="Calibri" w:hAnsi="Calibri" w:cs="Arial"/>
          <w:b/>
          <w:sz w:val="28"/>
          <w:szCs w:val="28"/>
        </w:rPr>
        <w:lastRenderedPageBreak/>
        <w:t>SPIS TREŚCI:</w:t>
      </w:r>
    </w:p>
    <w:p w14:paraId="10734B35" w14:textId="77777777" w:rsidR="00F66C6E" w:rsidRPr="00F27BC8" w:rsidRDefault="00F66C6E" w:rsidP="00F66C6E">
      <w:pPr>
        <w:tabs>
          <w:tab w:val="left" w:pos="540"/>
          <w:tab w:val="left" w:leader="dot" w:pos="8460"/>
        </w:tabs>
        <w:ind w:left="180" w:right="72"/>
        <w:jc w:val="both"/>
        <w:rPr>
          <w:rFonts w:ascii="Calibri" w:hAnsi="Calibri" w:cs="Arial"/>
          <w:color w:val="FF0000"/>
        </w:rPr>
      </w:pPr>
    </w:p>
    <w:p w14:paraId="3218F3B1" w14:textId="77777777" w:rsidR="00F66C6E" w:rsidRPr="00F27BC8" w:rsidRDefault="00022C36" w:rsidP="00A40DB8">
      <w:pPr>
        <w:tabs>
          <w:tab w:val="left" w:pos="540"/>
          <w:tab w:val="left" w:leader="dot" w:pos="8647"/>
        </w:tabs>
        <w:ind w:right="72"/>
        <w:jc w:val="both"/>
        <w:rPr>
          <w:rFonts w:ascii="Calibri" w:hAnsi="Calibri" w:cs="Arial"/>
          <w:b/>
          <w:color w:val="FF0000"/>
        </w:rPr>
      </w:pPr>
      <w:r w:rsidRPr="00F27BC8">
        <w:rPr>
          <w:rFonts w:ascii="Calibri" w:hAnsi="Calibri" w:cs="Arial"/>
          <w:b/>
        </w:rPr>
        <w:t xml:space="preserve">WYBRANE </w:t>
      </w:r>
      <w:r w:rsidR="00F66C6E" w:rsidRPr="00F27BC8">
        <w:rPr>
          <w:rFonts w:ascii="Calibri" w:hAnsi="Calibri" w:cs="Arial"/>
          <w:b/>
        </w:rPr>
        <w:t>DANE FINANSOWE</w:t>
      </w:r>
      <w:r w:rsidR="00F66C6E" w:rsidRPr="00F27BC8">
        <w:rPr>
          <w:rFonts w:ascii="Calibri" w:hAnsi="Calibri" w:cs="Arial"/>
          <w:b/>
        </w:rPr>
        <w:tab/>
      </w:r>
      <w:r w:rsidR="0061447A">
        <w:rPr>
          <w:rFonts w:ascii="Calibri" w:hAnsi="Calibri" w:cs="Arial"/>
          <w:b/>
        </w:rPr>
        <w:t>3</w:t>
      </w:r>
    </w:p>
    <w:p w14:paraId="02499310" w14:textId="60B6679E" w:rsidR="0068002A" w:rsidRPr="00F27BC8" w:rsidRDefault="0068002A" w:rsidP="00A40DB8">
      <w:pPr>
        <w:tabs>
          <w:tab w:val="left" w:pos="540"/>
          <w:tab w:val="left" w:leader="dot" w:pos="8647"/>
        </w:tabs>
        <w:ind w:right="72"/>
        <w:jc w:val="both"/>
        <w:rPr>
          <w:rFonts w:ascii="Calibri" w:hAnsi="Calibri" w:cs="Arial"/>
        </w:rPr>
      </w:pPr>
      <w:r w:rsidRPr="00F27BC8">
        <w:rPr>
          <w:rFonts w:ascii="Calibri" w:hAnsi="Calibri" w:cs="Arial"/>
        </w:rPr>
        <w:t>Komentarz do wybranych danych finansowych</w:t>
      </w:r>
      <w:r w:rsidR="00273E75" w:rsidRPr="00F27BC8">
        <w:rPr>
          <w:rFonts w:ascii="Calibri" w:hAnsi="Calibri" w:cs="Arial"/>
        </w:rPr>
        <w:tab/>
      </w:r>
      <w:r w:rsidR="00061E70">
        <w:rPr>
          <w:rFonts w:ascii="Calibri" w:hAnsi="Calibri" w:cs="Arial"/>
        </w:rPr>
        <w:t>5</w:t>
      </w:r>
    </w:p>
    <w:p w14:paraId="5B9B8468" w14:textId="77777777" w:rsidR="00DF01CF" w:rsidRPr="00F27BC8" w:rsidRDefault="00DF01CF" w:rsidP="00F66C6E">
      <w:pPr>
        <w:tabs>
          <w:tab w:val="left" w:pos="540"/>
          <w:tab w:val="left" w:leader="dot" w:pos="8460"/>
        </w:tabs>
        <w:ind w:right="72"/>
        <w:jc w:val="both"/>
        <w:rPr>
          <w:rFonts w:ascii="Calibri" w:hAnsi="Calibri" w:cs="Arial"/>
          <w:color w:val="FF0000"/>
        </w:rPr>
      </w:pPr>
    </w:p>
    <w:p w14:paraId="78338171" w14:textId="77777777" w:rsidR="007A4CA8" w:rsidRPr="00F27BC8" w:rsidRDefault="00E80E1F" w:rsidP="00022C36">
      <w:pPr>
        <w:widowControl w:val="0"/>
        <w:tabs>
          <w:tab w:val="left" w:leader="dot" w:pos="8460"/>
        </w:tabs>
        <w:autoSpaceDE w:val="0"/>
        <w:autoSpaceDN w:val="0"/>
        <w:adjustRightInd w:val="0"/>
        <w:rPr>
          <w:rFonts w:ascii="Calibri" w:hAnsi="Calibri" w:cs="Arial"/>
          <w:b/>
          <w:caps/>
          <w:color w:val="000000" w:themeColor="text1"/>
        </w:rPr>
      </w:pPr>
      <w:r w:rsidRPr="00F27BC8">
        <w:rPr>
          <w:rFonts w:ascii="Calibri" w:hAnsi="Calibri" w:cs="Arial"/>
          <w:b/>
          <w:caps/>
          <w:color w:val="000000" w:themeColor="text1"/>
        </w:rPr>
        <w:t>SKONSOLIDOWANE</w:t>
      </w:r>
      <w:r w:rsidR="007A4CA8" w:rsidRPr="00F27BC8">
        <w:rPr>
          <w:rFonts w:ascii="Calibri" w:hAnsi="Calibri" w:cs="Arial"/>
          <w:b/>
          <w:caps/>
          <w:color w:val="000000" w:themeColor="text1"/>
        </w:rPr>
        <w:t xml:space="preserve"> </w:t>
      </w:r>
      <w:r w:rsidR="00F66C6E" w:rsidRPr="00F27BC8">
        <w:rPr>
          <w:rFonts w:ascii="Calibri" w:hAnsi="Calibri" w:cs="Arial"/>
          <w:b/>
          <w:caps/>
          <w:color w:val="000000" w:themeColor="text1"/>
        </w:rPr>
        <w:t xml:space="preserve">Sprawozdanie </w:t>
      </w:r>
      <w:r w:rsidR="0068002A" w:rsidRPr="00F27BC8">
        <w:rPr>
          <w:rFonts w:ascii="Calibri" w:hAnsi="Calibri" w:cs="Arial"/>
          <w:b/>
          <w:caps/>
          <w:color w:val="000000" w:themeColor="text1"/>
        </w:rPr>
        <w:t xml:space="preserve">Z DZIAŁALNOŚCI </w:t>
      </w:r>
    </w:p>
    <w:p w14:paraId="6AF9BFF6" w14:textId="77777777" w:rsidR="00F66C6E" w:rsidRPr="00F27BC8" w:rsidRDefault="00E80E1F" w:rsidP="00A40DB8">
      <w:pPr>
        <w:widowControl w:val="0"/>
        <w:tabs>
          <w:tab w:val="left" w:leader="dot" w:pos="8647"/>
        </w:tabs>
        <w:autoSpaceDE w:val="0"/>
        <w:autoSpaceDN w:val="0"/>
        <w:adjustRightInd w:val="0"/>
        <w:rPr>
          <w:rFonts w:ascii="Calibri" w:hAnsi="Calibri" w:cs="Arial"/>
        </w:rPr>
      </w:pPr>
      <w:r w:rsidRPr="00F27BC8">
        <w:rPr>
          <w:rFonts w:ascii="Calibri" w:hAnsi="Calibri" w:cs="Arial"/>
          <w:b/>
          <w:caps/>
          <w:color w:val="000000" w:themeColor="text1"/>
        </w:rPr>
        <w:t>GRUPY KAPITAŁOWEJ</w:t>
      </w:r>
      <w:r w:rsidR="00F66C6E" w:rsidRPr="00F27BC8">
        <w:rPr>
          <w:rFonts w:ascii="Calibri" w:hAnsi="Calibri" w:cs="Arial"/>
          <w:b/>
          <w:caps/>
          <w:color w:val="000000" w:themeColor="text1"/>
        </w:rPr>
        <w:t xml:space="preserve"> za </w:t>
      </w:r>
      <w:r w:rsidR="00022C36" w:rsidRPr="00F27BC8">
        <w:rPr>
          <w:rFonts w:ascii="Calibri" w:hAnsi="Calibri" w:cs="Arial"/>
          <w:b/>
          <w:caps/>
          <w:color w:val="000000" w:themeColor="text1"/>
        </w:rPr>
        <w:t>PIERWSZE PÓŁROCZE 20</w:t>
      </w:r>
      <w:r w:rsidR="007A4CA8" w:rsidRPr="00F27BC8">
        <w:rPr>
          <w:rFonts w:ascii="Calibri" w:hAnsi="Calibri" w:cs="Arial"/>
          <w:b/>
          <w:caps/>
          <w:color w:val="000000" w:themeColor="text1"/>
        </w:rPr>
        <w:t>1</w:t>
      </w:r>
      <w:r w:rsidR="0061447A">
        <w:rPr>
          <w:rFonts w:ascii="Calibri" w:hAnsi="Calibri" w:cs="Arial"/>
          <w:b/>
          <w:caps/>
          <w:color w:val="000000" w:themeColor="text1"/>
        </w:rPr>
        <w:t>6</w:t>
      </w:r>
      <w:r w:rsidR="00022C36" w:rsidRPr="00F27BC8">
        <w:rPr>
          <w:rFonts w:ascii="Calibri" w:hAnsi="Calibri" w:cs="Arial"/>
          <w:b/>
          <w:caps/>
          <w:color w:val="000000" w:themeColor="text1"/>
        </w:rPr>
        <w:t xml:space="preserve"> </w:t>
      </w:r>
      <w:r w:rsidR="00F66C6E" w:rsidRPr="00F27BC8">
        <w:rPr>
          <w:rFonts w:ascii="Calibri" w:hAnsi="Calibri" w:cs="Arial"/>
          <w:b/>
          <w:caps/>
          <w:color w:val="000000" w:themeColor="text1"/>
        </w:rPr>
        <w:t>rok</w:t>
      </w:r>
      <w:r w:rsidR="00022C36" w:rsidRPr="00F27BC8">
        <w:rPr>
          <w:rFonts w:ascii="Calibri" w:hAnsi="Calibri" w:cs="Arial"/>
          <w:b/>
          <w:caps/>
          <w:color w:val="000000" w:themeColor="text1"/>
        </w:rPr>
        <w:t>U</w:t>
      </w:r>
      <w:r w:rsidR="00DE56DF" w:rsidRPr="00F27BC8">
        <w:rPr>
          <w:rFonts w:ascii="Calibri" w:hAnsi="Calibri" w:cs="Arial"/>
          <w:color w:val="000000" w:themeColor="text1"/>
        </w:rPr>
        <w:tab/>
      </w:r>
      <w:r w:rsidR="0061447A">
        <w:rPr>
          <w:rFonts w:ascii="Calibri" w:hAnsi="Calibri" w:cs="Arial"/>
        </w:rPr>
        <w:t>6</w:t>
      </w:r>
    </w:p>
    <w:p w14:paraId="0A464093" w14:textId="77777777" w:rsidR="00AB30C7" w:rsidRPr="00F27BC8" w:rsidRDefault="00AB30C7" w:rsidP="00A40DB8">
      <w:pPr>
        <w:widowControl w:val="0"/>
        <w:tabs>
          <w:tab w:val="left" w:pos="540"/>
          <w:tab w:val="left" w:leader="dot" w:pos="8647"/>
        </w:tabs>
        <w:autoSpaceDE w:val="0"/>
        <w:autoSpaceDN w:val="0"/>
        <w:adjustRightInd w:val="0"/>
        <w:rPr>
          <w:rFonts w:ascii="Calibri" w:hAnsi="Calibri" w:cs="Arial"/>
        </w:rPr>
      </w:pPr>
      <w:r w:rsidRPr="00F27BC8">
        <w:rPr>
          <w:rFonts w:ascii="Calibri" w:hAnsi="Calibri" w:cs="Arial"/>
        </w:rPr>
        <w:t>1.</w:t>
      </w:r>
      <w:r w:rsidRPr="00F27BC8">
        <w:rPr>
          <w:rFonts w:ascii="Calibri" w:hAnsi="Calibri" w:cs="Arial"/>
        </w:rPr>
        <w:tab/>
        <w:t xml:space="preserve">Opis organizacji grupy kapitałowej </w:t>
      </w:r>
      <w:r w:rsidR="00F67FFC" w:rsidRPr="00F27BC8">
        <w:rPr>
          <w:rFonts w:ascii="Calibri" w:hAnsi="Calibri" w:cs="Arial"/>
        </w:rPr>
        <w:t>E</w:t>
      </w:r>
      <w:r w:rsidRPr="00F27BC8">
        <w:rPr>
          <w:rFonts w:ascii="Calibri" w:hAnsi="Calibri" w:cs="Arial"/>
        </w:rPr>
        <w:t xml:space="preserve">mitenta, ze wskazaniem jednostek </w:t>
      </w:r>
      <w:r w:rsidRPr="00F27BC8">
        <w:rPr>
          <w:rFonts w:ascii="Calibri" w:hAnsi="Calibri" w:cs="Arial"/>
        </w:rPr>
        <w:tab/>
        <w:t>podlegających konsolidacji</w:t>
      </w:r>
      <w:r w:rsidR="00DE56DF" w:rsidRPr="00F27BC8">
        <w:rPr>
          <w:rFonts w:ascii="Calibri" w:hAnsi="Calibri" w:cs="Arial"/>
        </w:rPr>
        <w:tab/>
      </w:r>
      <w:r w:rsidR="0061447A">
        <w:rPr>
          <w:rFonts w:ascii="Calibri" w:hAnsi="Calibri" w:cs="Arial"/>
        </w:rPr>
        <w:t>6</w:t>
      </w:r>
    </w:p>
    <w:p w14:paraId="4427F2C9" w14:textId="77777777" w:rsidR="00A10A74" w:rsidRPr="00F27BC8" w:rsidRDefault="00AB30C7" w:rsidP="00A40DB8">
      <w:pPr>
        <w:widowControl w:val="0"/>
        <w:tabs>
          <w:tab w:val="left" w:pos="540"/>
          <w:tab w:val="left" w:leader="dot" w:pos="8647"/>
        </w:tabs>
        <w:autoSpaceDE w:val="0"/>
        <w:autoSpaceDN w:val="0"/>
        <w:adjustRightInd w:val="0"/>
        <w:rPr>
          <w:rFonts w:ascii="Calibri" w:hAnsi="Calibri" w:cs="Arial"/>
        </w:rPr>
      </w:pPr>
      <w:r w:rsidRPr="00F27BC8">
        <w:rPr>
          <w:rFonts w:ascii="Calibri" w:hAnsi="Calibri" w:cs="Arial"/>
        </w:rPr>
        <w:t>2.</w:t>
      </w:r>
      <w:r w:rsidRPr="00F27BC8">
        <w:rPr>
          <w:rFonts w:ascii="Calibri" w:hAnsi="Calibri" w:cs="Arial"/>
        </w:rPr>
        <w:tab/>
        <w:t>Wskazanie skutków zmian w strukturze</w:t>
      </w:r>
    </w:p>
    <w:p w14:paraId="4B99E960" w14:textId="77777777" w:rsidR="00AB30C7" w:rsidRPr="00F27BC8" w:rsidRDefault="00A10A74" w:rsidP="00A40DB8">
      <w:pPr>
        <w:widowControl w:val="0"/>
        <w:tabs>
          <w:tab w:val="left" w:pos="540"/>
          <w:tab w:val="left" w:leader="dot" w:pos="8647"/>
        </w:tabs>
        <w:autoSpaceDE w:val="0"/>
        <w:autoSpaceDN w:val="0"/>
        <w:adjustRightInd w:val="0"/>
        <w:rPr>
          <w:rFonts w:ascii="Calibri" w:hAnsi="Calibri" w:cs="Arial"/>
        </w:rPr>
      </w:pPr>
      <w:r w:rsidRPr="00F27BC8">
        <w:rPr>
          <w:rFonts w:ascii="Calibri" w:hAnsi="Calibri" w:cs="Arial"/>
        </w:rPr>
        <w:tab/>
      </w:r>
      <w:r w:rsidR="00AB30C7" w:rsidRPr="00F27BC8">
        <w:rPr>
          <w:rFonts w:ascii="Calibri" w:hAnsi="Calibri" w:cs="Arial"/>
        </w:rPr>
        <w:t>jednostki</w:t>
      </w:r>
      <w:r w:rsidR="00DE56DF" w:rsidRPr="00F27BC8">
        <w:rPr>
          <w:rFonts w:ascii="Calibri" w:hAnsi="Calibri" w:cs="Arial"/>
        </w:rPr>
        <w:tab/>
      </w:r>
      <w:r w:rsidR="000626BA">
        <w:rPr>
          <w:rFonts w:ascii="Calibri" w:hAnsi="Calibri" w:cs="Arial"/>
        </w:rPr>
        <w:t>9</w:t>
      </w:r>
    </w:p>
    <w:p w14:paraId="6A9AF857" w14:textId="77777777" w:rsidR="00AB30C7" w:rsidRPr="00F27BC8" w:rsidRDefault="00AB30C7" w:rsidP="00A40DB8">
      <w:pPr>
        <w:widowControl w:val="0"/>
        <w:tabs>
          <w:tab w:val="left" w:pos="540"/>
          <w:tab w:val="left" w:leader="dot" w:pos="8647"/>
        </w:tabs>
        <w:autoSpaceDE w:val="0"/>
        <w:autoSpaceDN w:val="0"/>
        <w:adjustRightInd w:val="0"/>
        <w:rPr>
          <w:rFonts w:ascii="Calibri" w:hAnsi="Calibri" w:cs="Arial"/>
        </w:rPr>
      </w:pPr>
      <w:r w:rsidRPr="00F27BC8">
        <w:rPr>
          <w:rFonts w:ascii="Calibri" w:hAnsi="Calibri" w:cs="Arial"/>
        </w:rPr>
        <w:t>3.</w:t>
      </w:r>
      <w:r w:rsidRPr="00F27BC8">
        <w:rPr>
          <w:rFonts w:ascii="Calibri" w:hAnsi="Calibri" w:cs="Arial"/>
        </w:rPr>
        <w:tab/>
        <w:t>S</w:t>
      </w:r>
      <w:r w:rsidR="001B69A0" w:rsidRPr="00F27BC8">
        <w:rPr>
          <w:rFonts w:ascii="Calibri" w:hAnsi="Calibri" w:cs="Arial"/>
        </w:rPr>
        <w:t>tanowisko zarządu dotyczące</w:t>
      </w:r>
      <w:r w:rsidRPr="00F27BC8">
        <w:rPr>
          <w:rFonts w:ascii="Calibri" w:hAnsi="Calibri" w:cs="Arial"/>
        </w:rPr>
        <w:t xml:space="preserve"> możliwości zrealizowania wcześniej </w:t>
      </w:r>
      <w:r w:rsidRPr="00F27BC8">
        <w:rPr>
          <w:rFonts w:ascii="Calibri" w:hAnsi="Calibri" w:cs="Arial"/>
        </w:rPr>
        <w:tab/>
        <w:t>publikowanych prognoz wyników na dany rok</w:t>
      </w:r>
      <w:r w:rsidR="00DE56DF" w:rsidRPr="00F27BC8">
        <w:rPr>
          <w:rFonts w:ascii="Calibri" w:hAnsi="Calibri" w:cs="Arial"/>
        </w:rPr>
        <w:tab/>
      </w:r>
      <w:r w:rsidR="000626BA">
        <w:rPr>
          <w:rFonts w:ascii="Calibri" w:hAnsi="Calibri" w:cs="Arial"/>
        </w:rPr>
        <w:t>10</w:t>
      </w:r>
    </w:p>
    <w:p w14:paraId="56361418" w14:textId="77777777" w:rsidR="007E536E" w:rsidRPr="00F27BC8" w:rsidRDefault="00AB30C7" w:rsidP="00A40DB8">
      <w:pPr>
        <w:widowControl w:val="0"/>
        <w:tabs>
          <w:tab w:val="left" w:pos="540"/>
          <w:tab w:val="left" w:leader="dot" w:pos="8647"/>
        </w:tabs>
        <w:autoSpaceDE w:val="0"/>
        <w:autoSpaceDN w:val="0"/>
        <w:adjustRightInd w:val="0"/>
        <w:rPr>
          <w:rFonts w:ascii="Calibri" w:hAnsi="Calibri" w:cs="Arial"/>
        </w:rPr>
      </w:pPr>
      <w:r w:rsidRPr="00F27BC8">
        <w:rPr>
          <w:rFonts w:ascii="Calibri" w:hAnsi="Calibri" w:cs="Arial"/>
        </w:rPr>
        <w:t>4.</w:t>
      </w:r>
      <w:r w:rsidRPr="00F27BC8">
        <w:rPr>
          <w:rFonts w:ascii="Calibri" w:hAnsi="Calibri" w:cs="Arial"/>
        </w:rPr>
        <w:tab/>
      </w:r>
      <w:r w:rsidR="000626BA" w:rsidRPr="00F27BC8">
        <w:rPr>
          <w:rFonts w:ascii="Calibri" w:hAnsi="Calibri" w:cs="Arial"/>
        </w:rPr>
        <w:t xml:space="preserve">Zestawienie stanu posiadania akcji Emitenta lub uprawnień </w:t>
      </w:r>
      <w:r w:rsidR="000626BA" w:rsidRPr="00F27BC8">
        <w:rPr>
          <w:rFonts w:ascii="Calibri" w:hAnsi="Calibri" w:cs="Arial"/>
        </w:rPr>
        <w:br/>
      </w:r>
      <w:r w:rsidR="000626BA" w:rsidRPr="00F27BC8">
        <w:rPr>
          <w:rFonts w:ascii="Calibri" w:hAnsi="Calibri" w:cs="Arial"/>
        </w:rPr>
        <w:tab/>
        <w:t xml:space="preserve">do nich przez osoby zarządzające i nadzorujące Emitenta na </w:t>
      </w:r>
      <w:r w:rsidR="000626BA" w:rsidRPr="00F27BC8">
        <w:rPr>
          <w:rFonts w:ascii="Calibri" w:hAnsi="Calibri" w:cs="Arial"/>
        </w:rPr>
        <w:br/>
      </w:r>
      <w:r w:rsidR="000626BA" w:rsidRPr="00F27BC8">
        <w:rPr>
          <w:rFonts w:ascii="Calibri" w:hAnsi="Calibri" w:cs="Arial"/>
        </w:rPr>
        <w:tab/>
        <w:t>dzień p</w:t>
      </w:r>
      <w:r w:rsidR="000626BA">
        <w:rPr>
          <w:rFonts w:ascii="Calibri" w:hAnsi="Calibri" w:cs="Arial"/>
        </w:rPr>
        <w:t>rzekazania raportu półrocznego</w:t>
      </w:r>
      <w:r w:rsidR="000626BA">
        <w:rPr>
          <w:rFonts w:ascii="Calibri" w:hAnsi="Calibri" w:cs="Arial"/>
        </w:rPr>
        <w:tab/>
        <w:t>10</w:t>
      </w:r>
    </w:p>
    <w:p w14:paraId="73ADCB89" w14:textId="77777777" w:rsidR="000626BA" w:rsidRDefault="00D45925" w:rsidP="00A40DB8">
      <w:pPr>
        <w:widowControl w:val="0"/>
        <w:tabs>
          <w:tab w:val="left" w:pos="540"/>
          <w:tab w:val="left" w:leader="dot" w:pos="8647"/>
        </w:tabs>
        <w:autoSpaceDE w:val="0"/>
        <w:autoSpaceDN w:val="0"/>
        <w:adjustRightInd w:val="0"/>
        <w:rPr>
          <w:rFonts w:ascii="Calibri" w:hAnsi="Calibri" w:cs="Arial"/>
        </w:rPr>
      </w:pPr>
      <w:r w:rsidRPr="00F27BC8">
        <w:rPr>
          <w:rFonts w:ascii="Calibri" w:hAnsi="Calibri" w:cs="Arial"/>
        </w:rPr>
        <w:t>5.</w:t>
      </w:r>
      <w:r w:rsidRPr="00F27BC8">
        <w:rPr>
          <w:rFonts w:ascii="Calibri" w:hAnsi="Calibri" w:cs="Arial"/>
        </w:rPr>
        <w:tab/>
      </w:r>
      <w:r w:rsidR="000626BA" w:rsidRPr="00F27BC8">
        <w:rPr>
          <w:rFonts w:ascii="Calibri" w:hAnsi="Calibri" w:cs="Arial"/>
        </w:rPr>
        <w:t xml:space="preserve">Wskazanie akcjonariuszy posiadających bezpośrednio lub pośrednio </w:t>
      </w:r>
      <w:r w:rsidR="000626BA" w:rsidRPr="00F27BC8">
        <w:rPr>
          <w:rFonts w:ascii="Calibri" w:hAnsi="Calibri" w:cs="Arial"/>
        </w:rPr>
        <w:br/>
      </w:r>
      <w:r w:rsidR="000626BA" w:rsidRPr="00F27BC8">
        <w:rPr>
          <w:rFonts w:ascii="Calibri" w:hAnsi="Calibri" w:cs="Arial"/>
        </w:rPr>
        <w:tab/>
        <w:t xml:space="preserve">przez podmioty zależne, </w:t>
      </w:r>
      <w:r w:rsidR="000626BA" w:rsidRPr="00F27BC8">
        <w:rPr>
          <w:rStyle w:val="t418-3"/>
          <w:rFonts w:ascii="Calibri" w:hAnsi="Calibri" w:cs="Arial"/>
        </w:rPr>
        <w:t>co</w:t>
      </w:r>
      <w:r w:rsidR="000626BA" w:rsidRPr="00F27BC8">
        <w:rPr>
          <w:rFonts w:ascii="Calibri" w:hAnsi="Calibri" w:cs="Arial"/>
        </w:rPr>
        <w:t xml:space="preserve"> najmniej 5 % ogólnej liczby głosów na walnym </w:t>
      </w:r>
      <w:r w:rsidR="000626BA" w:rsidRPr="00F27BC8">
        <w:rPr>
          <w:rFonts w:ascii="Calibri" w:hAnsi="Calibri" w:cs="Arial"/>
        </w:rPr>
        <w:tab/>
        <w:t>zgromadzeniu Emitenta na dzień przekazania raportu półrocznego</w:t>
      </w:r>
      <w:r w:rsidR="000626BA">
        <w:rPr>
          <w:rFonts w:ascii="Calibri" w:hAnsi="Calibri" w:cs="Arial"/>
        </w:rPr>
        <w:tab/>
        <w:t>10</w:t>
      </w:r>
    </w:p>
    <w:p w14:paraId="6D663968" w14:textId="77777777" w:rsidR="00AB30C7" w:rsidRPr="00F27BC8" w:rsidRDefault="00AB30C7"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6.</w:t>
      </w:r>
      <w:r w:rsidRPr="00F27BC8">
        <w:rPr>
          <w:rFonts w:ascii="Calibri" w:hAnsi="Calibri" w:cs="Arial"/>
        </w:rPr>
        <w:tab/>
        <w:t xml:space="preserve">Wskazanie postępowań toczących się przed sądem, organem właściwym </w:t>
      </w:r>
      <w:r w:rsidRPr="00F27BC8">
        <w:rPr>
          <w:rFonts w:ascii="Calibri" w:hAnsi="Calibri" w:cs="Arial"/>
        </w:rPr>
        <w:br/>
      </w:r>
      <w:r w:rsidRPr="00F27BC8">
        <w:rPr>
          <w:rFonts w:ascii="Calibri" w:hAnsi="Calibri" w:cs="Arial"/>
        </w:rPr>
        <w:tab/>
        <w:t>dla postępowania arbitrażowego lub organem administracji publicznej</w:t>
      </w:r>
      <w:r w:rsidRPr="00F27BC8">
        <w:rPr>
          <w:rFonts w:ascii="Calibri" w:hAnsi="Calibri" w:cs="Arial"/>
        </w:rPr>
        <w:tab/>
      </w:r>
      <w:r w:rsidR="000626BA">
        <w:rPr>
          <w:rFonts w:ascii="Calibri" w:hAnsi="Calibri" w:cs="Arial"/>
        </w:rPr>
        <w:t>12</w:t>
      </w:r>
    </w:p>
    <w:p w14:paraId="05B547B1" w14:textId="77777777" w:rsidR="00AB30C7" w:rsidRPr="00F27BC8" w:rsidRDefault="00AB30C7"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7.</w:t>
      </w:r>
      <w:r w:rsidRPr="00F27BC8">
        <w:rPr>
          <w:rFonts w:ascii="Calibri" w:hAnsi="Calibri" w:cs="Arial"/>
        </w:rPr>
        <w:tab/>
        <w:t xml:space="preserve">Inne informacje, które zdaniem </w:t>
      </w:r>
      <w:r w:rsidR="00F67FFC" w:rsidRPr="00F27BC8">
        <w:rPr>
          <w:rFonts w:ascii="Calibri" w:hAnsi="Calibri" w:cs="Arial"/>
        </w:rPr>
        <w:t>E</w:t>
      </w:r>
      <w:r w:rsidRPr="00F27BC8">
        <w:rPr>
          <w:rFonts w:ascii="Calibri" w:hAnsi="Calibri" w:cs="Arial"/>
        </w:rPr>
        <w:t xml:space="preserve">mitenta są istotne dla oceny jego </w:t>
      </w:r>
      <w:r w:rsidRPr="00F27BC8">
        <w:rPr>
          <w:rFonts w:ascii="Calibri" w:hAnsi="Calibri" w:cs="Arial"/>
        </w:rPr>
        <w:tab/>
        <w:t xml:space="preserve">sytuacji kadrowej, majątkowej, finansowej, wyniku </w:t>
      </w:r>
      <w:r w:rsidR="00547C3E" w:rsidRPr="00F27BC8">
        <w:rPr>
          <w:rFonts w:ascii="Calibri" w:hAnsi="Calibri" w:cs="Arial"/>
        </w:rPr>
        <w:t>finansowego</w:t>
      </w:r>
      <w:r w:rsidR="00547C3E" w:rsidRPr="00F27BC8">
        <w:rPr>
          <w:rFonts w:ascii="Calibri" w:hAnsi="Calibri" w:cs="Arial"/>
        </w:rPr>
        <w:tab/>
      </w:r>
      <w:r w:rsidR="009360F9">
        <w:rPr>
          <w:rFonts w:ascii="Calibri" w:hAnsi="Calibri" w:cs="Arial"/>
        </w:rPr>
        <w:t>12</w:t>
      </w:r>
    </w:p>
    <w:p w14:paraId="168BFCFD" w14:textId="3D71F250" w:rsidR="00AB30C7" w:rsidRPr="00F27BC8" w:rsidRDefault="00AB30C7"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8.</w:t>
      </w:r>
      <w:r w:rsidRPr="00F27BC8">
        <w:rPr>
          <w:rFonts w:ascii="Calibri" w:hAnsi="Calibri" w:cs="Arial"/>
        </w:rPr>
        <w:tab/>
      </w:r>
      <w:r w:rsidR="001B69A0" w:rsidRPr="00F27BC8">
        <w:rPr>
          <w:rFonts w:ascii="Calibri" w:hAnsi="Calibri" w:cs="Arial"/>
        </w:rPr>
        <w:t>W</w:t>
      </w:r>
      <w:r w:rsidR="00B25E8C" w:rsidRPr="00F27BC8">
        <w:rPr>
          <w:rFonts w:ascii="Calibri" w:hAnsi="Calibri" w:cs="Arial"/>
        </w:rPr>
        <w:t xml:space="preserve">skazanie czynników, które w ocenie </w:t>
      </w:r>
      <w:r w:rsidR="00F67FFC" w:rsidRPr="00F27BC8">
        <w:rPr>
          <w:rFonts w:ascii="Calibri" w:hAnsi="Calibri" w:cs="Arial"/>
        </w:rPr>
        <w:t>E</w:t>
      </w:r>
      <w:r w:rsidR="00B25E8C" w:rsidRPr="00F27BC8">
        <w:rPr>
          <w:rFonts w:ascii="Calibri" w:hAnsi="Calibri" w:cs="Arial"/>
        </w:rPr>
        <w:t xml:space="preserve">mitenta będą miały wpływ </w:t>
      </w:r>
      <w:r w:rsidR="00B25E8C" w:rsidRPr="00F27BC8">
        <w:rPr>
          <w:rFonts w:ascii="Calibri" w:hAnsi="Calibri" w:cs="Arial"/>
        </w:rPr>
        <w:br/>
      </w:r>
      <w:r w:rsidR="00B25E8C" w:rsidRPr="00F27BC8">
        <w:rPr>
          <w:rFonts w:ascii="Calibri" w:hAnsi="Calibri" w:cs="Arial"/>
        </w:rPr>
        <w:tab/>
        <w:t xml:space="preserve">na osiągnięte przez niego wyniki w </w:t>
      </w:r>
      <w:r w:rsidR="001B69A0" w:rsidRPr="00F27BC8">
        <w:rPr>
          <w:rFonts w:ascii="Calibri" w:hAnsi="Calibri" w:cs="Arial"/>
        </w:rPr>
        <w:t>perspektywie,</w:t>
      </w:r>
      <w:r w:rsidR="00B25E8C" w:rsidRPr="00F27BC8">
        <w:rPr>
          <w:rFonts w:ascii="Calibri" w:hAnsi="Calibri" w:cs="Arial"/>
        </w:rPr>
        <w:t xml:space="preserve"> co najmniej </w:t>
      </w:r>
      <w:r w:rsidR="00B25E8C" w:rsidRPr="00F27BC8">
        <w:rPr>
          <w:rFonts w:ascii="Calibri" w:hAnsi="Calibri" w:cs="Arial"/>
        </w:rPr>
        <w:br/>
      </w:r>
      <w:r w:rsidR="00B25E8C" w:rsidRPr="00F27BC8">
        <w:rPr>
          <w:rFonts w:ascii="Calibri" w:hAnsi="Calibri" w:cs="Arial"/>
        </w:rPr>
        <w:tab/>
        <w:t>kolejnego kwartału</w:t>
      </w:r>
      <w:r w:rsidR="00DE56DF" w:rsidRPr="00F27BC8">
        <w:rPr>
          <w:rFonts w:ascii="Calibri" w:hAnsi="Calibri" w:cs="Arial"/>
        </w:rPr>
        <w:tab/>
      </w:r>
      <w:r w:rsidR="009360F9">
        <w:rPr>
          <w:rFonts w:ascii="Calibri" w:hAnsi="Calibri" w:cs="Arial"/>
        </w:rPr>
        <w:t>4</w:t>
      </w:r>
      <w:r w:rsidR="00B15963">
        <w:rPr>
          <w:rFonts w:ascii="Calibri" w:hAnsi="Calibri" w:cs="Arial"/>
        </w:rPr>
        <w:t>2</w:t>
      </w:r>
    </w:p>
    <w:p w14:paraId="1375256B" w14:textId="77777777" w:rsidR="003535BD" w:rsidRPr="00F27BC8" w:rsidRDefault="003535BD"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9.</w:t>
      </w:r>
      <w:r w:rsidRPr="00F27BC8">
        <w:rPr>
          <w:rFonts w:ascii="Calibri" w:hAnsi="Calibri" w:cs="Arial"/>
        </w:rPr>
        <w:tab/>
        <w:t>Informacje na temat</w:t>
      </w:r>
      <w:r w:rsidR="00BA1DE8" w:rsidRPr="00F27BC8">
        <w:rPr>
          <w:rFonts w:ascii="Calibri" w:hAnsi="Calibri" w:cs="Arial"/>
        </w:rPr>
        <w:t xml:space="preserve"> </w:t>
      </w:r>
      <w:r w:rsidRPr="00F27BC8">
        <w:rPr>
          <w:rFonts w:ascii="Calibri" w:hAnsi="Calibri" w:cs="Arial"/>
        </w:rPr>
        <w:t>podstawowych zagrożeń oraz czynników ryzyka</w:t>
      </w:r>
      <w:r w:rsidRPr="00F27BC8">
        <w:rPr>
          <w:rFonts w:ascii="Calibri" w:hAnsi="Calibri" w:cs="Arial"/>
        </w:rPr>
        <w:br/>
      </w:r>
      <w:r w:rsidRPr="00F27BC8">
        <w:rPr>
          <w:rFonts w:ascii="Calibri" w:hAnsi="Calibri" w:cs="Arial"/>
        </w:rPr>
        <w:tab/>
        <w:t>dla rozwoju i f</w:t>
      </w:r>
      <w:r w:rsidR="000744D1" w:rsidRPr="00F27BC8">
        <w:rPr>
          <w:rFonts w:ascii="Calibri" w:hAnsi="Calibri" w:cs="Arial"/>
        </w:rPr>
        <w:t>unkcjonowania</w:t>
      </w:r>
      <w:r w:rsidR="007A4CA8" w:rsidRPr="00F27BC8">
        <w:rPr>
          <w:rFonts w:ascii="Calibri" w:hAnsi="Calibri" w:cs="Arial"/>
        </w:rPr>
        <w:t xml:space="preserve"> </w:t>
      </w:r>
      <w:r w:rsidR="00341DF8" w:rsidRPr="00F27BC8">
        <w:rPr>
          <w:rFonts w:ascii="Calibri" w:hAnsi="Calibri" w:cs="Arial"/>
        </w:rPr>
        <w:t>Grupy Kapitałowej</w:t>
      </w:r>
      <w:r w:rsidR="000744D1" w:rsidRPr="00F27BC8">
        <w:rPr>
          <w:rFonts w:ascii="Calibri" w:hAnsi="Calibri" w:cs="Arial"/>
        </w:rPr>
        <w:tab/>
      </w:r>
      <w:r w:rsidR="009360F9">
        <w:rPr>
          <w:rFonts w:ascii="Calibri" w:hAnsi="Calibri" w:cs="Arial"/>
        </w:rPr>
        <w:t>42</w:t>
      </w:r>
    </w:p>
    <w:p w14:paraId="1029337F" w14:textId="77777777" w:rsidR="008269DE" w:rsidRPr="00F27BC8" w:rsidRDefault="003535BD"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10</w:t>
      </w:r>
      <w:r w:rsidR="008269DE" w:rsidRPr="00F27BC8">
        <w:rPr>
          <w:rFonts w:ascii="Calibri" w:hAnsi="Calibri" w:cs="Arial"/>
        </w:rPr>
        <w:t>.</w:t>
      </w:r>
      <w:r w:rsidR="008269DE" w:rsidRPr="00F27BC8">
        <w:rPr>
          <w:rFonts w:ascii="Calibri" w:hAnsi="Calibri" w:cs="Arial"/>
        </w:rPr>
        <w:tab/>
        <w:t>Informacje o personalnych zmianach</w:t>
      </w:r>
      <w:r w:rsidR="001573F7" w:rsidRPr="00F27BC8">
        <w:rPr>
          <w:rFonts w:ascii="Calibri" w:hAnsi="Calibri" w:cs="Arial"/>
        </w:rPr>
        <w:t xml:space="preserve"> w</w:t>
      </w:r>
      <w:r w:rsidR="008269DE" w:rsidRPr="00F27BC8">
        <w:rPr>
          <w:rFonts w:ascii="Calibri" w:hAnsi="Calibri" w:cs="Arial"/>
        </w:rPr>
        <w:t xml:space="preserve"> skład</w:t>
      </w:r>
      <w:r w:rsidR="001573F7" w:rsidRPr="00F27BC8">
        <w:rPr>
          <w:rFonts w:ascii="Calibri" w:hAnsi="Calibri" w:cs="Arial"/>
        </w:rPr>
        <w:t>zie</w:t>
      </w:r>
      <w:r w:rsidR="00547C3E" w:rsidRPr="00F27BC8">
        <w:rPr>
          <w:rFonts w:ascii="Calibri" w:hAnsi="Calibri" w:cs="Arial"/>
        </w:rPr>
        <w:t xml:space="preserve"> Zarządu </w:t>
      </w:r>
      <w:r w:rsidR="006C3CE4" w:rsidRPr="00F27BC8">
        <w:rPr>
          <w:rFonts w:ascii="Calibri" w:hAnsi="Calibri" w:cs="Arial"/>
        </w:rPr>
        <w:t>Em</w:t>
      </w:r>
      <w:r w:rsidR="00547C3E" w:rsidRPr="00F27BC8">
        <w:rPr>
          <w:rFonts w:ascii="Calibri" w:hAnsi="Calibri" w:cs="Arial"/>
        </w:rPr>
        <w:t>i</w:t>
      </w:r>
      <w:r w:rsidR="006C3CE4" w:rsidRPr="00F27BC8">
        <w:rPr>
          <w:rFonts w:ascii="Calibri" w:hAnsi="Calibri" w:cs="Arial"/>
        </w:rPr>
        <w:t>tenta</w:t>
      </w:r>
      <w:r w:rsidR="00547C3E" w:rsidRPr="00F27BC8">
        <w:rPr>
          <w:rFonts w:ascii="Calibri" w:hAnsi="Calibri" w:cs="Arial"/>
        </w:rPr>
        <w:tab/>
      </w:r>
      <w:r w:rsidR="009360F9">
        <w:rPr>
          <w:rFonts w:ascii="Calibri" w:hAnsi="Calibri" w:cs="Arial"/>
        </w:rPr>
        <w:t>47</w:t>
      </w:r>
    </w:p>
    <w:p w14:paraId="17A93667" w14:textId="0F7BEB32" w:rsidR="005A2A34" w:rsidRPr="00F27BC8" w:rsidRDefault="003535BD"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11</w:t>
      </w:r>
      <w:r w:rsidR="005A2A34" w:rsidRPr="00F27BC8">
        <w:rPr>
          <w:rFonts w:ascii="Calibri" w:hAnsi="Calibri" w:cs="Arial"/>
        </w:rPr>
        <w:t>.</w:t>
      </w:r>
      <w:r w:rsidR="005A2A34" w:rsidRPr="00F27BC8">
        <w:rPr>
          <w:rFonts w:ascii="Calibri" w:hAnsi="Calibri" w:cs="Arial"/>
        </w:rPr>
        <w:tab/>
        <w:t xml:space="preserve">Informacje o udzieleniu przez </w:t>
      </w:r>
      <w:r w:rsidR="00F67FFC" w:rsidRPr="00F27BC8">
        <w:rPr>
          <w:rFonts w:ascii="Calibri" w:hAnsi="Calibri" w:cs="Arial"/>
        </w:rPr>
        <w:t>E</w:t>
      </w:r>
      <w:r w:rsidR="005A2A34" w:rsidRPr="00F27BC8">
        <w:rPr>
          <w:rFonts w:ascii="Calibri" w:hAnsi="Calibri" w:cs="Arial"/>
        </w:rPr>
        <w:t>mitenta lub przez jednostkę od niego</w:t>
      </w:r>
      <w:r w:rsidR="005A2A34" w:rsidRPr="00F27BC8">
        <w:rPr>
          <w:rFonts w:ascii="Calibri" w:hAnsi="Calibri" w:cs="Arial"/>
        </w:rPr>
        <w:br/>
      </w:r>
      <w:r w:rsidR="005A2A34" w:rsidRPr="00F27BC8">
        <w:rPr>
          <w:rFonts w:ascii="Calibri" w:hAnsi="Calibri" w:cs="Arial"/>
        </w:rPr>
        <w:tab/>
        <w:t>zależną poręczeń kredytu lub poży</w:t>
      </w:r>
      <w:r w:rsidR="001E50D3" w:rsidRPr="00F27BC8">
        <w:rPr>
          <w:rFonts w:ascii="Calibri" w:hAnsi="Calibri" w:cs="Arial"/>
        </w:rPr>
        <w:t>czki lub udzieleniu gwar</w:t>
      </w:r>
      <w:r w:rsidR="000744D1" w:rsidRPr="00F27BC8">
        <w:rPr>
          <w:rFonts w:ascii="Calibri" w:hAnsi="Calibri" w:cs="Arial"/>
        </w:rPr>
        <w:t>ancji</w:t>
      </w:r>
      <w:r w:rsidR="000744D1" w:rsidRPr="00F27BC8">
        <w:rPr>
          <w:rFonts w:ascii="Calibri" w:hAnsi="Calibri" w:cs="Arial"/>
        </w:rPr>
        <w:tab/>
      </w:r>
      <w:r w:rsidR="009360F9">
        <w:rPr>
          <w:rFonts w:ascii="Calibri" w:hAnsi="Calibri" w:cs="Arial"/>
        </w:rPr>
        <w:t>4</w:t>
      </w:r>
      <w:r w:rsidR="00B15963">
        <w:rPr>
          <w:rFonts w:ascii="Calibri" w:hAnsi="Calibri" w:cs="Arial"/>
        </w:rPr>
        <w:t>8</w:t>
      </w:r>
    </w:p>
    <w:p w14:paraId="5198C7C9" w14:textId="77777777" w:rsidR="007A4CA8" w:rsidRPr="00F27BC8" w:rsidRDefault="00CA7C70" w:rsidP="00AB30C7">
      <w:pPr>
        <w:widowControl w:val="0"/>
        <w:tabs>
          <w:tab w:val="left" w:pos="540"/>
          <w:tab w:val="left" w:leader="dot" w:pos="8460"/>
        </w:tabs>
        <w:autoSpaceDE w:val="0"/>
        <w:autoSpaceDN w:val="0"/>
        <w:adjustRightInd w:val="0"/>
        <w:rPr>
          <w:rFonts w:ascii="Calibri" w:hAnsi="Calibri" w:cs="Arial"/>
        </w:rPr>
      </w:pPr>
      <w:r w:rsidRPr="00F27BC8">
        <w:rPr>
          <w:rFonts w:ascii="Calibri" w:hAnsi="Calibri" w:cs="Arial"/>
        </w:rPr>
        <w:t>1</w:t>
      </w:r>
      <w:r w:rsidR="003535BD" w:rsidRPr="00F27BC8">
        <w:rPr>
          <w:rFonts w:ascii="Calibri" w:hAnsi="Calibri" w:cs="Arial"/>
        </w:rPr>
        <w:t>2</w:t>
      </w:r>
      <w:r w:rsidRPr="00F27BC8">
        <w:rPr>
          <w:rFonts w:ascii="Calibri" w:hAnsi="Calibri" w:cs="Arial"/>
        </w:rPr>
        <w:t>.</w:t>
      </w:r>
      <w:r w:rsidRPr="00F27BC8">
        <w:rPr>
          <w:rFonts w:ascii="Calibri" w:hAnsi="Calibri" w:cs="Arial"/>
        </w:rPr>
        <w:tab/>
      </w:r>
      <w:r w:rsidR="007A4CA8" w:rsidRPr="00F27BC8">
        <w:rPr>
          <w:rFonts w:ascii="Calibri" w:hAnsi="Calibri" w:cs="Arial"/>
        </w:rPr>
        <w:t xml:space="preserve">Informacje o zawarciu transakcji z podmiotami powiązanymi </w:t>
      </w:r>
    </w:p>
    <w:p w14:paraId="6D3556F6" w14:textId="77777777" w:rsidR="00CA7C70" w:rsidRPr="00F27BC8" w:rsidRDefault="007A4CA8"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ab/>
        <w:t>na warunkach innych niż rynkowe</w:t>
      </w:r>
      <w:r w:rsidR="00CA7C70" w:rsidRPr="00F27BC8">
        <w:rPr>
          <w:rFonts w:ascii="Calibri" w:hAnsi="Calibri" w:cs="Arial"/>
        </w:rPr>
        <w:tab/>
      </w:r>
      <w:r w:rsidR="009360F9">
        <w:rPr>
          <w:rFonts w:ascii="Calibri" w:hAnsi="Calibri" w:cs="Arial"/>
        </w:rPr>
        <w:t>49</w:t>
      </w:r>
    </w:p>
    <w:p w14:paraId="32561F9E" w14:textId="240456D6" w:rsidR="00CA7C70" w:rsidRPr="00F27BC8" w:rsidRDefault="00CA7C70"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1</w:t>
      </w:r>
      <w:r w:rsidR="003535BD" w:rsidRPr="00F27BC8">
        <w:rPr>
          <w:rFonts w:ascii="Calibri" w:hAnsi="Calibri" w:cs="Arial"/>
        </w:rPr>
        <w:t>3</w:t>
      </w:r>
      <w:r w:rsidRPr="00F27BC8">
        <w:rPr>
          <w:rFonts w:ascii="Calibri" w:hAnsi="Calibri" w:cs="Arial"/>
        </w:rPr>
        <w:t>.</w:t>
      </w:r>
      <w:r w:rsidRPr="00F27BC8">
        <w:rPr>
          <w:rFonts w:ascii="Calibri" w:hAnsi="Calibri" w:cs="Arial"/>
        </w:rPr>
        <w:tab/>
        <w:t xml:space="preserve">Informacje dotyczące występowania zjawiska cykliczności </w:t>
      </w:r>
      <w:r w:rsidRPr="00F27BC8">
        <w:rPr>
          <w:rFonts w:ascii="Calibri" w:hAnsi="Calibri" w:cs="Arial"/>
        </w:rPr>
        <w:br/>
      </w:r>
      <w:r w:rsidRPr="00F27BC8">
        <w:rPr>
          <w:rFonts w:ascii="Calibri" w:hAnsi="Calibri" w:cs="Arial"/>
        </w:rPr>
        <w:tab/>
        <w:t>oraz sezonowości</w:t>
      </w:r>
      <w:r w:rsidRPr="00F27BC8">
        <w:rPr>
          <w:rFonts w:ascii="Calibri" w:hAnsi="Calibri" w:cs="Arial"/>
        </w:rPr>
        <w:tab/>
      </w:r>
      <w:r w:rsidR="00B15963">
        <w:rPr>
          <w:rFonts w:ascii="Calibri" w:hAnsi="Calibri" w:cs="Arial"/>
        </w:rPr>
        <w:t>50</w:t>
      </w:r>
    </w:p>
    <w:p w14:paraId="2D07BACE" w14:textId="6B41D307" w:rsidR="00CA7C70" w:rsidRPr="00F27BC8" w:rsidRDefault="00CA7C70" w:rsidP="00A40DB8">
      <w:pPr>
        <w:widowControl w:val="0"/>
        <w:tabs>
          <w:tab w:val="left" w:pos="540"/>
          <w:tab w:val="left" w:leader="dot" w:pos="8647"/>
        </w:tabs>
        <w:autoSpaceDE w:val="0"/>
        <w:autoSpaceDN w:val="0"/>
        <w:adjustRightInd w:val="0"/>
        <w:rPr>
          <w:rFonts w:ascii="Calibri" w:hAnsi="Calibri" w:cs="Arial"/>
        </w:rPr>
      </w:pPr>
      <w:r w:rsidRPr="00F27BC8">
        <w:rPr>
          <w:rFonts w:ascii="Calibri" w:hAnsi="Calibri" w:cs="Arial"/>
        </w:rPr>
        <w:t>1</w:t>
      </w:r>
      <w:r w:rsidR="003535BD" w:rsidRPr="00F27BC8">
        <w:rPr>
          <w:rFonts w:ascii="Calibri" w:hAnsi="Calibri" w:cs="Arial"/>
        </w:rPr>
        <w:t>4</w:t>
      </w:r>
      <w:r w:rsidRPr="00F27BC8">
        <w:rPr>
          <w:rFonts w:ascii="Calibri" w:hAnsi="Calibri" w:cs="Arial"/>
        </w:rPr>
        <w:t>.</w:t>
      </w:r>
      <w:r w:rsidRPr="00F27BC8">
        <w:rPr>
          <w:rFonts w:ascii="Calibri" w:hAnsi="Calibri" w:cs="Arial"/>
        </w:rPr>
        <w:tab/>
        <w:t>Informacje dotyczące emisji wykupu i spłaty dłużnych i kapitałowych</w:t>
      </w:r>
      <w:r w:rsidRPr="00F27BC8">
        <w:rPr>
          <w:rFonts w:ascii="Calibri" w:hAnsi="Calibri" w:cs="Arial"/>
        </w:rPr>
        <w:br/>
      </w:r>
      <w:r w:rsidRPr="00F27BC8">
        <w:rPr>
          <w:rFonts w:ascii="Calibri" w:hAnsi="Calibri" w:cs="Arial"/>
        </w:rPr>
        <w:tab/>
        <w:t>papierów wartościowych</w:t>
      </w:r>
      <w:r w:rsidRPr="00F27BC8">
        <w:rPr>
          <w:rFonts w:ascii="Calibri" w:hAnsi="Calibri" w:cs="Arial"/>
        </w:rPr>
        <w:tab/>
      </w:r>
      <w:r w:rsidR="00B15963">
        <w:rPr>
          <w:rFonts w:ascii="Calibri" w:hAnsi="Calibri" w:cs="Arial"/>
        </w:rPr>
        <w:t>50</w:t>
      </w:r>
    </w:p>
    <w:p w14:paraId="1C96327A" w14:textId="77777777" w:rsidR="001C0BB4" w:rsidRPr="00F27BC8" w:rsidRDefault="001C0BB4"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15.</w:t>
      </w:r>
      <w:r w:rsidRPr="00F27BC8">
        <w:rPr>
          <w:rFonts w:ascii="Calibri" w:hAnsi="Calibri" w:cs="Arial"/>
        </w:rPr>
        <w:tab/>
        <w:t>Informacje o wypłaconej lub zadeklarowanej dywidendzie</w:t>
      </w:r>
      <w:r w:rsidRPr="00F27BC8">
        <w:rPr>
          <w:rFonts w:ascii="Calibri" w:hAnsi="Calibri" w:cs="Arial"/>
        </w:rPr>
        <w:tab/>
      </w:r>
      <w:r w:rsidR="009360F9">
        <w:rPr>
          <w:rFonts w:ascii="Calibri" w:hAnsi="Calibri" w:cs="Arial"/>
        </w:rPr>
        <w:t>53</w:t>
      </w:r>
    </w:p>
    <w:p w14:paraId="491B2A4B" w14:textId="407ECF50" w:rsidR="00B25E8C" w:rsidRPr="00F27BC8" w:rsidRDefault="00CA7C70"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1</w:t>
      </w:r>
      <w:r w:rsidR="001C0BB4" w:rsidRPr="00F27BC8">
        <w:rPr>
          <w:rFonts w:ascii="Calibri" w:hAnsi="Calibri" w:cs="Arial"/>
        </w:rPr>
        <w:t>6</w:t>
      </w:r>
      <w:r w:rsidR="00B25E8C" w:rsidRPr="00F27BC8">
        <w:rPr>
          <w:rFonts w:ascii="Calibri" w:hAnsi="Calibri" w:cs="Arial"/>
        </w:rPr>
        <w:t>.</w:t>
      </w:r>
      <w:r w:rsidR="00B25E8C" w:rsidRPr="00F27BC8">
        <w:rPr>
          <w:rFonts w:ascii="Calibri" w:hAnsi="Calibri" w:cs="Arial"/>
        </w:rPr>
        <w:tab/>
        <w:t>Oświadczenie Zarządu, iż wedle ich najlepszej wiedzy,</w:t>
      </w:r>
      <w:r w:rsidR="001B69A0" w:rsidRPr="00F27BC8">
        <w:rPr>
          <w:rFonts w:ascii="Calibri" w:hAnsi="Calibri" w:cs="Arial"/>
        </w:rPr>
        <w:t xml:space="preserve"> </w:t>
      </w:r>
      <w:r w:rsidR="00B25E8C" w:rsidRPr="00F27BC8">
        <w:rPr>
          <w:rFonts w:ascii="Calibri" w:hAnsi="Calibri" w:cs="Arial"/>
        </w:rPr>
        <w:t xml:space="preserve">półroczne </w:t>
      </w:r>
      <w:r w:rsidR="001B69A0" w:rsidRPr="00F27BC8">
        <w:rPr>
          <w:rFonts w:ascii="Calibri" w:hAnsi="Calibri" w:cs="Arial"/>
        </w:rPr>
        <w:br/>
      </w:r>
      <w:r w:rsidR="001B69A0" w:rsidRPr="00F27BC8">
        <w:rPr>
          <w:rFonts w:ascii="Calibri" w:hAnsi="Calibri" w:cs="Arial"/>
        </w:rPr>
        <w:tab/>
      </w:r>
      <w:r w:rsidR="00B25E8C" w:rsidRPr="00F27BC8">
        <w:rPr>
          <w:rFonts w:ascii="Calibri" w:hAnsi="Calibri" w:cs="Arial"/>
        </w:rPr>
        <w:t xml:space="preserve">skrócone sprawozdanie finansowe i dane porównywalne sporządzone </w:t>
      </w:r>
      <w:r w:rsidR="001B69A0" w:rsidRPr="00F27BC8">
        <w:rPr>
          <w:rFonts w:ascii="Calibri" w:hAnsi="Calibri" w:cs="Arial"/>
        </w:rPr>
        <w:br/>
      </w:r>
      <w:r w:rsidR="001B69A0" w:rsidRPr="00F27BC8">
        <w:rPr>
          <w:rFonts w:ascii="Calibri" w:hAnsi="Calibri" w:cs="Arial"/>
        </w:rPr>
        <w:tab/>
      </w:r>
      <w:r w:rsidR="00B25E8C" w:rsidRPr="00F27BC8">
        <w:rPr>
          <w:rFonts w:ascii="Calibri" w:hAnsi="Calibri" w:cs="Arial"/>
        </w:rPr>
        <w:t>zostały zgodnie z obowiązującymi</w:t>
      </w:r>
      <w:r w:rsidR="001B69A0" w:rsidRPr="00F27BC8">
        <w:rPr>
          <w:rFonts w:ascii="Calibri" w:hAnsi="Calibri" w:cs="Arial"/>
        </w:rPr>
        <w:t xml:space="preserve"> </w:t>
      </w:r>
      <w:r w:rsidR="00B25E8C" w:rsidRPr="00F27BC8">
        <w:rPr>
          <w:rFonts w:ascii="Calibri" w:hAnsi="Calibri" w:cs="Arial"/>
        </w:rPr>
        <w:t>zasadami rachunkowości oraz</w:t>
      </w:r>
      <w:r w:rsidR="001B69A0" w:rsidRPr="00F27BC8">
        <w:rPr>
          <w:rFonts w:ascii="Calibri" w:hAnsi="Calibri" w:cs="Arial"/>
        </w:rPr>
        <w:br/>
      </w:r>
      <w:r w:rsidR="001B69A0" w:rsidRPr="00F27BC8">
        <w:rPr>
          <w:rFonts w:ascii="Calibri" w:hAnsi="Calibri" w:cs="Arial"/>
        </w:rPr>
        <w:tab/>
      </w:r>
      <w:r w:rsidR="00B25E8C" w:rsidRPr="00F27BC8">
        <w:rPr>
          <w:rFonts w:ascii="Calibri" w:hAnsi="Calibri" w:cs="Arial"/>
        </w:rPr>
        <w:t xml:space="preserve"> że odzwierciedlają w sposób prawdziwy, rzetelny i jasny sytuację </w:t>
      </w:r>
      <w:r w:rsidR="001B69A0" w:rsidRPr="00F27BC8">
        <w:rPr>
          <w:rFonts w:ascii="Calibri" w:hAnsi="Calibri" w:cs="Arial"/>
        </w:rPr>
        <w:br/>
      </w:r>
      <w:r w:rsidR="001B69A0" w:rsidRPr="00F27BC8">
        <w:rPr>
          <w:rFonts w:ascii="Calibri" w:hAnsi="Calibri" w:cs="Arial"/>
        </w:rPr>
        <w:tab/>
      </w:r>
      <w:r w:rsidR="00B25E8C" w:rsidRPr="00F27BC8">
        <w:rPr>
          <w:rFonts w:ascii="Calibri" w:hAnsi="Calibri" w:cs="Arial"/>
        </w:rPr>
        <w:t xml:space="preserve">majątkową </w:t>
      </w:r>
      <w:r w:rsidR="00F67FFC" w:rsidRPr="00F27BC8">
        <w:rPr>
          <w:rFonts w:ascii="Calibri" w:hAnsi="Calibri" w:cs="Arial"/>
        </w:rPr>
        <w:t>E</w:t>
      </w:r>
      <w:r w:rsidR="00B25E8C" w:rsidRPr="00F27BC8">
        <w:rPr>
          <w:rFonts w:ascii="Calibri" w:hAnsi="Calibri" w:cs="Arial"/>
        </w:rPr>
        <w:t>mitenta oraz jego wynik finansowy</w:t>
      </w:r>
      <w:r w:rsidR="00547C3E" w:rsidRPr="00F27BC8">
        <w:rPr>
          <w:rFonts w:ascii="Calibri" w:hAnsi="Calibri" w:cs="Arial"/>
        </w:rPr>
        <w:tab/>
      </w:r>
      <w:r w:rsidR="009360F9">
        <w:rPr>
          <w:rFonts w:ascii="Calibri" w:hAnsi="Calibri" w:cs="Arial"/>
        </w:rPr>
        <w:t>5</w:t>
      </w:r>
      <w:r w:rsidR="00B15963">
        <w:rPr>
          <w:rFonts w:ascii="Calibri" w:hAnsi="Calibri" w:cs="Arial"/>
        </w:rPr>
        <w:t>4</w:t>
      </w:r>
    </w:p>
    <w:p w14:paraId="32324D06" w14:textId="5545E122" w:rsidR="00B25E8C" w:rsidRPr="00F27BC8" w:rsidRDefault="005A2A34" w:rsidP="00A40DB8">
      <w:pPr>
        <w:widowControl w:val="0"/>
        <w:tabs>
          <w:tab w:val="left" w:pos="540"/>
          <w:tab w:val="left" w:leader="dot" w:pos="8647"/>
        </w:tabs>
        <w:autoSpaceDE w:val="0"/>
        <w:autoSpaceDN w:val="0"/>
        <w:adjustRightInd w:val="0"/>
        <w:rPr>
          <w:rFonts w:ascii="Calibri" w:hAnsi="Calibri" w:cs="Arial"/>
          <w:color w:val="FF0000"/>
        </w:rPr>
      </w:pPr>
      <w:r w:rsidRPr="00F27BC8">
        <w:rPr>
          <w:rFonts w:ascii="Calibri" w:hAnsi="Calibri" w:cs="Arial"/>
        </w:rPr>
        <w:t>1</w:t>
      </w:r>
      <w:r w:rsidR="001C0BB4" w:rsidRPr="00F27BC8">
        <w:rPr>
          <w:rFonts w:ascii="Calibri" w:hAnsi="Calibri" w:cs="Arial"/>
        </w:rPr>
        <w:t>7</w:t>
      </w:r>
      <w:r w:rsidR="00B25E8C" w:rsidRPr="00F27BC8">
        <w:rPr>
          <w:rFonts w:ascii="Calibri" w:hAnsi="Calibri" w:cs="Arial"/>
        </w:rPr>
        <w:t>.</w:t>
      </w:r>
      <w:r w:rsidR="00B25E8C" w:rsidRPr="00F27BC8">
        <w:rPr>
          <w:rFonts w:ascii="Calibri" w:hAnsi="Calibri" w:cs="Arial"/>
        </w:rPr>
        <w:tab/>
        <w:t>Oświadczenie Zarządu, iż podmiot uprawniony do badania sprawozdań</w:t>
      </w:r>
      <w:r w:rsidR="00B25E8C" w:rsidRPr="00F27BC8">
        <w:rPr>
          <w:rFonts w:ascii="Calibri" w:hAnsi="Calibri" w:cs="Arial"/>
        </w:rPr>
        <w:br/>
      </w:r>
      <w:r w:rsidR="00B25E8C" w:rsidRPr="00F27BC8">
        <w:rPr>
          <w:rFonts w:ascii="Calibri" w:hAnsi="Calibri" w:cs="Arial"/>
        </w:rPr>
        <w:tab/>
        <w:t>finansowych, został wybrany zgodnie z przepisami prawa</w:t>
      </w:r>
      <w:r w:rsidR="00B25E8C" w:rsidRPr="00F27BC8">
        <w:rPr>
          <w:rFonts w:ascii="Calibri" w:hAnsi="Calibri" w:cs="Arial"/>
        </w:rPr>
        <w:tab/>
      </w:r>
      <w:r w:rsidR="009360F9">
        <w:rPr>
          <w:rFonts w:ascii="Calibri" w:hAnsi="Calibri" w:cs="Arial"/>
        </w:rPr>
        <w:t>5</w:t>
      </w:r>
      <w:r w:rsidR="00B15963">
        <w:rPr>
          <w:rFonts w:ascii="Calibri" w:hAnsi="Calibri" w:cs="Arial"/>
        </w:rPr>
        <w:t>5</w:t>
      </w:r>
    </w:p>
    <w:p w14:paraId="4EC1A77C" w14:textId="06D88173" w:rsidR="00F66C6E" w:rsidRPr="00F27BC8" w:rsidRDefault="00DE56DF" w:rsidP="00D32B5C">
      <w:pPr>
        <w:widowControl w:val="0"/>
        <w:tabs>
          <w:tab w:val="left" w:leader="dot" w:pos="8647"/>
        </w:tabs>
        <w:autoSpaceDE w:val="0"/>
        <w:autoSpaceDN w:val="0"/>
        <w:adjustRightInd w:val="0"/>
        <w:jc w:val="both"/>
        <w:rPr>
          <w:rFonts w:ascii="Calibri" w:hAnsi="Calibri" w:cs="Arial"/>
          <w:b/>
          <w:color w:val="FF0000"/>
        </w:rPr>
      </w:pPr>
      <w:r w:rsidRPr="00F27BC8">
        <w:rPr>
          <w:rFonts w:ascii="Calibri" w:hAnsi="Calibri" w:cs="Arial"/>
          <w:b/>
          <w:color w:val="000000" w:themeColor="text1"/>
        </w:rPr>
        <w:t xml:space="preserve">AUTORYZACJA ZARZĄDU </w:t>
      </w:r>
      <w:r w:rsidR="00341DF8" w:rsidRPr="00F27BC8">
        <w:rPr>
          <w:rFonts w:ascii="Calibri" w:hAnsi="Calibri" w:cs="Arial"/>
          <w:b/>
          <w:color w:val="000000" w:themeColor="text1"/>
        </w:rPr>
        <w:t>EMITENTA</w:t>
      </w:r>
      <w:r w:rsidRPr="00F27BC8">
        <w:rPr>
          <w:rFonts w:ascii="Calibri" w:hAnsi="Calibri" w:cs="Arial"/>
          <w:b/>
          <w:color w:val="000000" w:themeColor="text1"/>
        </w:rPr>
        <w:tab/>
      </w:r>
      <w:r w:rsidR="009360F9">
        <w:rPr>
          <w:rFonts w:ascii="Calibri" w:hAnsi="Calibri" w:cs="Arial"/>
          <w:b/>
          <w:color w:val="000000" w:themeColor="text1"/>
        </w:rPr>
        <w:t>5</w:t>
      </w:r>
      <w:r w:rsidR="00B15963">
        <w:rPr>
          <w:rFonts w:ascii="Calibri" w:hAnsi="Calibri" w:cs="Arial"/>
          <w:b/>
          <w:color w:val="000000" w:themeColor="text1"/>
        </w:rPr>
        <w:t>6</w:t>
      </w:r>
      <w:bookmarkStart w:id="0" w:name="_GoBack"/>
      <w:bookmarkEnd w:id="0"/>
    </w:p>
    <w:p w14:paraId="764324BF" w14:textId="77777777" w:rsidR="00164B49" w:rsidRPr="00EE4571" w:rsidRDefault="00164B49" w:rsidP="00164B49">
      <w:pPr>
        <w:tabs>
          <w:tab w:val="left" w:pos="900"/>
          <w:tab w:val="left" w:leader="dot" w:pos="8460"/>
        </w:tabs>
        <w:spacing w:line="360" w:lineRule="auto"/>
        <w:ind w:right="74"/>
        <w:jc w:val="center"/>
        <w:rPr>
          <w:rFonts w:ascii="Calibri" w:hAnsi="Calibri" w:cs="Verdana"/>
          <w:b/>
          <w:sz w:val="28"/>
          <w:szCs w:val="28"/>
        </w:rPr>
      </w:pPr>
      <w:r w:rsidRPr="00EE4571">
        <w:rPr>
          <w:rFonts w:ascii="Calibri" w:hAnsi="Calibri" w:cs="Verdana"/>
          <w:b/>
          <w:sz w:val="28"/>
          <w:szCs w:val="28"/>
        </w:rPr>
        <w:lastRenderedPageBreak/>
        <w:t>WYBRANE DANE FINANSOWE</w:t>
      </w:r>
    </w:p>
    <w:p w14:paraId="08E5B863" w14:textId="77777777" w:rsidR="00164B49" w:rsidRPr="00183773" w:rsidRDefault="00164B49" w:rsidP="00164B49">
      <w:pPr>
        <w:tabs>
          <w:tab w:val="left" w:pos="900"/>
          <w:tab w:val="left" w:leader="dot" w:pos="8460"/>
        </w:tabs>
        <w:spacing w:line="360" w:lineRule="auto"/>
        <w:ind w:right="74"/>
        <w:jc w:val="both"/>
        <w:rPr>
          <w:rFonts w:ascii="Calibri" w:hAnsi="Calibri" w:cs="Verdana"/>
          <w:b/>
          <w:sz w:val="18"/>
          <w:szCs w:val="18"/>
          <w:highlight w:val="green"/>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1413"/>
        <w:gridCol w:w="1413"/>
        <w:gridCol w:w="1413"/>
        <w:gridCol w:w="1413"/>
      </w:tblGrid>
      <w:tr w:rsidR="00164B49" w:rsidRPr="00F27BC8" w14:paraId="61CE2F30" w14:textId="77777777" w:rsidTr="00F27BC8">
        <w:trPr>
          <w:jc w:val="center"/>
        </w:trPr>
        <w:tc>
          <w:tcPr>
            <w:tcW w:w="3828" w:type="dxa"/>
            <w:gridSpan w:val="2"/>
            <w:vMerge w:val="restart"/>
            <w:tcBorders>
              <w:top w:val="nil"/>
              <w:left w:val="nil"/>
            </w:tcBorders>
            <w:shd w:val="clear" w:color="auto" w:fill="auto"/>
          </w:tcPr>
          <w:p w14:paraId="6FDF7153" w14:textId="77777777" w:rsidR="00164B49" w:rsidRPr="00F27BC8" w:rsidRDefault="00164B49" w:rsidP="00164B49">
            <w:pPr>
              <w:rPr>
                <w:rFonts w:asciiTheme="minorHAnsi" w:hAnsiTheme="minorHAnsi"/>
                <w:sz w:val="20"/>
                <w:szCs w:val="20"/>
              </w:rPr>
            </w:pPr>
          </w:p>
        </w:tc>
        <w:tc>
          <w:tcPr>
            <w:tcW w:w="2826" w:type="dxa"/>
            <w:gridSpan w:val="2"/>
            <w:shd w:val="clear" w:color="auto" w:fill="BFBFBF" w:themeFill="background1" w:themeFillShade="BF"/>
          </w:tcPr>
          <w:p w14:paraId="6A0B624E" w14:textId="77777777" w:rsidR="00164B49" w:rsidRPr="00F27BC8" w:rsidRDefault="00164B49" w:rsidP="00164B49">
            <w:pPr>
              <w:jc w:val="center"/>
              <w:rPr>
                <w:rFonts w:asciiTheme="minorHAnsi" w:hAnsiTheme="minorHAnsi"/>
                <w:sz w:val="20"/>
                <w:szCs w:val="20"/>
              </w:rPr>
            </w:pPr>
            <w:r w:rsidRPr="00F27BC8">
              <w:rPr>
                <w:rFonts w:asciiTheme="minorHAnsi" w:hAnsiTheme="minorHAnsi"/>
                <w:sz w:val="20"/>
                <w:szCs w:val="20"/>
              </w:rPr>
              <w:t>tys. PLN</w:t>
            </w:r>
          </w:p>
          <w:p w14:paraId="51C72C91" w14:textId="77777777" w:rsidR="00164B49" w:rsidRPr="00F27BC8" w:rsidRDefault="00164B49" w:rsidP="00164B49">
            <w:pPr>
              <w:jc w:val="center"/>
              <w:rPr>
                <w:rFonts w:asciiTheme="minorHAnsi" w:hAnsiTheme="minorHAnsi"/>
                <w:sz w:val="20"/>
                <w:szCs w:val="20"/>
              </w:rPr>
            </w:pPr>
            <w:r w:rsidRPr="00F27BC8">
              <w:rPr>
                <w:rFonts w:asciiTheme="minorHAnsi" w:hAnsiTheme="minorHAnsi"/>
                <w:sz w:val="20"/>
                <w:szCs w:val="20"/>
              </w:rPr>
              <w:t>okres obrotowy</w:t>
            </w:r>
          </w:p>
        </w:tc>
        <w:tc>
          <w:tcPr>
            <w:tcW w:w="2826" w:type="dxa"/>
            <w:gridSpan w:val="2"/>
            <w:shd w:val="clear" w:color="auto" w:fill="BFBFBF" w:themeFill="background1" w:themeFillShade="BF"/>
          </w:tcPr>
          <w:p w14:paraId="61059589" w14:textId="77777777" w:rsidR="00164B49" w:rsidRPr="00F27BC8" w:rsidRDefault="00164B49" w:rsidP="00164B49">
            <w:pPr>
              <w:jc w:val="center"/>
              <w:rPr>
                <w:rFonts w:asciiTheme="minorHAnsi" w:hAnsiTheme="minorHAnsi"/>
                <w:sz w:val="20"/>
                <w:szCs w:val="20"/>
              </w:rPr>
            </w:pPr>
            <w:r w:rsidRPr="00F27BC8">
              <w:rPr>
                <w:rFonts w:asciiTheme="minorHAnsi" w:hAnsiTheme="minorHAnsi"/>
                <w:sz w:val="20"/>
                <w:szCs w:val="20"/>
              </w:rPr>
              <w:t xml:space="preserve">tys. EUR </w:t>
            </w:r>
          </w:p>
          <w:p w14:paraId="2E4680F6" w14:textId="77777777" w:rsidR="00164B49" w:rsidRPr="00F27BC8" w:rsidRDefault="00164B49" w:rsidP="00164B49">
            <w:pPr>
              <w:jc w:val="center"/>
              <w:rPr>
                <w:rFonts w:asciiTheme="minorHAnsi" w:hAnsiTheme="minorHAnsi"/>
                <w:sz w:val="20"/>
                <w:szCs w:val="20"/>
              </w:rPr>
            </w:pPr>
            <w:r w:rsidRPr="00F27BC8">
              <w:rPr>
                <w:rFonts w:asciiTheme="minorHAnsi" w:hAnsiTheme="minorHAnsi"/>
                <w:sz w:val="20"/>
                <w:szCs w:val="20"/>
              </w:rPr>
              <w:t>okres obrotowy</w:t>
            </w:r>
          </w:p>
        </w:tc>
      </w:tr>
      <w:tr w:rsidR="00164B49" w:rsidRPr="00F27BC8" w14:paraId="2526E29F" w14:textId="77777777" w:rsidTr="00F27BC8">
        <w:trPr>
          <w:jc w:val="center"/>
        </w:trPr>
        <w:tc>
          <w:tcPr>
            <w:tcW w:w="3828" w:type="dxa"/>
            <w:gridSpan w:val="2"/>
            <w:vMerge/>
            <w:tcBorders>
              <w:left w:val="nil"/>
            </w:tcBorders>
            <w:shd w:val="clear" w:color="auto" w:fill="auto"/>
          </w:tcPr>
          <w:p w14:paraId="3DF52BC4" w14:textId="77777777" w:rsidR="00164B49" w:rsidRPr="00F27BC8" w:rsidRDefault="00164B49" w:rsidP="00164B49">
            <w:pPr>
              <w:rPr>
                <w:rFonts w:asciiTheme="minorHAnsi" w:hAnsiTheme="minorHAnsi"/>
                <w:sz w:val="20"/>
                <w:szCs w:val="20"/>
              </w:rPr>
            </w:pPr>
          </w:p>
        </w:tc>
        <w:tc>
          <w:tcPr>
            <w:tcW w:w="1413" w:type="dxa"/>
            <w:shd w:val="clear" w:color="auto" w:fill="BFBFBF" w:themeFill="background1" w:themeFillShade="BF"/>
          </w:tcPr>
          <w:p w14:paraId="019CC431"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za</w:t>
            </w:r>
          </w:p>
          <w:p w14:paraId="761F31F0"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6 miesięcy</w:t>
            </w:r>
          </w:p>
          <w:p w14:paraId="25CBAF7D"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 xml:space="preserve">zakończony </w:t>
            </w:r>
          </w:p>
          <w:p w14:paraId="121811A0"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30 czerwca</w:t>
            </w:r>
          </w:p>
          <w:p w14:paraId="4068D7FB"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201</w:t>
            </w:r>
            <w:r w:rsidR="00F27BC8" w:rsidRPr="00F27BC8">
              <w:rPr>
                <w:rFonts w:asciiTheme="minorHAnsi" w:hAnsiTheme="minorHAnsi"/>
                <w:b/>
                <w:sz w:val="20"/>
                <w:szCs w:val="20"/>
              </w:rPr>
              <w:t>6</w:t>
            </w:r>
          </w:p>
        </w:tc>
        <w:tc>
          <w:tcPr>
            <w:tcW w:w="1413" w:type="dxa"/>
            <w:shd w:val="clear" w:color="auto" w:fill="auto"/>
          </w:tcPr>
          <w:p w14:paraId="11327C26"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za</w:t>
            </w:r>
          </w:p>
          <w:p w14:paraId="58D1679D"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6 miesięcy</w:t>
            </w:r>
          </w:p>
          <w:p w14:paraId="7480D982"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 xml:space="preserve">zakończony </w:t>
            </w:r>
          </w:p>
          <w:p w14:paraId="0E254A83"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30 czerwca</w:t>
            </w:r>
          </w:p>
          <w:p w14:paraId="47A847D9"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201</w:t>
            </w:r>
            <w:r w:rsidR="00F27BC8" w:rsidRPr="00F27BC8">
              <w:rPr>
                <w:rFonts w:asciiTheme="minorHAnsi" w:hAnsiTheme="minorHAnsi"/>
                <w:b/>
                <w:sz w:val="20"/>
                <w:szCs w:val="20"/>
              </w:rPr>
              <w:t>5</w:t>
            </w:r>
          </w:p>
        </w:tc>
        <w:tc>
          <w:tcPr>
            <w:tcW w:w="1413" w:type="dxa"/>
            <w:shd w:val="clear" w:color="auto" w:fill="BFBFBF" w:themeFill="background1" w:themeFillShade="BF"/>
          </w:tcPr>
          <w:p w14:paraId="1DD93BE2"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za</w:t>
            </w:r>
          </w:p>
          <w:p w14:paraId="31DAFDBB"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6 miesięcy</w:t>
            </w:r>
          </w:p>
          <w:p w14:paraId="3944C45A"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 xml:space="preserve">zakończony </w:t>
            </w:r>
          </w:p>
          <w:p w14:paraId="1E2D8D3C"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30 czerwca</w:t>
            </w:r>
          </w:p>
          <w:p w14:paraId="548FF6C9"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201</w:t>
            </w:r>
            <w:r w:rsidR="00F27BC8" w:rsidRPr="00F27BC8">
              <w:rPr>
                <w:rFonts w:asciiTheme="minorHAnsi" w:hAnsiTheme="minorHAnsi"/>
                <w:b/>
                <w:sz w:val="20"/>
                <w:szCs w:val="20"/>
              </w:rPr>
              <w:t>6</w:t>
            </w:r>
          </w:p>
        </w:tc>
        <w:tc>
          <w:tcPr>
            <w:tcW w:w="1413" w:type="dxa"/>
            <w:shd w:val="clear" w:color="auto" w:fill="auto"/>
          </w:tcPr>
          <w:p w14:paraId="31FB5B81"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za</w:t>
            </w:r>
          </w:p>
          <w:p w14:paraId="12F23F94"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6 miesięcy</w:t>
            </w:r>
          </w:p>
          <w:p w14:paraId="727DD0D4"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 xml:space="preserve">zakończony </w:t>
            </w:r>
          </w:p>
          <w:p w14:paraId="5FC13A78"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30 czerwca</w:t>
            </w:r>
          </w:p>
          <w:p w14:paraId="12ECE556" w14:textId="77777777" w:rsidR="00164B49" w:rsidRPr="00F27BC8" w:rsidRDefault="00164B49" w:rsidP="00164B49">
            <w:pPr>
              <w:jc w:val="center"/>
              <w:rPr>
                <w:rFonts w:asciiTheme="minorHAnsi" w:hAnsiTheme="minorHAnsi"/>
                <w:b/>
                <w:sz w:val="20"/>
                <w:szCs w:val="20"/>
              </w:rPr>
            </w:pPr>
            <w:r w:rsidRPr="00F27BC8">
              <w:rPr>
                <w:rFonts w:asciiTheme="minorHAnsi" w:hAnsiTheme="minorHAnsi"/>
                <w:b/>
                <w:sz w:val="20"/>
                <w:szCs w:val="20"/>
              </w:rPr>
              <w:t>201</w:t>
            </w:r>
            <w:r w:rsidR="00F27BC8" w:rsidRPr="00F27BC8">
              <w:rPr>
                <w:rFonts w:asciiTheme="minorHAnsi" w:hAnsiTheme="minorHAnsi"/>
                <w:b/>
                <w:sz w:val="20"/>
                <w:szCs w:val="20"/>
              </w:rPr>
              <w:t>5</w:t>
            </w:r>
          </w:p>
        </w:tc>
      </w:tr>
      <w:tr w:rsidR="00F27BC8" w:rsidRPr="00F27BC8" w14:paraId="7C132877" w14:textId="77777777" w:rsidTr="00EE4571">
        <w:trPr>
          <w:jc w:val="center"/>
        </w:trPr>
        <w:tc>
          <w:tcPr>
            <w:tcW w:w="567" w:type="dxa"/>
            <w:shd w:val="clear" w:color="auto" w:fill="BFBFBF" w:themeFill="background1" w:themeFillShade="BF"/>
          </w:tcPr>
          <w:p w14:paraId="5FD0A116" w14:textId="77777777" w:rsidR="00F27BC8" w:rsidRPr="00F27BC8" w:rsidRDefault="00F27BC8" w:rsidP="00F27BC8">
            <w:pPr>
              <w:jc w:val="center"/>
              <w:rPr>
                <w:rFonts w:asciiTheme="minorHAnsi" w:hAnsiTheme="minorHAnsi"/>
                <w:sz w:val="20"/>
                <w:szCs w:val="20"/>
              </w:rPr>
            </w:pPr>
          </w:p>
          <w:p w14:paraId="61C0B317" w14:textId="77777777" w:rsidR="00F27BC8" w:rsidRDefault="00F27BC8" w:rsidP="00F27BC8">
            <w:pPr>
              <w:jc w:val="center"/>
              <w:rPr>
                <w:rFonts w:asciiTheme="minorHAnsi" w:hAnsiTheme="minorHAnsi"/>
                <w:sz w:val="20"/>
                <w:szCs w:val="20"/>
              </w:rPr>
            </w:pPr>
            <w:r w:rsidRPr="00F27BC8">
              <w:rPr>
                <w:rFonts w:asciiTheme="minorHAnsi" w:hAnsiTheme="minorHAnsi"/>
                <w:sz w:val="20"/>
                <w:szCs w:val="20"/>
              </w:rPr>
              <w:t>I.</w:t>
            </w:r>
          </w:p>
          <w:p w14:paraId="38A35AFD" w14:textId="77777777" w:rsidR="00A22C87" w:rsidRPr="00F27BC8" w:rsidRDefault="00A22C87" w:rsidP="00F27BC8">
            <w:pPr>
              <w:jc w:val="center"/>
              <w:rPr>
                <w:rFonts w:asciiTheme="minorHAnsi" w:hAnsiTheme="minorHAnsi"/>
                <w:sz w:val="20"/>
                <w:szCs w:val="20"/>
              </w:rPr>
            </w:pPr>
          </w:p>
        </w:tc>
        <w:tc>
          <w:tcPr>
            <w:tcW w:w="3261" w:type="dxa"/>
            <w:vAlign w:val="center"/>
          </w:tcPr>
          <w:p w14:paraId="6DE66962" w14:textId="77777777" w:rsidR="00F27BC8" w:rsidRPr="00F27BC8" w:rsidRDefault="00F27BC8" w:rsidP="00F27BC8">
            <w:pPr>
              <w:outlineLvl w:val="0"/>
              <w:rPr>
                <w:rFonts w:asciiTheme="minorHAnsi" w:hAnsiTheme="minorHAnsi" w:cs="Arial"/>
                <w:sz w:val="20"/>
                <w:szCs w:val="20"/>
              </w:rPr>
            </w:pPr>
            <w:r w:rsidRPr="00F27BC8">
              <w:rPr>
                <w:rFonts w:asciiTheme="minorHAnsi" w:hAnsiTheme="minorHAnsi" w:cs="Arial"/>
                <w:sz w:val="20"/>
                <w:szCs w:val="20"/>
              </w:rPr>
              <w:t>Przychody ze sprzedaży</w:t>
            </w:r>
          </w:p>
        </w:tc>
        <w:tc>
          <w:tcPr>
            <w:tcW w:w="1413" w:type="dxa"/>
            <w:shd w:val="clear" w:color="auto" w:fill="BFBFBF" w:themeFill="background1" w:themeFillShade="BF"/>
            <w:vAlign w:val="center"/>
          </w:tcPr>
          <w:p w14:paraId="3B65CDC3"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105 900</w:t>
            </w:r>
          </w:p>
        </w:tc>
        <w:tc>
          <w:tcPr>
            <w:tcW w:w="1413" w:type="dxa"/>
            <w:vAlign w:val="center"/>
          </w:tcPr>
          <w:p w14:paraId="4B9380BD"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111 386</w:t>
            </w:r>
          </w:p>
        </w:tc>
        <w:tc>
          <w:tcPr>
            <w:tcW w:w="1413" w:type="dxa"/>
            <w:shd w:val="clear" w:color="auto" w:fill="BFBFBF" w:themeFill="background1" w:themeFillShade="BF"/>
            <w:vAlign w:val="center"/>
          </w:tcPr>
          <w:p w14:paraId="74BEB6C3"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24 175</w:t>
            </w:r>
          </w:p>
        </w:tc>
        <w:tc>
          <w:tcPr>
            <w:tcW w:w="1413" w:type="dxa"/>
            <w:vAlign w:val="center"/>
          </w:tcPr>
          <w:p w14:paraId="53764A74"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26 943</w:t>
            </w:r>
          </w:p>
        </w:tc>
      </w:tr>
      <w:tr w:rsidR="00F27BC8" w:rsidRPr="00F27BC8" w14:paraId="6C975D99" w14:textId="77777777" w:rsidTr="00EE4571">
        <w:trPr>
          <w:jc w:val="center"/>
        </w:trPr>
        <w:tc>
          <w:tcPr>
            <w:tcW w:w="567" w:type="dxa"/>
            <w:shd w:val="clear" w:color="auto" w:fill="BFBFBF" w:themeFill="background1" w:themeFillShade="BF"/>
          </w:tcPr>
          <w:p w14:paraId="060465C1" w14:textId="77777777" w:rsidR="00F27BC8" w:rsidRPr="00F27BC8" w:rsidRDefault="00F27BC8" w:rsidP="00F27BC8">
            <w:pPr>
              <w:jc w:val="center"/>
              <w:rPr>
                <w:rFonts w:asciiTheme="minorHAnsi" w:hAnsiTheme="minorHAnsi"/>
                <w:sz w:val="20"/>
                <w:szCs w:val="20"/>
              </w:rPr>
            </w:pPr>
          </w:p>
          <w:p w14:paraId="71C04ECA"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II.</w:t>
            </w:r>
          </w:p>
          <w:p w14:paraId="799B85A1" w14:textId="77777777" w:rsidR="00F27BC8" w:rsidRPr="00F27BC8" w:rsidRDefault="00F27BC8" w:rsidP="00F27BC8">
            <w:pPr>
              <w:jc w:val="center"/>
              <w:rPr>
                <w:rFonts w:asciiTheme="minorHAnsi" w:hAnsiTheme="minorHAnsi"/>
                <w:sz w:val="20"/>
                <w:szCs w:val="20"/>
              </w:rPr>
            </w:pPr>
          </w:p>
        </w:tc>
        <w:tc>
          <w:tcPr>
            <w:tcW w:w="3261" w:type="dxa"/>
            <w:vAlign w:val="center"/>
          </w:tcPr>
          <w:p w14:paraId="5E626134" w14:textId="77777777" w:rsidR="00F27BC8" w:rsidRPr="00F27BC8" w:rsidRDefault="00F27BC8" w:rsidP="00F27BC8">
            <w:pPr>
              <w:outlineLvl w:val="0"/>
              <w:rPr>
                <w:rFonts w:asciiTheme="minorHAnsi" w:hAnsiTheme="minorHAnsi" w:cs="Arial"/>
                <w:sz w:val="20"/>
                <w:szCs w:val="20"/>
              </w:rPr>
            </w:pPr>
            <w:r w:rsidRPr="00F27BC8">
              <w:rPr>
                <w:rFonts w:asciiTheme="minorHAnsi" w:hAnsiTheme="minorHAnsi" w:cs="Arial"/>
                <w:sz w:val="20"/>
                <w:szCs w:val="20"/>
              </w:rPr>
              <w:t>Zysk (strata) z działalności operacyjnej</w:t>
            </w:r>
          </w:p>
        </w:tc>
        <w:tc>
          <w:tcPr>
            <w:tcW w:w="1413" w:type="dxa"/>
            <w:shd w:val="clear" w:color="auto" w:fill="BFBFBF" w:themeFill="background1" w:themeFillShade="BF"/>
            <w:vAlign w:val="center"/>
          </w:tcPr>
          <w:p w14:paraId="7F38017F"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-38</w:t>
            </w:r>
          </w:p>
        </w:tc>
        <w:tc>
          <w:tcPr>
            <w:tcW w:w="1413" w:type="dxa"/>
            <w:vAlign w:val="center"/>
          </w:tcPr>
          <w:p w14:paraId="229E5DC6"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3 366</w:t>
            </w:r>
          </w:p>
        </w:tc>
        <w:tc>
          <w:tcPr>
            <w:tcW w:w="1413" w:type="dxa"/>
            <w:shd w:val="clear" w:color="auto" w:fill="BFBFBF" w:themeFill="background1" w:themeFillShade="BF"/>
            <w:vAlign w:val="center"/>
          </w:tcPr>
          <w:p w14:paraId="3080397E"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-9</w:t>
            </w:r>
          </w:p>
        </w:tc>
        <w:tc>
          <w:tcPr>
            <w:tcW w:w="1413" w:type="dxa"/>
            <w:vAlign w:val="center"/>
          </w:tcPr>
          <w:p w14:paraId="422A51F8"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814</w:t>
            </w:r>
          </w:p>
        </w:tc>
      </w:tr>
      <w:tr w:rsidR="00F27BC8" w:rsidRPr="00F27BC8" w14:paraId="401F4EB8" w14:textId="77777777" w:rsidTr="00EE4571">
        <w:trPr>
          <w:jc w:val="center"/>
        </w:trPr>
        <w:tc>
          <w:tcPr>
            <w:tcW w:w="567" w:type="dxa"/>
            <w:shd w:val="clear" w:color="auto" w:fill="BFBFBF" w:themeFill="background1" w:themeFillShade="BF"/>
          </w:tcPr>
          <w:p w14:paraId="05EEB3DE" w14:textId="77777777" w:rsidR="00F27BC8" w:rsidRPr="00F27BC8" w:rsidRDefault="00F27BC8" w:rsidP="00F27BC8">
            <w:pPr>
              <w:jc w:val="center"/>
              <w:rPr>
                <w:rFonts w:asciiTheme="minorHAnsi" w:hAnsiTheme="minorHAnsi"/>
                <w:sz w:val="20"/>
                <w:szCs w:val="20"/>
              </w:rPr>
            </w:pPr>
          </w:p>
          <w:p w14:paraId="3176F3BC"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III.</w:t>
            </w:r>
          </w:p>
          <w:p w14:paraId="3B7153F4" w14:textId="77777777" w:rsidR="00F27BC8" w:rsidRPr="00F27BC8" w:rsidRDefault="00F27BC8" w:rsidP="00F27BC8">
            <w:pPr>
              <w:jc w:val="center"/>
              <w:rPr>
                <w:rFonts w:asciiTheme="minorHAnsi" w:hAnsiTheme="minorHAnsi"/>
                <w:sz w:val="20"/>
                <w:szCs w:val="20"/>
              </w:rPr>
            </w:pPr>
          </w:p>
        </w:tc>
        <w:tc>
          <w:tcPr>
            <w:tcW w:w="3261" w:type="dxa"/>
            <w:vAlign w:val="center"/>
          </w:tcPr>
          <w:p w14:paraId="05AE9D9F" w14:textId="77777777" w:rsidR="00F27BC8" w:rsidRPr="00F27BC8" w:rsidRDefault="00F27BC8" w:rsidP="00F27BC8">
            <w:pPr>
              <w:outlineLvl w:val="0"/>
              <w:rPr>
                <w:rFonts w:asciiTheme="minorHAnsi" w:hAnsiTheme="minorHAnsi" w:cs="Arial"/>
                <w:sz w:val="20"/>
                <w:szCs w:val="20"/>
              </w:rPr>
            </w:pPr>
            <w:r w:rsidRPr="00F27BC8">
              <w:rPr>
                <w:rFonts w:asciiTheme="minorHAnsi" w:hAnsiTheme="minorHAnsi" w:cs="Arial"/>
                <w:sz w:val="20"/>
                <w:szCs w:val="20"/>
              </w:rPr>
              <w:t>Zysk (strata) przed opodatkowaniem</w:t>
            </w:r>
          </w:p>
        </w:tc>
        <w:tc>
          <w:tcPr>
            <w:tcW w:w="1413" w:type="dxa"/>
            <w:shd w:val="clear" w:color="auto" w:fill="BFBFBF" w:themeFill="background1" w:themeFillShade="BF"/>
            <w:vAlign w:val="center"/>
          </w:tcPr>
          <w:p w14:paraId="16E19868"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-967</w:t>
            </w:r>
          </w:p>
        </w:tc>
        <w:tc>
          <w:tcPr>
            <w:tcW w:w="1413" w:type="dxa"/>
            <w:vAlign w:val="center"/>
          </w:tcPr>
          <w:p w14:paraId="67A097BC"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2 408</w:t>
            </w:r>
          </w:p>
        </w:tc>
        <w:tc>
          <w:tcPr>
            <w:tcW w:w="1413" w:type="dxa"/>
            <w:shd w:val="clear" w:color="auto" w:fill="BFBFBF" w:themeFill="background1" w:themeFillShade="BF"/>
            <w:vAlign w:val="center"/>
          </w:tcPr>
          <w:p w14:paraId="16E9EBDA"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-221</w:t>
            </w:r>
          </w:p>
        </w:tc>
        <w:tc>
          <w:tcPr>
            <w:tcW w:w="1413" w:type="dxa"/>
            <w:vAlign w:val="center"/>
          </w:tcPr>
          <w:p w14:paraId="2709DAE5"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582</w:t>
            </w:r>
          </w:p>
        </w:tc>
      </w:tr>
      <w:tr w:rsidR="00F27BC8" w:rsidRPr="00F27BC8" w14:paraId="6C786B13" w14:textId="77777777" w:rsidTr="00EE4571">
        <w:trPr>
          <w:jc w:val="center"/>
        </w:trPr>
        <w:tc>
          <w:tcPr>
            <w:tcW w:w="567" w:type="dxa"/>
            <w:shd w:val="clear" w:color="auto" w:fill="BFBFBF" w:themeFill="background1" w:themeFillShade="BF"/>
          </w:tcPr>
          <w:p w14:paraId="0C1BC648" w14:textId="77777777" w:rsidR="00F27BC8" w:rsidRPr="00F27BC8" w:rsidRDefault="00F27BC8" w:rsidP="00F27BC8">
            <w:pPr>
              <w:jc w:val="center"/>
              <w:rPr>
                <w:rFonts w:asciiTheme="minorHAnsi" w:hAnsiTheme="minorHAnsi"/>
                <w:sz w:val="20"/>
                <w:szCs w:val="20"/>
              </w:rPr>
            </w:pPr>
          </w:p>
          <w:p w14:paraId="20927F0A"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IV.</w:t>
            </w:r>
          </w:p>
          <w:p w14:paraId="2F207608" w14:textId="77777777" w:rsidR="00F27BC8" w:rsidRPr="00F27BC8" w:rsidRDefault="00F27BC8" w:rsidP="00F27BC8">
            <w:pPr>
              <w:jc w:val="center"/>
              <w:rPr>
                <w:rFonts w:asciiTheme="minorHAnsi" w:hAnsiTheme="minorHAnsi"/>
                <w:sz w:val="20"/>
                <w:szCs w:val="20"/>
              </w:rPr>
            </w:pPr>
          </w:p>
        </w:tc>
        <w:tc>
          <w:tcPr>
            <w:tcW w:w="3261" w:type="dxa"/>
            <w:vAlign w:val="center"/>
          </w:tcPr>
          <w:p w14:paraId="0B5CCAC1" w14:textId="77777777" w:rsidR="00F27BC8" w:rsidRPr="00F27BC8" w:rsidRDefault="00F27BC8" w:rsidP="00F27BC8">
            <w:pPr>
              <w:outlineLvl w:val="0"/>
              <w:rPr>
                <w:rFonts w:asciiTheme="minorHAnsi" w:hAnsiTheme="minorHAnsi" w:cs="Arial"/>
                <w:b/>
                <w:bCs/>
                <w:sz w:val="20"/>
                <w:szCs w:val="20"/>
              </w:rPr>
            </w:pPr>
            <w:r w:rsidRPr="00F27BC8">
              <w:rPr>
                <w:rFonts w:asciiTheme="minorHAnsi" w:hAnsiTheme="minorHAnsi" w:cs="Arial"/>
                <w:b/>
                <w:bCs/>
                <w:sz w:val="20"/>
                <w:szCs w:val="20"/>
              </w:rPr>
              <w:t>Zysk (strata) netto</w:t>
            </w:r>
          </w:p>
        </w:tc>
        <w:tc>
          <w:tcPr>
            <w:tcW w:w="1413" w:type="dxa"/>
            <w:shd w:val="clear" w:color="auto" w:fill="BFBFBF" w:themeFill="background1" w:themeFillShade="BF"/>
            <w:vAlign w:val="center"/>
          </w:tcPr>
          <w:p w14:paraId="01DB0A49" w14:textId="0AF55E4E"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-1 30</w:t>
            </w:r>
            <w:r w:rsidR="00B1209E">
              <w:rPr>
                <w:rFonts w:asciiTheme="minorHAnsi" w:hAnsiTheme="minorHAnsi" w:cs="Arial"/>
                <w:b/>
                <w:bCs/>
                <w:sz w:val="20"/>
                <w:szCs w:val="20"/>
              </w:rPr>
              <w:t>9</w:t>
            </w:r>
          </w:p>
        </w:tc>
        <w:tc>
          <w:tcPr>
            <w:tcW w:w="1413" w:type="dxa"/>
            <w:vAlign w:val="center"/>
          </w:tcPr>
          <w:p w14:paraId="4B264086" w14:textId="77777777"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2 032</w:t>
            </w:r>
          </w:p>
        </w:tc>
        <w:tc>
          <w:tcPr>
            <w:tcW w:w="1413" w:type="dxa"/>
            <w:shd w:val="clear" w:color="auto" w:fill="BFBFBF" w:themeFill="background1" w:themeFillShade="BF"/>
            <w:vAlign w:val="center"/>
          </w:tcPr>
          <w:p w14:paraId="158642C1" w14:textId="77777777"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-299</w:t>
            </w:r>
          </w:p>
        </w:tc>
        <w:tc>
          <w:tcPr>
            <w:tcW w:w="1413" w:type="dxa"/>
            <w:vAlign w:val="center"/>
          </w:tcPr>
          <w:p w14:paraId="5ABBAA12" w14:textId="77777777"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491</w:t>
            </w:r>
          </w:p>
        </w:tc>
      </w:tr>
      <w:tr w:rsidR="00F27BC8" w:rsidRPr="00F27BC8" w14:paraId="4437C90B" w14:textId="77777777" w:rsidTr="00EE4571">
        <w:trPr>
          <w:jc w:val="center"/>
        </w:trPr>
        <w:tc>
          <w:tcPr>
            <w:tcW w:w="567" w:type="dxa"/>
            <w:shd w:val="clear" w:color="auto" w:fill="BFBFBF" w:themeFill="background1" w:themeFillShade="BF"/>
          </w:tcPr>
          <w:p w14:paraId="62B09F60" w14:textId="77777777" w:rsidR="00F27BC8" w:rsidRPr="00F27BC8" w:rsidRDefault="00F27BC8" w:rsidP="00F27BC8">
            <w:pPr>
              <w:jc w:val="center"/>
              <w:rPr>
                <w:rFonts w:asciiTheme="minorHAnsi" w:hAnsiTheme="minorHAnsi"/>
                <w:sz w:val="20"/>
                <w:szCs w:val="20"/>
              </w:rPr>
            </w:pPr>
          </w:p>
          <w:p w14:paraId="2CDF203C"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V.</w:t>
            </w:r>
          </w:p>
          <w:p w14:paraId="06E46907" w14:textId="77777777" w:rsidR="00F27BC8" w:rsidRPr="00F27BC8" w:rsidRDefault="00F27BC8" w:rsidP="00F27BC8">
            <w:pPr>
              <w:jc w:val="center"/>
              <w:rPr>
                <w:rFonts w:asciiTheme="minorHAnsi" w:hAnsiTheme="minorHAnsi"/>
                <w:sz w:val="20"/>
                <w:szCs w:val="20"/>
              </w:rPr>
            </w:pPr>
          </w:p>
        </w:tc>
        <w:tc>
          <w:tcPr>
            <w:tcW w:w="3261" w:type="dxa"/>
            <w:vAlign w:val="center"/>
          </w:tcPr>
          <w:p w14:paraId="039DF31C" w14:textId="77777777" w:rsidR="00F27BC8" w:rsidRPr="00F27BC8" w:rsidRDefault="00F27BC8" w:rsidP="00F27BC8">
            <w:pPr>
              <w:outlineLvl w:val="0"/>
              <w:rPr>
                <w:rFonts w:asciiTheme="minorHAnsi" w:hAnsiTheme="minorHAnsi" w:cs="Arial"/>
                <w:b/>
                <w:bCs/>
                <w:sz w:val="20"/>
                <w:szCs w:val="20"/>
              </w:rPr>
            </w:pPr>
            <w:r w:rsidRPr="00F27BC8">
              <w:rPr>
                <w:rFonts w:asciiTheme="minorHAnsi" w:hAnsiTheme="minorHAnsi" w:cs="Arial"/>
                <w:b/>
                <w:bCs/>
                <w:sz w:val="20"/>
                <w:szCs w:val="20"/>
              </w:rPr>
              <w:t>Zysk (strata) netto przypadające Akcjonariuszom Jednostki Dominującej</w:t>
            </w:r>
          </w:p>
        </w:tc>
        <w:tc>
          <w:tcPr>
            <w:tcW w:w="1413" w:type="dxa"/>
            <w:shd w:val="clear" w:color="auto" w:fill="BFBFBF" w:themeFill="background1" w:themeFillShade="BF"/>
            <w:vAlign w:val="center"/>
          </w:tcPr>
          <w:p w14:paraId="5D842A2C" w14:textId="022F7E6D"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-24</w:t>
            </w:r>
            <w:r w:rsidR="00B1209E">
              <w:rPr>
                <w:rFonts w:asciiTheme="minorHAnsi" w:hAnsiTheme="minorHAnsi" w:cs="Arial"/>
                <w:b/>
                <w:bCs/>
                <w:sz w:val="20"/>
                <w:szCs w:val="20"/>
              </w:rPr>
              <w:t>6</w:t>
            </w:r>
          </w:p>
        </w:tc>
        <w:tc>
          <w:tcPr>
            <w:tcW w:w="1413" w:type="dxa"/>
            <w:vAlign w:val="center"/>
          </w:tcPr>
          <w:p w14:paraId="3252D23F" w14:textId="77777777"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2 001</w:t>
            </w:r>
          </w:p>
        </w:tc>
        <w:tc>
          <w:tcPr>
            <w:tcW w:w="1413" w:type="dxa"/>
            <w:shd w:val="clear" w:color="auto" w:fill="BFBFBF" w:themeFill="background1" w:themeFillShade="BF"/>
            <w:vAlign w:val="center"/>
          </w:tcPr>
          <w:p w14:paraId="2E5882D2" w14:textId="77777777"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-56</w:t>
            </w:r>
          </w:p>
        </w:tc>
        <w:tc>
          <w:tcPr>
            <w:tcW w:w="1413" w:type="dxa"/>
            <w:vAlign w:val="center"/>
          </w:tcPr>
          <w:p w14:paraId="149F7427" w14:textId="77777777" w:rsidR="00F27BC8" w:rsidRPr="00F27BC8" w:rsidRDefault="00F27BC8" w:rsidP="00EE4571">
            <w:pPr>
              <w:jc w:val="right"/>
              <w:outlineLvl w:val="0"/>
              <w:rPr>
                <w:rFonts w:asciiTheme="minorHAnsi" w:hAnsiTheme="minorHAnsi" w:cs="Arial"/>
                <w:b/>
                <w:bCs/>
                <w:sz w:val="20"/>
                <w:szCs w:val="20"/>
              </w:rPr>
            </w:pPr>
            <w:r w:rsidRPr="00F27BC8">
              <w:rPr>
                <w:rFonts w:asciiTheme="minorHAnsi" w:hAnsiTheme="minorHAnsi" w:cs="Arial"/>
                <w:b/>
                <w:bCs/>
                <w:sz w:val="20"/>
                <w:szCs w:val="20"/>
              </w:rPr>
              <w:t>484</w:t>
            </w:r>
          </w:p>
        </w:tc>
      </w:tr>
      <w:tr w:rsidR="00F27BC8" w:rsidRPr="00F27BC8" w14:paraId="0E7FD569" w14:textId="77777777" w:rsidTr="00EE4571">
        <w:trPr>
          <w:jc w:val="center"/>
        </w:trPr>
        <w:tc>
          <w:tcPr>
            <w:tcW w:w="567" w:type="dxa"/>
            <w:shd w:val="clear" w:color="auto" w:fill="BFBFBF" w:themeFill="background1" w:themeFillShade="BF"/>
          </w:tcPr>
          <w:p w14:paraId="2B2892C6" w14:textId="77777777" w:rsidR="00F27BC8" w:rsidRPr="00F27BC8" w:rsidRDefault="00F27BC8" w:rsidP="00F27BC8">
            <w:pPr>
              <w:jc w:val="center"/>
              <w:rPr>
                <w:rFonts w:asciiTheme="minorHAnsi" w:hAnsiTheme="minorHAnsi"/>
                <w:sz w:val="20"/>
                <w:szCs w:val="20"/>
              </w:rPr>
            </w:pPr>
          </w:p>
          <w:p w14:paraId="4E937F5C"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VI.</w:t>
            </w:r>
          </w:p>
          <w:p w14:paraId="0B89C690" w14:textId="77777777" w:rsidR="00F27BC8" w:rsidRPr="00F27BC8" w:rsidRDefault="00F27BC8" w:rsidP="00F27BC8">
            <w:pPr>
              <w:jc w:val="center"/>
              <w:rPr>
                <w:rFonts w:asciiTheme="minorHAnsi" w:hAnsiTheme="minorHAnsi"/>
                <w:sz w:val="20"/>
                <w:szCs w:val="20"/>
              </w:rPr>
            </w:pPr>
          </w:p>
        </w:tc>
        <w:tc>
          <w:tcPr>
            <w:tcW w:w="3261" w:type="dxa"/>
            <w:vAlign w:val="center"/>
          </w:tcPr>
          <w:p w14:paraId="3F93497F" w14:textId="77777777" w:rsidR="00F27BC8" w:rsidRPr="00F27BC8" w:rsidRDefault="00F27BC8" w:rsidP="00F27BC8">
            <w:pPr>
              <w:outlineLvl w:val="0"/>
              <w:rPr>
                <w:rFonts w:asciiTheme="minorHAnsi" w:hAnsiTheme="minorHAnsi" w:cs="Arial"/>
                <w:b/>
                <w:bCs/>
                <w:sz w:val="20"/>
                <w:szCs w:val="20"/>
              </w:rPr>
            </w:pPr>
            <w:r w:rsidRPr="00F27BC8">
              <w:rPr>
                <w:rFonts w:asciiTheme="minorHAnsi" w:hAnsiTheme="minorHAnsi" w:cs="Arial"/>
                <w:b/>
                <w:bCs/>
                <w:sz w:val="20"/>
                <w:szCs w:val="20"/>
              </w:rPr>
              <w:t>Całkowite dochody ogółem</w:t>
            </w:r>
          </w:p>
        </w:tc>
        <w:tc>
          <w:tcPr>
            <w:tcW w:w="1413" w:type="dxa"/>
            <w:shd w:val="clear" w:color="auto" w:fill="BFBFBF" w:themeFill="background1" w:themeFillShade="BF"/>
            <w:vAlign w:val="center"/>
          </w:tcPr>
          <w:p w14:paraId="1077560C" w14:textId="7311D5E4"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-48</w:t>
            </w:r>
            <w:r w:rsidR="00B1209E">
              <w:rPr>
                <w:rFonts w:asciiTheme="minorHAnsi" w:hAnsiTheme="minorHAnsi" w:cs="Arial"/>
                <w:sz w:val="20"/>
                <w:szCs w:val="20"/>
              </w:rPr>
              <w:t>5</w:t>
            </w:r>
          </w:p>
        </w:tc>
        <w:tc>
          <w:tcPr>
            <w:tcW w:w="1413" w:type="dxa"/>
            <w:vAlign w:val="center"/>
          </w:tcPr>
          <w:p w14:paraId="4D2CB3B8"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2 070</w:t>
            </w:r>
          </w:p>
        </w:tc>
        <w:tc>
          <w:tcPr>
            <w:tcW w:w="1413" w:type="dxa"/>
            <w:shd w:val="clear" w:color="auto" w:fill="BFBFBF" w:themeFill="background1" w:themeFillShade="BF"/>
            <w:vAlign w:val="center"/>
          </w:tcPr>
          <w:p w14:paraId="46F77DDF"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-111</w:t>
            </w:r>
          </w:p>
        </w:tc>
        <w:tc>
          <w:tcPr>
            <w:tcW w:w="1413" w:type="dxa"/>
            <w:vAlign w:val="center"/>
          </w:tcPr>
          <w:p w14:paraId="1FA4C0A9"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501</w:t>
            </w:r>
          </w:p>
        </w:tc>
      </w:tr>
      <w:tr w:rsidR="00F27BC8" w:rsidRPr="00F27BC8" w14:paraId="26FCCBCC" w14:textId="77777777" w:rsidTr="00EE4571">
        <w:trPr>
          <w:jc w:val="center"/>
        </w:trPr>
        <w:tc>
          <w:tcPr>
            <w:tcW w:w="567" w:type="dxa"/>
            <w:shd w:val="clear" w:color="auto" w:fill="BFBFBF" w:themeFill="background1" w:themeFillShade="BF"/>
          </w:tcPr>
          <w:p w14:paraId="592AD198" w14:textId="77777777" w:rsidR="00F27BC8" w:rsidRPr="00F27BC8" w:rsidRDefault="00F27BC8" w:rsidP="00F27BC8">
            <w:pPr>
              <w:jc w:val="center"/>
              <w:rPr>
                <w:rFonts w:asciiTheme="minorHAnsi" w:hAnsiTheme="minorHAnsi"/>
                <w:sz w:val="20"/>
                <w:szCs w:val="20"/>
              </w:rPr>
            </w:pPr>
          </w:p>
          <w:p w14:paraId="5AB793C0"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VII.</w:t>
            </w:r>
          </w:p>
          <w:p w14:paraId="4FAC1D4B" w14:textId="77777777" w:rsidR="00F27BC8" w:rsidRPr="00F27BC8" w:rsidRDefault="00F27BC8" w:rsidP="00F27BC8">
            <w:pPr>
              <w:jc w:val="center"/>
              <w:rPr>
                <w:rFonts w:asciiTheme="minorHAnsi" w:hAnsiTheme="minorHAnsi"/>
                <w:sz w:val="20"/>
                <w:szCs w:val="20"/>
              </w:rPr>
            </w:pPr>
          </w:p>
        </w:tc>
        <w:tc>
          <w:tcPr>
            <w:tcW w:w="3261" w:type="dxa"/>
            <w:vAlign w:val="center"/>
          </w:tcPr>
          <w:p w14:paraId="18EC9958" w14:textId="77777777" w:rsidR="00F27BC8" w:rsidRPr="00F27BC8" w:rsidRDefault="00F27BC8" w:rsidP="00F27BC8">
            <w:pPr>
              <w:outlineLvl w:val="0"/>
              <w:rPr>
                <w:rFonts w:asciiTheme="minorHAnsi" w:hAnsiTheme="minorHAnsi" w:cs="Arial"/>
                <w:b/>
                <w:bCs/>
                <w:sz w:val="20"/>
                <w:szCs w:val="20"/>
              </w:rPr>
            </w:pPr>
            <w:r w:rsidRPr="00F27BC8">
              <w:rPr>
                <w:rFonts w:asciiTheme="minorHAnsi" w:hAnsiTheme="minorHAnsi" w:cs="Arial"/>
                <w:b/>
                <w:bCs/>
                <w:sz w:val="20"/>
                <w:szCs w:val="20"/>
              </w:rPr>
              <w:t>Całkowite dochody przypadające Akcjonariuszom Jednostki Dominującej</w:t>
            </w:r>
          </w:p>
        </w:tc>
        <w:tc>
          <w:tcPr>
            <w:tcW w:w="1413" w:type="dxa"/>
            <w:shd w:val="clear" w:color="auto" w:fill="BFBFBF" w:themeFill="background1" w:themeFillShade="BF"/>
            <w:vAlign w:val="center"/>
          </w:tcPr>
          <w:p w14:paraId="47C3894E" w14:textId="0E4771D0"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57</w:t>
            </w:r>
            <w:r w:rsidR="00B1209E">
              <w:rPr>
                <w:rFonts w:asciiTheme="minorHAnsi" w:hAnsiTheme="minorHAnsi" w:cs="Arial"/>
                <w:sz w:val="20"/>
                <w:szCs w:val="20"/>
              </w:rPr>
              <w:t>8</w:t>
            </w:r>
          </w:p>
        </w:tc>
        <w:tc>
          <w:tcPr>
            <w:tcW w:w="1413" w:type="dxa"/>
            <w:vAlign w:val="center"/>
          </w:tcPr>
          <w:p w14:paraId="337741FD"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2 039</w:t>
            </w:r>
          </w:p>
        </w:tc>
        <w:tc>
          <w:tcPr>
            <w:tcW w:w="1413" w:type="dxa"/>
            <w:shd w:val="clear" w:color="auto" w:fill="BFBFBF" w:themeFill="background1" w:themeFillShade="BF"/>
            <w:vAlign w:val="center"/>
          </w:tcPr>
          <w:p w14:paraId="012B59C9"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132</w:t>
            </w:r>
          </w:p>
        </w:tc>
        <w:tc>
          <w:tcPr>
            <w:tcW w:w="1413" w:type="dxa"/>
            <w:vAlign w:val="center"/>
          </w:tcPr>
          <w:p w14:paraId="77202372" w14:textId="77777777" w:rsidR="00F27BC8" w:rsidRPr="00F27BC8" w:rsidRDefault="00F27BC8" w:rsidP="00EE4571">
            <w:pPr>
              <w:jc w:val="right"/>
              <w:outlineLvl w:val="0"/>
              <w:rPr>
                <w:rFonts w:asciiTheme="minorHAnsi" w:hAnsiTheme="minorHAnsi" w:cs="Arial"/>
                <w:sz w:val="20"/>
                <w:szCs w:val="20"/>
              </w:rPr>
            </w:pPr>
            <w:r w:rsidRPr="00F27BC8">
              <w:rPr>
                <w:rFonts w:asciiTheme="minorHAnsi" w:hAnsiTheme="minorHAnsi" w:cs="Arial"/>
                <w:sz w:val="20"/>
                <w:szCs w:val="20"/>
              </w:rPr>
              <w:t>493</w:t>
            </w:r>
          </w:p>
        </w:tc>
      </w:tr>
      <w:tr w:rsidR="00F27BC8" w:rsidRPr="00F27BC8" w14:paraId="5DC6819C" w14:textId="77777777" w:rsidTr="00EE4571">
        <w:trPr>
          <w:jc w:val="center"/>
        </w:trPr>
        <w:tc>
          <w:tcPr>
            <w:tcW w:w="567" w:type="dxa"/>
            <w:shd w:val="clear" w:color="auto" w:fill="BFBFBF" w:themeFill="background1" w:themeFillShade="BF"/>
          </w:tcPr>
          <w:p w14:paraId="4B230808" w14:textId="77777777" w:rsidR="00F27BC8" w:rsidRPr="00F27BC8" w:rsidRDefault="00F27BC8" w:rsidP="00F27BC8">
            <w:pPr>
              <w:jc w:val="center"/>
              <w:rPr>
                <w:rFonts w:asciiTheme="minorHAnsi" w:hAnsiTheme="minorHAnsi"/>
                <w:sz w:val="20"/>
                <w:szCs w:val="20"/>
              </w:rPr>
            </w:pPr>
          </w:p>
          <w:p w14:paraId="19F7FA38"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VIII.</w:t>
            </w:r>
          </w:p>
          <w:p w14:paraId="5946EB9E" w14:textId="77777777" w:rsidR="00F27BC8" w:rsidRPr="00F27BC8" w:rsidRDefault="00F27BC8" w:rsidP="00F27BC8">
            <w:pPr>
              <w:jc w:val="center"/>
              <w:rPr>
                <w:rFonts w:asciiTheme="minorHAnsi" w:hAnsiTheme="minorHAnsi"/>
                <w:sz w:val="20"/>
                <w:szCs w:val="20"/>
              </w:rPr>
            </w:pPr>
          </w:p>
        </w:tc>
        <w:tc>
          <w:tcPr>
            <w:tcW w:w="3261" w:type="dxa"/>
            <w:vAlign w:val="center"/>
          </w:tcPr>
          <w:p w14:paraId="10C9EBDC" w14:textId="77777777" w:rsidR="00F27BC8" w:rsidRPr="00F27BC8" w:rsidRDefault="00F27BC8" w:rsidP="00F27BC8">
            <w:pPr>
              <w:rPr>
                <w:rFonts w:asciiTheme="minorHAnsi" w:hAnsiTheme="minorHAnsi" w:cs="Arial"/>
                <w:sz w:val="20"/>
                <w:szCs w:val="20"/>
              </w:rPr>
            </w:pPr>
            <w:r w:rsidRPr="00F27BC8">
              <w:rPr>
                <w:rFonts w:asciiTheme="minorHAnsi" w:hAnsiTheme="minorHAnsi" w:cs="Arial"/>
                <w:sz w:val="20"/>
                <w:szCs w:val="20"/>
              </w:rPr>
              <w:t>Środki pieniężne netto z/(wykorzystane w) działalności operacyjnej</w:t>
            </w:r>
          </w:p>
        </w:tc>
        <w:tc>
          <w:tcPr>
            <w:tcW w:w="1413" w:type="dxa"/>
            <w:shd w:val="clear" w:color="auto" w:fill="BFBFBF" w:themeFill="background1" w:themeFillShade="BF"/>
            <w:vAlign w:val="center"/>
          </w:tcPr>
          <w:p w14:paraId="2D6A1A22"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-2 170</w:t>
            </w:r>
          </w:p>
        </w:tc>
        <w:tc>
          <w:tcPr>
            <w:tcW w:w="1413" w:type="dxa"/>
            <w:vAlign w:val="center"/>
          </w:tcPr>
          <w:p w14:paraId="5A796191"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-9 618</w:t>
            </w:r>
          </w:p>
        </w:tc>
        <w:tc>
          <w:tcPr>
            <w:tcW w:w="1413" w:type="dxa"/>
            <w:shd w:val="clear" w:color="auto" w:fill="BFBFBF" w:themeFill="background1" w:themeFillShade="BF"/>
            <w:vAlign w:val="center"/>
          </w:tcPr>
          <w:p w14:paraId="7DA0E1FF"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-495</w:t>
            </w:r>
          </w:p>
        </w:tc>
        <w:tc>
          <w:tcPr>
            <w:tcW w:w="1413" w:type="dxa"/>
            <w:vAlign w:val="center"/>
          </w:tcPr>
          <w:p w14:paraId="200AEA2D"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-2 326</w:t>
            </w:r>
          </w:p>
        </w:tc>
      </w:tr>
      <w:tr w:rsidR="00F27BC8" w:rsidRPr="00F27BC8" w14:paraId="700349BF" w14:textId="77777777" w:rsidTr="00EE4571">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671F88" w14:textId="77777777" w:rsidR="00F27BC8" w:rsidRPr="00F27BC8" w:rsidRDefault="00F27BC8" w:rsidP="00F27BC8">
            <w:pPr>
              <w:jc w:val="center"/>
              <w:rPr>
                <w:rFonts w:asciiTheme="minorHAnsi" w:hAnsiTheme="minorHAnsi"/>
                <w:sz w:val="20"/>
                <w:szCs w:val="20"/>
              </w:rPr>
            </w:pPr>
          </w:p>
          <w:p w14:paraId="4631606C"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IX.</w:t>
            </w:r>
          </w:p>
          <w:p w14:paraId="6F4CFC07" w14:textId="77777777" w:rsidR="00F27BC8" w:rsidRPr="00F27BC8" w:rsidRDefault="00F27BC8" w:rsidP="00F27BC8">
            <w:pPr>
              <w:jc w:val="center"/>
              <w:rPr>
                <w:rFonts w:asciiTheme="minorHAnsi" w:hAnsiTheme="minorHAnsi"/>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776D8EDA" w14:textId="77777777" w:rsidR="00F27BC8" w:rsidRPr="00F27BC8" w:rsidRDefault="00F27BC8" w:rsidP="00F27BC8">
            <w:pPr>
              <w:rPr>
                <w:rFonts w:asciiTheme="minorHAnsi" w:hAnsiTheme="minorHAnsi" w:cs="Arial"/>
                <w:sz w:val="20"/>
                <w:szCs w:val="20"/>
              </w:rPr>
            </w:pPr>
            <w:r w:rsidRPr="00F27BC8">
              <w:rPr>
                <w:rFonts w:asciiTheme="minorHAnsi" w:hAnsiTheme="minorHAnsi" w:cs="Arial"/>
                <w:sz w:val="20"/>
                <w:szCs w:val="20"/>
              </w:rPr>
              <w:t>Środki pieniężne netto z/(wykorzystane w) działalności inwestycyjnej</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0E3A34"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2 925</w:t>
            </w:r>
          </w:p>
        </w:tc>
        <w:tc>
          <w:tcPr>
            <w:tcW w:w="1413" w:type="dxa"/>
            <w:tcBorders>
              <w:top w:val="single" w:sz="4" w:space="0" w:color="auto"/>
              <w:left w:val="single" w:sz="4" w:space="0" w:color="auto"/>
              <w:bottom w:val="single" w:sz="4" w:space="0" w:color="auto"/>
              <w:right w:val="single" w:sz="4" w:space="0" w:color="auto"/>
            </w:tcBorders>
            <w:vAlign w:val="center"/>
          </w:tcPr>
          <w:p w14:paraId="59DBC437"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-2 199</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035E53"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668</w:t>
            </w:r>
          </w:p>
        </w:tc>
        <w:tc>
          <w:tcPr>
            <w:tcW w:w="1413" w:type="dxa"/>
            <w:tcBorders>
              <w:top w:val="single" w:sz="4" w:space="0" w:color="auto"/>
              <w:left w:val="single" w:sz="4" w:space="0" w:color="auto"/>
              <w:bottom w:val="single" w:sz="4" w:space="0" w:color="auto"/>
              <w:right w:val="single" w:sz="4" w:space="0" w:color="auto"/>
            </w:tcBorders>
            <w:vAlign w:val="center"/>
          </w:tcPr>
          <w:p w14:paraId="1F468905"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-532</w:t>
            </w:r>
          </w:p>
        </w:tc>
      </w:tr>
      <w:tr w:rsidR="00F27BC8" w:rsidRPr="00F27BC8" w14:paraId="25207E2D" w14:textId="77777777" w:rsidTr="00EE4571">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3128C9" w14:textId="77777777" w:rsidR="00F27BC8" w:rsidRPr="00F27BC8" w:rsidRDefault="00F27BC8" w:rsidP="00F27BC8">
            <w:pPr>
              <w:jc w:val="center"/>
              <w:rPr>
                <w:rFonts w:asciiTheme="minorHAnsi" w:hAnsiTheme="minorHAnsi"/>
                <w:sz w:val="20"/>
                <w:szCs w:val="20"/>
              </w:rPr>
            </w:pPr>
          </w:p>
          <w:p w14:paraId="7DF67F5B"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X.</w:t>
            </w:r>
          </w:p>
          <w:p w14:paraId="7480CC2D" w14:textId="77777777" w:rsidR="00F27BC8" w:rsidRPr="00F27BC8" w:rsidRDefault="00F27BC8" w:rsidP="00F27BC8">
            <w:pPr>
              <w:jc w:val="center"/>
              <w:rPr>
                <w:rFonts w:asciiTheme="minorHAnsi" w:hAnsiTheme="minorHAnsi"/>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0C25DFF3" w14:textId="77777777" w:rsidR="00F27BC8" w:rsidRPr="00F27BC8" w:rsidRDefault="00F27BC8" w:rsidP="00F27BC8">
            <w:pPr>
              <w:rPr>
                <w:rFonts w:asciiTheme="minorHAnsi" w:hAnsiTheme="minorHAnsi" w:cs="Arial"/>
                <w:sz w:val="20"/>
                <w:szCs w:val="20"/>
              </w:rPr>
            </w:pPr>
            <w:r w:rsidRPr="00F27BC8">
              <w:rPr>
                <w:rFonts w:asciiTheme="minorHAnsi" w:hAnsiTheme="minorHAnsi" w:cs="Arial"/>
                <w:sz w:val="20"/>
                <w:szCs w:val="20"/>
              </w:rPr>
              <w:t>Środki pieniężne netto z/(wykorzystane w) działalności finansowej</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D1BA9"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-2 016</w:t>
            </w:r>
          </w:p>
        </w:tc>
        <w:tc>
          <w:tcPr>
            <w:tcW w:w="1413" w:type="dxa"/>
            <w:tcBorders>
              <w:top w:val="single" w:sz="4" w:space="0" w:color="auto"/>
              <w:left w:val="single" w:sz="4" w:space="0" w:color="auto"/>
              <w:bottom w:val="single" w:sz="4" w:space="0" w:color="auto"/>
              <w:right w:val="single" w:sz="4" w:space="0" w:color="auto"/>
            </w:tcBorders>
            <w:vAlign w:val="center"/>
          </w:tcPr>
          <w:p w14:paraId="25EAE695"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15 619</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CA0D8"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-460</w:t>
            </w:r>
          </w:p>
        </w:tc>
        <w:tc>
          <w:tcPr>
            <w:tcW w:w="1413" w:type="dxa"/>
            <w:tcBorders>
              <w:top w:val="single" w:sz="4" w:space="0" w:color="auto"/>
              <w:left w:val="single" w:sz="4" w:space="0" w:color="auto"/>
              <w:bottom w:val="single" w:sz="4" w:space="0" w:color="auto"/>
              <w:right w:val="single" w:sz="4" w:space="0" w:color="auto"/>
            </w:tcBorders>
            <w:vAlign w:val="center"/>
          </w:tcPr>
          <w:p w14:paraId="76D35994"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3 778</w:t>
            </w:r>
          </w:p>
        </w:tc>
      </w:tr>
      <w:tr w:rsidR="00F27BC8" w:rsidRPr="00F27BC8" w14:paraId="1939920D" w14:textId="77777777" w:rsidTr="00EE4571">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53E1D" w14:textId="77777777" w:rsidR="00F27BC8" w:rsidRPr="00F27BC8" w:rsidRDefault="00F27BC8" w:rsidP="00F27BC8">
            <w:pPr>
              <w:jc w:val="center"/>
              <w:rPr>
                <w:rFonts w:asciiTheme="minorHAnsi" w:hAnsiTheme="minorHAnsi"/>
                <w:sz w:val="20"/>
                <w:szCs w:val="20"/>
              </w:rPr>
            </w:pPr>
          </w:p>
          <w:p w14:paraId="7A7CE075"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XI.</w:t>
            </w:r>
          </w:p>
          <w:p w14:paraId="23BBE75C" w14:textId="77777777" w:rsidR="00F27BC8" w:rsidRPr="00F27BC8" w:rsidRDefault="00F27BC8" w:rsidP="00F27BC8">
            <w:pPr>
              <w:jc w:val="center"/>
              <w:rPr>
                <w:rFonts w:asciiTheme="minorHAnsi" w:hAnsiTheme="minorHAnsi"/>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7AA77BD3" w14:textId="77777777" w:rsidR="00F27BC8" w:rsidRPr="00F27BC8" w:rsidRDefault="00F27BC8" w:rsidP="00F27BC8">
            <w:pPr>
              <w:rPr>
                <w:rFonts w:asciiTheme="minorHAnsi" w:hAnsiTheme="minorHAnsi" w:cs="Arial"/>
                <w:b/>
                <w:bCs/>
                <w:sz w:val="20"/>
                <w:szCs w:val="20"/>
              </w:rPr>
            </w:pPr>
            <w:r w:rsidRPr="00F27BC8">
              <w:rPr>
                <w:rFonts w:asciiTheme="minorHAnsi" w:hAnsiTheme="minorHAnsi" w:cs="Arial"/>
                <w:b/>
                <w:bCs/>
                <w:sz w:val="20"/>
                <w:szCs w:val="20"/>
              </w:rPr>
              <w:t>Zwiększenie/(Zmniejszenie) netto stanu środków pieniężnych i ich ekwiwalentów</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4651D4"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-1 261</w:t>
            </w:r>
          </w:p>
        </w:tc>
        <w:tc>
          <w:tcPr>
            <w:tcW w:w="1413" w:type="dxa"/>
            <w:tcBorders>
              <w:top w:val="single" w:sz="4" w:space="0" w:color="auto"/>
              <w:left w:val="single" w:sz="4" w:space="0" w:color="auto"/>
              <w:bottom w:val="single" w:sz="4" w:space="0" w:color="auto"/>
              <w:right w:val="single" w:sz="4" w:space="0" w:color="auto"/>
            </w:tcBorders>
            <w:vAlign w:val="center"/>
          </w:tcPr>
          <w:p w14:paraId="52BDF560"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3 802</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7B4907"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-288</w:t>
            </w:r>
          </w:p>
        </w:tc>
        <w:tc>
          <w:tcPr>
            <w:tcW w:w="1413" w:type="dxa"/>
            <w:tcBorders>
              <w:top w:val="single" w:sz="4" w:space="0" w:color="auto"/>
              <w:left w:val="single" w:sz="4" w:space="0" w:color="auto"/>
              <w:bottom w:val="single" w:sz="4" w:space="0" w:color="auto"/>
              <w:right w:val="single" w:sz="4" w:space="0" w:color="auto"/>
            </w:tcBorders>
            <w:vAlign w:val="center"/>
          </w:tcPr>
          <w:p w14:paraId="00AD73A1"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920</w:t>
            </w:r>
          </w:p>
        </w:tc>
      </w:tr>
      <w:tr w:rsidR="00F27BC8" w:rsidRPr="00F27BC8" w14:paraId="04DFE1DD" w14:textId="77777777" w:rsidTr="00EE4571">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4B6CB" w14:textId="77777777" w:rsidR="00F27BC8" w:rsidRPr="00F27BC8" w:rsidRDefault="00F27BC8" w:rsidP="00F27BC8">
            <w:pPr>
              <w:jc w:val="center"/>
              <w:rPr>
                <w:rFonts w:asciiTheme="minorHAnsi" w:hAnsiTheme="minorHAnsi"/>
                <w:sz w:val="20"/>
                <w:szCs w:val="20"/>
              </w:rPr>
            </w:pPr>
          </w:p>
          <w:p w14:paraId="5A056652"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XII.</w:t>
            </w:r>
          </w:p>
          <w:p w14:paraId="1C332E69" w14:textId="77777777" w:rsidR="00F27BC8" w:rsidRPr="00F27BC8" w:rsidRDefault="00F27BC8" w:rsidP="00F27BC8">
            <w:pPr>
              <w:jc w:val="center"/>
              <w:rPr>
                <w:rFonts w:asciiTheme="minorHAnsi" w:hAnsiTheme="minorHAnsi"/>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728824B8" w14:textId="77777777" w:rsidR="00A22C87" w:rsidRDefault="00F27BC8" w:rsidP="00F27BC8">
            <w:pPr>
              <w:rPr>
                <w:rFonts w:asciiTheme="minorHAnsi" w:hAnsiTheme="minorHAnsi" w:cs="Arial"/>
                <w:b/>
                <w:bCs/>
                <w:sz w:val="20"/>
                <w:szCs w:val="20"/>
              </w:rPr>
            </w:pPr>
            <w:r w:rsidRPr="00F27BC8">
              <w:rPr>
                <w:rFonts w:asciiTheme="minorHAnsi" w:hAnsiTheme="minorHAnsi" w:cs="Arial"/>
                <w:b/>
                <w:bCs/>
                <w:sz w:val="20"/>
                <w:szCs w:val="20"/>
              </w:rPr>
              <w:t xml:space="preserve">Zysk netto na jedną akcję </w:t>
            </w:r>
          </w:p>
          <w:p w14:paraId="6BF597FC" w14:textId="77777777" w:rsidR="00F27BC8" w:rsidRPr="00F27BC8" w:rsidRDefault="00F27BC8" w:rsidP="00F27BC8">
            <w:pPr>
              <w:rPr>
                <w:rFonts w:asciiTheme="minorHAnsi" w:hAnsiTheme="minorHAnsi" w:cs="Arial"/>
                <w:b/>
                <w:bCs/>
                <w:sz w:val="20"/>
                <w:szCs w:val="20"/>
              </w:rPr>
            </w:pPr>
            <w:r w:rsidRPr="00F27BC8">
              <w:rPr>
                <w:rFonts w:asciiTheme="minorHAnsi" w:hAnsiTheme="minorHAnsi" w:cs="Arial"/>
                <w:b/>
                <w:bCs/>
                <w:sz w:val="20"/>
                <w:szCs w:val="20"/>
              </w:rPr>
              <w:t>(w zł / EUR)</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4832D"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-0,01</w:t>
            </w:r>
          </w:p>
        </w:tc>
        <w:tc>
          <w:tcPr>
            <w:tcW w:w="1413" w:type="dxa"/>
            <w:tcBorders>
              <w:top w:val="single" w:sz="4" w:space="0" w:color="auto"/>
              <w:left w:val="single" w:sz="4" w:space="0" w:color="auto"/>
              <w:bottom w:val="single" w:sz="4" w:space="0" w:color="auto"/>
              <w:right w:val="single" w:sz="4" w:space="0" w:color="auto"/>
            </w:tcBorders>
            <w:vAlign w:val="center"/>
          </w:tcPr>
          <w:p w14:paraId="3EB92D17"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0,08</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399BB"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0,00</w:t>
            </w:r>
          </w:p>
        </w:tc>
        <w:tc>
          <w:tcPr>
            <w:tcW w:w="1413" w:type="dxa"/>
            <w:tcBorders>
              <w:top w:val="single" w:sz="4" w:space="0" w:color="auto"/>
              <w:left w:val="single" w:sz="4" w:space="0" w:color="auto"/>
              <w:bottom w:val="single" w:sz="4" w:space="0" w:color="auto"/>
              <w:right w:val="single" w:sz="4" w:space="0" w:color="auto"/>
            </w:tcBorders>
            <w:vAlign w:val="center"/>
          </w:tcPr>
          <w:p w14:paraId="622D749F" w14:textId="77777777" w:rsidR="00F27BC8" w:rsidRPr="00F27BC8" w:rsidRDefault="00F27BC8" w:rsidP="00EE4571">
            <w:pPr>
              <w:jc w:val="right"/>
              <w:rPr>
                <w:rFonts w:asciiTheme="minorHAnsi" w:hAnsiTheme="minorHAnsi" w:cs="Arial"/>
                <w:b/>
                <w:bCs/>
                <w:sz w:val="20"/>
                <w:szCs w:val="20"/>
              </w:rPr>
            </w:pPr>
            <w:r w:rsidRPr="00F27BC8">
              <w:rPr>
                <w:rFonts w:asciiTheme="minorHAnsi" w:hAnsiTheme="minorHAnsi" w:cs="Arial"/>
                <w:b/>
                <w:bCs/>
                <w:sz w:val="20"/>
                <w:szCs w:val="20"/>
              </w:rPr>
              <w:t>0,02</w:t>
            </w:r>
          </w:p>
        </w:tc>
      </w:tr>
      <w:tr w:rsidR="00F27BC8" w:rsidRPr="00F27BC8" w14:paraId="02A24D3B" w14:textId="77777777" w:rsidTr="00EE4571">
        <w:trPr>
          <w:jc w:val="cent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8968E" w14:textId="77777777" w:rsidR="00F27BC8" w:rsidRPr="00F27BC8" w:rsidRDefault="00F27BC8" w:rsidP="00F27BC8">
            <w:pPr>
              <w:jc w:val="center"/>
              <w:rPr>
                <w:rFonts w:asciiTheme="minorHAnsi" w:hAnsiTheme="minorHAnsi"/>
                <w:sz w:val="20"/>
                <w:szCs w:val="20"/>
              </w:rPr>
            </w:pPr>
          </w:p>
          <w:p w14:paraId="44E49310" w14:textId="77777777" w:rsidR="00F27BC8" w:rsidRPr="00F27BC8" w:rsidRDefault="00F27BC8" w:rsidP="00F27BC8">
            <w:pPr>
              <w:jc w:val="center"/>
              <w:rPr>
                <w:rFonts w:asciiTheme="minorHAnsi" w:hAnsiTheme="minorHAnsi"/>
                <w:sz w:val="20"/>
                <w:szCs w:val="20"/>
              </w:rPr>
            </w:pPr>
            <w:r w:rsidRPr="00F27BC8">
              <w:rPr>
                <w:rFonts w:asciiTheme="minorHAnsi" w:hAnsiTheme="minorHAnsi"/>
                <w:sz w:val="20"/>
                <w:szCs w:val="20"/>
              </w:rPr>
              <w:t>XIII.</w:t>
            </w:r>
          </w:p>
          <w:p w14:paraId="0FEA9F9D" w14:textId="77777777" w:rsidR="00F27BC8" w:rsidRPr="00F27BC8" w:rsidRDefault="00F27BC8" w:rsidP="00F27BC8">
            <w:pPr>
              <w:jc w:val="center"/>
              <w:rPr>
                <w:rFonts w:asciiTheme="minorHAnsi" w:hAnsiTheme="minorHAnsi"/>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36F9F27F" w14:textId="77777777" w:rsidR="00A22C87" w:rsidRDefault="00F27BC8" w:rsidP="00F27BC8">
            <w:pPr>
              <w:rPr>
                <w:rFonts w:asciiTheme="minorHAnsi" w:hAnsiTheme="minorHAnsi" w:cs="Arial"/>
                <w:sz w:val="20"/>
                <w:szCs w:val="20"/>
              </w:rPr>
            </w:pPr>
            <w:r w:rsidRPr="00F27BC8">
              <w:rPr>
                <w:rFonts w:asciiTheme="minorHAnsi" w:hAnsiTheme="minorHAnsi" w:cs="Arial"/>
                <w:sz w:val="20"/>
                <w:szCs w:val="20"/>
              </w:rPr>
              <w:t xml:space="preserve">Rozwodniony zysk na jedną akcję </w:t>
            </w:r>
          </w:p>
          <w:p w14:paraId="2DD8CF46" w14:textId="77777777" w:rsidR="00F27BC8" w:rsidRPr="00F27BC8" w:rsidRDefault="00F27BC8" w:rsidP="00F27BC8">
            <w:pPr>
              <w:rPr>
                <w:rFonts w:asciiTheme="minorHAnsi" w:hAnsiTheme="minorHAnsi" w:cs="Arial"/>
                <w:sz w:val="20"/>
                <w:szCs w:val="20"/>
              </w:rPr>
            </w:pPr>
            <w:r w:rsidRPr="00F27BC8">
              <w:rPr>
                <w:rFonts w:asciiTheme="minorHAnsi" w:hAnsiTheme="minorHAnsi" w:cs="Arial"/>
                <w:sz w:val="20"/>
                <w:szCs w:val="20"/>
              </w:rPr>
              <w:t>(w zł/EUR)</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9481CD"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-0,01</w:t>
            </w:r>
          </w:p>
        </w:tc>
        <w:tc>
          <w:tcPr>
            <w:tcW w:w="1413" w:type="dxa"/>
            <w:tcBorders>
              <w:top w:val="single" w:sz="4" w:space="0" w:color="auto"/>
              <w:left w:val="single" w:sz="4" w:space="0" w:color="auto"/>
              <w:bottom w:val="single" w:sz="4" w:space="0" w:color="auto"/>
              <w:right w:val="single" w:sz="4" w:space="0" w:color="auto"/>
            </w:tcBorders>
            <w:vAlign w:val="center"/>
          </w:tcPr>
          <w:p w14:paraId="6944795A"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0,08</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F0507C"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0,00</w:t>
            </w:r>
          </w:p>
        </w:tc>
        <w:tc>
          <w:tcPr>
            <w:tcW w:w="1413" w:type="dxa"/>
            <w:tcBorders>
              <w:top w:val="single" w:sz="4" w:space="0" w:color="auto"/>
              <w:left w:val="single" w:sz="4" w:space="0" w:color="auto"/>
              <w:bottom w:val="single" w:sz="4" w:space="0" w:color="auto"/>
              <w:right w:val="single" w:sz="4" w:space="0" w:color="auto"/>
            </w:tcBorders>
            <w:vAlign w:val="center"/>
          </w:tcPr>
          <w:p w14:paraId="584C4FE8" w14:textId="77777777" w:rsidR="00F27BC8" w:rsidRPr="00F27BC8" w:rsidRDefault="00F27BC8" w:rsidP="00EE4571">
            <w:pPr>
              <w:jc w:val="right"/>
              <w:rPr>
                <w:rFonts w:asciiTheme="minorHAnsi" w:hAnsiTheme="minorHAnsi" w:cs="Arial"/>
                <w:sz w:val="20"/>
                <w:szCs w:val="20"/>
              </w:rPr>
            </w:pPr>
            <w:r w:rsidRPr="00F27BC8">
              <w:rPr>
                <w:rFonts w:asciiTheme="minorHAnsi" w:hAnsiTheme="minorHAnsi" w:cs="Arial"/>
                <w:sz w:val="20"/>
                <w:szCs w:val="20"/>
              </w:rPr>
              <w:t>0,02</w:t>
            </w:r>
          </w:p>
        </w:tc>
      </w:tr>
    </w:tbl>
    <w:p w14:paraId="277981AA" w14:textId="77777777" w:rsidR="00164B49" w:rsidRPr="00F27BC8" w:rsidRDefault="00164B49" w:rsidP="00164B49">
      <w:pPr>
        <w:jc w:val="both"/>
        <w:rPr>
          <w:rFonts w:ascii="Calibri" w:hAnsi="Calibri"/>
        </w:rPr>
      </w:pPr>
    </w:p>
    <w:p w14:paraId="7B701732" w14:textId="77777777" w:rsidR="00EE4571" w:rsidRPr="00EE4571" w:rsidRDefault="00164B49" w:rsidP="00EE4571">
      <w:pPr>
        <w:tabs>
          <w:tab w:val="left" w:pos="900"/>
          <w:tab w:val="left" w:leader="dot" w:pos="8460"/>
        </w:tabs>
        <w:spacing w:line="360" w:lineRule="auto"/>
        <w:ind w:right="74"/>
        <w:jc w:val="center"/>
        <w:rPr>
          <w:rFonts w:ascii="Calibri" w:hAnsi="Calibri" w:cs="Verdana"/>
          <w:b/>
          <w:sz w:val="28"/>
          <w:szCs w:val="28"/>
        </w:rPr>
      </w:pPr>
      <w:r w:rsidRPr="00F27BC8">
        <w:rPr>
          <w:rFonts w:ascii="Calibri" w:hAnsi="Calibri"/>
        </w:rPr>
        <w:br w:type="page"/>
      </w:r>
      <w:r w:rsidR="00EE4571" w:rsidRPr="00EE4571">
        <w:rPr>
          <w:rFonts w:ascii="Calibri" w:hAnsi="Calibri" w:cs="Verdana"/>
          <w:b/>
          <w:sz w:val="28"/>
          <w:szCs w:val="28"/>
        </w:rPr>
        <w:lastRenderedPageBreak/>
        <w:t>WYBRANE DANE FINANSOWE</w:t>
      </w:r>
      <w:r w:rsidR="00EE4571">
        <w:rPr>
          <w:rFonts w:ascii="Calibri" w:hAnsi="Calibri" w:cs="Verdana"/>
          <w:b/>
          <w:sz w:val="28"/>
          <w:szCs w:val="28"/>
        </w:rPr>
        <w:t xml:space="preserve"> C.D.</w:t>
      </w:r>
    </w:p>
    <w:p w14:paraId="1636D21A" w14:textId="77777777" w:rsidR="00164B49" w:rsidRPr="00F27BC8" w:rsidRDefault="00164B49" w:rsidP="00164B49">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2721"/>
        <w:gridCol w:w="1368"/>
        <w:gridCol w:w="1364"/>
        <w:gridCol w:w="1368"/>
        <w:gridCol w:w="1364"/>
      </w:tblGrid>
      <w:tr w:rsidR="00164B49" w:rsidRPr="00A22C87" w14:paraId="19D6C327" w14:textId="77777777" w:rsidTr="00F27BC8">
        <w:trPr>
          <w:jc w:val="center"/>
        </w:trPr>
        <w:tc>
          <w:tcPr>
            <w:tcW w:w="3601" w:type="dxa"/>
            <w:gridSpan w:val="2"/>
            <w:vMerge w:val="restart"/>
            <w:tcBorders>
              <w:top w:val="nil"/>
              <w:left w:val="nil"/>
            </w:tcBorders>
            <w:shd w:val="clear" w:color="auto" w:fill="auto"/>
          </w:tcPr>
          <w:p w14:paraId="5026E984" w14:textId="77777777" w:rsidR="00164B49" w:rsidRPr="00A22C87" w:rsidRDefault="00164B49" w:rsidP="00164B49">
            <w:pPr>
              <w:rPr>
                <w:rFonts w:asciiTheme="minorHAnsi" w:hAnsiTheme="minorHAnsi"/>
                <w:sz w:val="20"/>
                <w:szCs w:val="20"/>
              </w:rPr>
            </w:pPr>
          </w:p>
        </w:tc>
        <w:tc>
          <w:tcPr>
            <w:tcW w:w="2732" w:type="dxa"/>
            <w:gridSpan w:val="2"/>
            <w:shd w:val="clear" w:color="auto" w:fill="BFBFBF" w:themeFill="background1" w:themeFillShade="BF"/>
          </w:tcPr>
          <w:p w14:paraId="7FD93E06" w14:textId="77777777" w:rsidR="00164B49" w:rsidRPr="00A22C87" w:rsidRDefault="00164B49" w:rsidP="00164B49">
            <w:pPr>
              <w:jc w:val="center"/>
              <w:rPr>
                <w:rFonts w:asciiTheme="minorHAnsi" w:hAnsiTheme="minorHAnsi"/>
                <w:sz w:val="20"/>
                <w:szCs w:val="20"/>
              </w:rPr>
            </w:pPr>
            <w:r w:rsidRPr="00A22C87">
              <w:rPr>
                <w:rFonts w:asciiTheme="minorHAnsi" w:hAnsiTheme="minorHAnsi"/>
                <w:sz w:val="20"/>
                <w:szCs w:val="20"/>
              </w:rPr>
              <w:t>tys. PLN</w:t>
            </w:r>
          </w:p>
          <w:p w14:paraId="4C2D5A8C" w14:textId="77777777" w:rsidR="00164B49" w:rsidRPr="00A22C87" w:rsidRDefault="00164B49" w:rsidP="00164B49">
            <w:pPr>
              <w:jc w:val="center"/>
              <w:rPr>
                <w:rFonts w:asciiTheme="minorHAnsi" w:hAnsiTheme="minorHAnsi"/>
                <w:sz w:val="20"/>
                <w:szCs w:val="20"/>
              </w:rPr>
            </w:pPr>
            <w:r w:rsidRPr="00A22C87">
              <w:rPr>
                <w:rFonts w:asciiTheme="minorHAnsi" w:hAnsiTheme="minorHAnsi"/>
                <w:sz w:val="20"/>
                <w:szCs w:val="20"/>
              </w:rPr>
              <w:t>stan na dzień</w:t>
            </w:r>
          </w:p>
        </w:tc>
        <w:tc>
          <w:tcPr>
            <w:tcW w:w="2732" w:type="dxa"/>
            <w:gridSpan w:val="2"/>
            <w:shd w:val="clear" w:color="auto" w:fill="BFBFBF" w:themeFill="background1" w:themeFillShade="BF"/>
          </w:tcPr>
          <w:p w14:paraId="02F79C22" w14:textId="77777777" w:rsidR="00164B49" w:rsidRPr="00A22C87" w:rsidRDefault="00164B49" w:rsidP="00164B49">
            <w:pPr>
              <w:jc w:val="center"/>
              <w:rPr>
                <w:rFonts w:asciiTheme="minorHAnsi" w:hAnsiTheme="minorHAnsi"/>
                <w:sz w:val="20"/>
                <w:szCs w:val="20"/>
              </w:rPr>
            </w:pPr>
            <w:r w:rsidRPr="00A22C87">
              <w:rPr>
                <w:rFonts w:asciiTheme="minorHAnsi" w:hAnsiTheme="minorHAnsi"/>
                <w:sz w:val="20"/>
                <w:szCs w:val="20"/>
              </w:rPr>
              <w:t xml:space="preserve">tys. EUR </w:t>
            </w:r>
          </w:p>
          <w:p w14:paraId="702D6DB6" w14:textId="77777777" w:rsidR="00164B49" w:rsidRPr="00A22C87" w:rsidRDefault="00164B49" w:rsidP="00164B49">
            <w:pPr>
              <w:jc w:val="center"/>
              <w:rPr>
                <w:rFonts w:asciiTheme="minorHAnsi" w:hAnsiTheme="minorHAnsi"/>
                <w:sz w:val="20"/>
                <w:szCs w:val="20"/>
              </w:rPr>
            </w:pPr>
            <w:r w:rsidRPr="00A22C87">
              <w:rPr>
                <w:rFonts w:asciiTheme="minorHAnsi" w:hAnsiTheme="minorHAnsi"/>
                <w:sz w:val="20"/>
                <w:szCs w:val="20"/>
              </w:rPr>
              <w:t>stan na dzień</w:t>
            </w:r>
          </w:p>
        </w:tc>
      </w:tr>
      <w:tr w:rsidR="00164B49" w:rsidRPr="00A22C87" w14:paraId="2CDE3194" w14:textId="77777777" w:rsidTr="00F27BC8">
        <w:trPr>
          <w:jc w:val="center"/>
        </w:trPr>
        <w:tc>
          <w:tcPr>
            <w:tcW w:w="3601" w:type="dxa"/>
            <w:gridSpan w:val="2"/>
            <w:vMerge/>
            <w:tcBorders>
              <w:left w:val="nil"/>
            </w:tcBorders>
            <w:shd w:val="clear" w:color="auto" w:fill="auto"/>
          </w:tcPr>
          <w:p w14:paraId="5F096617" w14:textId="77777777" w:rsidR="00164B49" w:rsidRPr="00A22C87" w:rsidRDefault="00164B49" w:rsidP="00164B49">
            <w:pPr>
              <w:rPr>
                <w:rFonts w:asciiTheme="minorHAnsi" w:hAnsiTheme="minorHAnsi"/>
                <w:sz w:val="20"/>
                <w:szCs w:val="20"/>
              </w:rPr>
            </w:pPr>
          </w:p>
        </w:tc>
        <w:tc>
          <w:tcPr>
            <w:tcW w:w="1368" w:type="dxa"/>
            <w:shd w:val="clear" w:color="auto" w:fill="BFBFBF" w:themeFill="background1" w:themeFillShade="BF"/>
          </w:tcPr>
          <w:p w14:paraId="069E5FAB" w14:textId="77777777" w:rsidR="00164B49" w:rsidRPr="00A22C87" w:rsidRDefault="00164B49" w:rsidP="00164B49">
            <w:pPr>
              <w:jc w:val="center"/>
              <w:rPr>
                <w:rFonts w:asciiTheme="minorHAnsi" w:hAnsiTheme="minorHAnsi"/>
                <w:b/>
                <w:sz w:val="20"/>
                <w:szCs w:val="20"/>
              </w:rPr>
            </w:pPr>
          </w:p>
          <w:p w14:paraId="04C8D866" w14:textId="65E5E4D8" w:rsidR="00164B49" w:rsidRPr="00A22C87" w:rsidRDefault="00164B49" w:rsidP="00164B49">
            <w:pPr>
              <w:jc w:val="center"/>
              <w:rPr>
                <w:rFonts w:asciiTheme="minorHAnsi" w:hAnsiTheme="minorHAnsi"/>
                <w:b/>
                <w:sz w:val="20"/>
                <w:szCs w:val="20"/>
              </w:rPr>
            </w:pPr>
            <w:r w:rsidRPr="00A22C87">
              <w:rPr>
                <w:rFonts w:asciiTheme="minorHAnsi" w:hAnsiTheme="minorHAnsi"/>
                <w:b/>
                <w:sz w:val="20"/>
                <w:szCs w:val="20"/>
              </w:rPr>
              <w:t>30 czerwca 201</w:t>
            </w:r>
            <w:r w:rsidR="00B1209E">
              <w:rPr>
                <w:rFonts w:asciiTheme="minorHAnsi" w:hAnsiTheme="minorHAnsi"/>
                <w:b/>
                <w:sz w:val="20"/>
                <w:szCs w:val="20"/>
              </w:rPr>
              <w:t>6</w:t>
            </w:r>
          </w:p>
        </w:tc>
        <w:tc>
          <w:tcPr>
            <w:tcW w:w="1364" w:type="dxa"/>
            <w:shd w:val="clear" w:color="auto" w:fill="auto"/>
          </w:tcPr>
          <w:p w14:paraId="28227A27" w14:textId="77777777" w:rsidR="00164B49" w:rsidRPr="00A22C87" w:rsidRDefault="00164B49" w:rsidP="00164B49">
            <w:pPr>
              <w:jc w:val="center"/>
              <w:rPr>
                <w:rFonts w:asciiTheme="minorHAnsi" w:hAnsiTheme="minorHAnsi"/>
                <w:b/>
                <w:sz w:val="20"/>
                <w:szCs w:val="20"/>
              </w:rPr>
            </w:pPr>
          </w:p>
          <w:p w14:paraId="4DB4ED61" w14:textId="3F8919B8" w:rsidR="00164B49" w:rsidRPr="00A22C87" w:rsidRDefault="00164B49" w:rsidP="00164B49">
            <w:pPr>
              <w:jc w:val="center"/>
              <w:rPr>
                <w:rFonts w:asciiTheme="minorHAnsi" w:hAnsiTheme="minorHAnsi"/>
                <w:b/>
                <w:sz w:val="20"/>
                <w:szCs w:val="20"/>
              </w:rPr>
            </w:pPr>
            <w:r w:rsidRPr="00A22C87">
              <w:rPr>
                <w:rFonts w:asciiTheme="minorHAnsi" w:hAnsiTheme="minorHAnsi"/>
                <w:b/>
                <w:sz w:val="20"/>
                <w:szCs w:val="20"/>
              </w:rPr>
              <w:t>31 grudnia 201</w:t>
            </w:r>
            <w:r w:rsidR="00B1209E">
              <w:rPr>
                <w:rFonts w:asciiTheme="minorHAnsi" w:hAnsiTheme="minorHAnsi"/>
                <w:b/>
                <w:sz w:val="20"/>
                <w:szCs w:val="20"/>
              </w:rPr>
              <w:t>5</w:t>
            </w:r>
          </w:p>
        </w:tc>
        <w:tc>
          <w:tcPr>
            <w:tcW w:w="1368" w:type="dxa"/>
            <w:shd w:val="clear" w:color="auto" w:fill="BFBFBF" w:themeFill="background1" w:themeFillShade="BF"/>
          </w:tcPr>
          <w:p w14:paraId="31037975" w14:textId="77777777" w:rsidR="00164B49" w:rsidRPr="00A22C87" w:rsidRDefault="00164B49" w:rsidP="00164B49">
            <w:pPr>
              <w:jc w:val="center"/>
              <w:rPr>
                <w:rFonts w:asciiTheme="minorHAnsi" w:hAnsiTheme="minorHAnsi"/>
                <w:b/>
                <w:sz w:val="20"/>
                <w:szCs w:val="20"/>
              </w:rPr>
            </w:pPr>
          </w:p>
          <w:p w14:paraId="6D574176" w14:textId="09AC8D3A" w:rsidR="00164B49" w:rsidRPr="00A22C87" w:rsidRDefault="00164B49" w:rsidP="00164B49">
            <w:pPr>
              <w:jc w:val="center"/>
              <w:rPr>
                <w:rFonts w:asciiTheme="minorHAnsi" w:hAnsiTheme="minorHAnsi"/>
                <w:b/>
                <w:sz w:val="20"/>
                <w:szCs w:val="20"/>
              </w:rPr>
            </w:pPr>
            <w:r w:rsidRPr="00A22C87">
              <w:rPr>
                <w:rFonts w:asciiTheme="minorHAnsi" w:hAnsiTheme="minorHAnsi"/>
                <w:b/>
                <w:sz w:val="20"/>
                <w:szCs w:val="20"/>
              </w:rPr>
              <w:t>30 czerwca 201</w:t>
            </w:r>
            <w:r w:rsidR="00B1209E">
              <w:rPr>
                <w:rFonts w:asciiTheme="minorHAnsi" w:hAnsiTheme="minorHAnsi"/>
                <w:b/>
                <w:sz w:val="20"/>
                <w:szCs w:val="20"/>
              </w:rPr>
              <w:t>6</w:t>
            </w:r>
          </w:p>
        </w:tc>
        <w:tc>
          <w:tcPr>
            <w:tcW w:w="1364" w:type="dxa"/>
            <w:shd w:val="clear" w:color="auto" w:fill="auto"/>
          </w:tcPr>
          <w:p w14:paraId="47774267" w14:textId="77777777" w:rsidR="00164B49" w:rsidRPr="00A22C87" w:rsidRDefault="00164B49" w:rsidP="00164B49">
            <w:pPr>
              <w:jc w:val="center"/>
              <w:rPr>
                <w:rFonts w:asciiTheme="minorHAnsi" w:hAnsiTheme="minorHAnsi"/>
                <w:b/>
                <w:sz w:val="20"/>
                <w:szCs w:val="20"/>
              </w:rPr>
            </w:pPr>
          </w:p>
          <w:p w14:paraId="453B510B" w14:textId="3BB29455" w:rsidR="00164B49" w:rsidRPr="00A22C87" w:rsidRDefault="00164B49" w:rsidP="00164B49">
            <w:pPr>
              <w:jc w:val="center"/>
              <w:rPr>
                <w:rFonts w:asciiTheme="minorHAnsi" w:hAnsiTheme="minorHAnsi"/>
                <w:b/>
                <w:sz w:val="20"/>
                <w:szCs w:val="20"/>
              </w:rPr>
            </w:pPr>
            <w:r w:rsidRPr="00A22C87">
              <w:rPr>
                <w:rFonts w:asciiTheme="minorHAnsi" w:hAnsiTheme="minorHAnsi"/>
                <w:b/>
                <w:sz w:val="20"/>
                <w:szCs w:val="20"/>
              </w:rPr>
              <w:t>31 grudnia 201</w:t>
            </w:r>
            <w:r w:rsidR="00B1209E">
              <w:rPr>
                <w:rFonts w:asciiTheme="minorHAnsi" w:hAnsiTheme="minorHAnsi"/>
                <w:b/>
                <w:sz w:val="20"/>
                <w:szCs w:val="20"/>
              </w:rPr>
              <w:t>5</w:t>
            </w:r>
          </w:p>
          <w:p w14:paraId="0FA0F4DB" w14:textId="77777777" w:rsidR="00164B49" w:rsidRPr="00A22C87" w:rsidRDefault="00164B49" w:rsidP="00164B49">
            <w:pPr>
              <w:jc w:val="center"/>
              <w:rPr>
                <w:rFonts w:asciiTheme="minorHAnsi" w:hAnsiTheme="minorHAnsi"/>
                <w:b/>
                <w:sz w:val="20"/>
                <w:szCs w:val="20"/>
              </w:rPr>
            </w:pPr>
          </w:p>
        </w:tc>
      </w:tr>
      <w:tr w:rsidR="00A22C87" w:rsidRPr="00A22C87" w14:paraId="75F3F561" w14:textId="77777777" w:rsidTr="00A22C87">
        <w:trPr>
          <w:jc w:val="center"/>
        </w:trPr>
        <w:tc>
          <w:tcPr>
            <w:tcW w:w="880" w:type="dxa"/>
            <w:shd w:val="clear" w:color="auto" w:fill="BFBFBF" w:themeFill="background1" w:themeFillShade="BF"/>
          </w:tcPr>
          <w:p w14:paraId="6320C132" w14:textId="77777777" w:rsidR="00A22C87" w:rsidRPr="00A22C87" w:rsidRDefault="00A22C87" w:rsidP="00A22C87">
            <w:pPr>
              <w:jc w:val="center"/>
              <w:rPr>
                <w:rFonts w:asciiTheme="minorHAnsi" w:hAnsiTheme="minorHAnsi"/>
                <w:sz w:val="20"/>
                <w:szCs w:val="20"/>
              </w:rPr>
            </w:pPr>
          </w:p>
          <w:p w14:paraId="7AA09179"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XIV.</w:t>
            </w:r>
          </w:p>
          <w:p w14:paraId="7CF9C7E3" w14:textId="77777777" w:rsidR="00A22C87" w:rsidRPr="00A22C87" w:rsidRDefault="00A22C87" w:rsidP="00A22C87">
            <w:pPr>
              <w:jc w:val="center"/>
              <w:rPr>
                <w:rFonts w:asciiTheme="minorHAnsi" w:hAnsiTheme="minorHAnsi"/>
                <w:sz w:val="20"/>
                <w:szCs w:val="20"/>
              </w:rPr>
            </w:pPr>
          </w:p>
        </w:tc>
        <w:tc>
          <w:tcPr>
            <w:tcW w:w="2721" w:type="dxa"/>
            <w:vAlign w:val="center"/>
          </w:tcPr>
          <w:p w14:paraId="15765644" w14:textId="77777777" w:rsidR="00A22C87" w:rsidRPr="00A22C87" w:rsidRDefault="00A22C87" w:rsidP="00A22C87">
            <w:pPr>
              <w:outlineLvl w:val="0"/>
              <w:rPr>
                <w:rFonts w:asciiTheme="minorHAnsi" w:hAnsiTheme="minorHAnsi" w:cs="Arial"/>
                <w:sz w:val="20"/>
                <w:szCs w:val="20"/>
              </w:rPr>
            </w:pPr>
            <w:r w:rsidRPr="00A22C87">
              <w:rPr>
                <w:rFonts w:asciiTheme="minorHAnsi" w:hAnsiTheme="minorHAnsi" w:cs="Arial"/>
                <w:sz w:val="20"/>
                <w:szCs w:val="20"/>
              </w:rPr>
              <w:t>Aktywa trwałe</w:t>
            </w:r>
          </w:p>
        </w:tc>
        <w:tc>
          <w:tcPr>
            <w:tcW w:w="1368" w:type="dxa"/>
            <w:shd w:val="clear" w:color="auto" w:fill="BFBFBF" w:themeFill="background1" w:themeFillShade="BF"/>
            <w:vAlign w:val="center"/>
          </w:tcPr>
          <w:p w14:paraId="77D8197C"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76 443</w:t>
            </w:r>
          </w:p>
        </w:tc>
        <w:tc>
          <w:tcPr>
            <w:tcW w:w="1364" w:type="dxa"/>
            <w:vAlign w:val="center"/>
          </w:tcPr>
          <w:p w14:paraId="38569F63"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74 056</w:t>
            </w:r>
          </w:p>
        </w:tc>
        <w:tc>
          <w:tcPr>
            <w:tcW w:w="1368" w:type="dxa"/>
            <w:shd w:val="clear" w:color="auto" w:fill="BFBFBF" w:themeFill="background1" w:themeFillShade="BF"/>
            <w:vAlign w:val="center"/>
          </w:tcPr>
          <w:p w14:paraId="6E2D5DD2"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17 273</w:t>
            </w:r>
          </w:p>
        </w:tc>
        <w:tc>
          <w:tcPr>
            <w:tcW w:w="1364" w:type="dxa"/>
            <w:vAlign w:val="center"/>
          </w:tcPr>
          <w:p w14:paraId="5D753EB8"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17 378</w:t>
            </w:r>
          </w:p>
        </w:tc>
      </w:tr>
      <w:tr w:rsidR="00A22C87" w:rsidRPr="00A22C87" w14:paraId="2720D716" w14:textId="77777777" w:rsidTr="00A22C87">
        <w:trPr>
          <w:jc w:val="center"/>
        </w:trPr>
        <w:tc>
          <w:tcPr>
            <w:tcW w:w="880" w:type="dxa"/>
            <w:shd w:val="clear" w:color="auto" w:fill="BFBFBF" w:themeFill="background1" w:themeFillShade="BF"/>
          </w:tcPr>
          <w:p w14:paraId="2B197098" w14:textId="77777777" w:rsidR="00A22C87" w:rsidRPr="00A22C87" w:rsidRDefault="00A22C87" w:rsidP="00A22C87">
            <w:pPr>
              <w:jc w:val="center"/>
              <w:rPr>
                <w:rFonts w:asciiTheme="minorHAnsi" w:hAnsiTheme="minorHAnsi"/>
                <w:sz w:val="20"/>
                <w:szCs w:val="20"/>
              </w:rPr>
            </w:pPr>
          </w:p>
          <w:p w14:paraId="0A012F7E"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XV.</w:t>
            </w:r>
          </w:p>
          <w:p w14:paraId="6A87B80F" w14:textId="77777777" w:rsidR="00A22C87" w:rsidRPr="00A22C87" w:rsidRDefault="00A22C87" w:rsidP="00A22C87">
            <w:pPr>
              <w:jc w:val="center"/>
              <w:rPr>
                <w:rFonts w:asciiTheme="minorHAnsi" w:hAnsiTheme="minorHAnsi"/>
                <w:sz w:val="20"/>
                <w:szCs w:val="20"/>
              </w:rPr>
            </w:pPr>
          </w:p>
        </w:tc>
        <w:tc>
          <w:tcPr>
            <w:tcW w:w="2721" w:type="dxa"/>
            <w:vAlign w:val="center"/>
          </w:tcPr>
          <w:p w14:paraId="73ACF5A2" w14:textId="77777777" w:rsidR="00A22C87" w:rsidRPr="00A22C87" w:rsidRDefault="00A22C87" w:rsidP="00A22C87">
            <w:pPr>
              <w:outlineLvl w:val="0"/>
              <w:rPr>
                <w:rFonts w:asciiTheme="minorHAnsi" w:hAnsiTheme="minorHAnsi" w:cs="Arial"/>
                <w:sz w:val="20"/>
                <w:szCs w:val="20"/>
              </w:rPr>
            </w:pPr>
            <w:r w:rsidRPr="00A22C87">
              <w:rPr>
                <w:rFonts w:asciiTheme="minorHAnsi" w:hAnsiTheme="minorHAnsi" w:cs="Arial"/>
                <w:sz w:val="20"/>
                <w:szCs w:val="20"/>
              </w:rPr>
              <w:t>Aktywa obrotowe</w:t>
            </w:r>
          </w:p>
        </w:tc>
        <w:tc>
          <w:tcPr>
            <w:tcW w:w="1368" w:type="dxa"/>
            <w:shd w:val="clear" w:color="auto" w:fill="BFBFBF" w:themeFill="background1" w:themeFillShade="BF"/>
            <w:vAlign w:val="center"/>
          </w:tcPr>
          <w:p w14:paraId="4D582E0E"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120 328</w:t>
            </w:r>
          </w:p>
        </w:tc>
        <w:tc>
          <w:tcPr>
            <w:tcW w:w="1364" w:type="dxa"/>
            <w:vAlign w:val="center"/>
          </w:tcPr>
          <w:p w14:paraId="4AEB9FA2"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96 364</w:t>
            </w:r>
          </w:p>
        </w:tc>
        <w:tc>
          <w:tcPr>
            <w:tcW w:w="1368" w:type="dxa"/>
            <w:shd w:val="clear" w:color="auto" w:fill="BFBFBF" w:themeFill="background1" w:themeFillShade="BF"/>
            <w:vAlign w:val="center"/>
          </w:tcPr>
          <w:p w14:paraId="4C57EDCE"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27 190</w:t>
            </w:r>
          </w:p>
        </w:tc>
        <w:tc>
          <w:tcPr>
            <w:tcW w:w="1364" w:type="dxa"/>
            <w:vAlign w:val="center"/>
          </w:tcPr>
          <w:p w14:paraId="644ADD83"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22 612</w:t>
            </w:r>
          </w:p>
        </w:tc>
      </w:tr>
      <w:tr w:rsidR="00A22C87" w:rsidRPr="00A22C87" w14:paraId="63358D13" w14:textId="77777777" w:rsidTr="00A22C87">
        <w:trPr>
          <w:jc w:val="center"/>
        </w:trPr>
        <w:tc>
          <w:tcPr>
            <w:tcW w:w="880" w:type="dxa"/>
            <w:shd w:val="clear" w:color="auto" w:fill="BFBFBF" w:themeFill="background1" w:themeFillShade="BF"/>
          </w:tcPr>
          <w:p w14:paraId="31E8416F" w14:textId="77777777" w:rsidR="00A22C87" w:rsidRPr="00A22C87" w:rsidRDefault="00A22C87" w:rsidP="00A22C87">
            <w:pPr>
              <w:jc w:val="center"/>
              <w:rPr>
                <w:rFonts w:asciiTheme="minorHAnsi" w:hAnsiTheme="minorHAnsi"/>
                <w:sz w:val="20"/>
                <w:szCs w:val="20"/>
              </w:rPr>
            </w:pPr>
          </w:p>
          <w:p w14:paraId="3622FC04"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XVI.</w:t>
            </w:r>
          </w:p>
          <w:p w14:paraId="772B043C" w14:textId="77777777" w:rsidR="00A22C87" w:rsidRPr="00A22C87" w:rsidRDefault="00A22C87" w:rsidP="00A22C87">
            <w:pPr>
              <w:jc w:val="center"/>
              <w:rPr>
                <w:rFonts w:asciiTheme="minorHAnsi" w:hAnsiTheme="minorHAnsi"/>
                <w:sz w:val="20"/>
                <w:szCs w:val="20"/>
              </w:rPr>
            </w:pPr>
          </w:p>
        </w:tc>
        <w:tc>
          <w:tcPr>
            <w:tcW w:w="2721" w:type="dxa"/>
            <w:vAlign w:val="center"/>
          </w:tcPr>
          <w:p w14:paraId="484E6962" w14:textId="77777777" w:rsidR="00A22C87" w:rsidRPr="00A22C87" w:rsidRDefault="00A22C87" w:rsidP="00A22C87">
            <w:pPr>
              <w:outlineLvl w:val="0"/>
              <w:rPr>
                <w:rFonts w:asciiTheme="minorHAnsi" w:hAnsiTheme="minorHAnsi" w:cs="Arial"/>
                <w:b/>
                <w:bCs/>
                <w:sz w:val="20"/>
                <w:szCs w:val="20"/>
              </w:rPr>
            </w:pPr>
            <w:r w:rsidRPr="00A22C87">
              <w:rPr>
                <w:rFonts w:asciiTheme="minorHAnsi" w:hAnsiTheme="minorHAnsi" w:cs="Arial"/>
                <w:b/>
                <w:bCs/>
                <w:sz w:val="20"/>
                <w:szCs w:val="20"/>
              </w:rPr>
              <w:t>Aktywa razem</w:t>
            </w:r>
          </w:p>
        </w:tc>
        <w:tc>
          <w:tcPr>
            <w:tcW w:w="1368" w:type="dxa"/>
            <w:shd w:val="clear" w:color="auto" w:fill="BFBFBF" w:themeFill="background1" w:themeFillShade="BF"/>
            <w:vAlign w:val="center"/>
          </w:tcPr>
          <w:p w14:paraId="032DAA8C"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196 771</w:t>
            </w:r>
          </w:p>
        </w:tc>
        <w:tc>
          <w:tcPr>
            <w:tcW w:w="1364" w:type="dxa"/>
            <w:vAlign w:val="center"/>
          </w:tcPr>
          <w:p w14:paraId="09F47D74"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170 420</w:t>
            </w:r>
          </w:p>
        </w:tc>
        <w:tc>
          <w:tcPr>
            <w:tcW w:w="1368" w:type="dxa"/>
            <w:shd w:val="clear" w:color="auto" w:fill="BFBFBF" w:themeFill="background1" w:themeFillShade="BF"/>
            <w:vAlign w:val="center"/>
          </w:tcPr>
          <w:p w14:paraId="037D6E4A"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44 463</w:t>
            </w:r>
          </w:p>
        </w:tc>
        <w:tc>
          <w:tcPr>
            <w:tcW w:w="1364" w:type="dxa"/>
            <w:vAlign w:val="center"/>
          </w:tcPr>
          <w:p w14:paraId="7DFCB841"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39 990</w:t>
            </w:r>
          </w:p>
        </w:tc>
      </w:tr>
      <w:tr w:rsidR="00A22C87" w:rsidRPr="00A22C87" w14:paraId="7B5E0F4D" w14:textId="77777777" w:rsidTr="00A22C87">
        <w:trPr>
          <w:jc w:val="center"/>
        </w:trPr>
        <w:tc>
          <w:tcPr>
            <w:tcW w:w="880" w:type="dxa"/>
            <w:shd w:val="clear" w:color="auto" w:fill="BFBFBF" w:themeFill="background1" w:themeFillShade="BF"/>
          </w:tcPr>
          <w:p w14:paraId="187207C4" w14:textId="77777777" w:rsidR="00A22C87" w:rsidRPr="00A22C87" w:rsidRDefault="00A22C87" w:rsidP="00A22C87">
            <w:pPr>
              <w:jc w:val="center"/>
              <w:rPr>
                <w:rFonts w:asciiTheme="minorHAnsi" w:hAnsiTheme="minorHAnsi"/>
                <w:sz w:val="20"/>
                <w:szCs w:val="20"/>
              </w:rPr>
            </w:pPr>
          </w:p>
          <w:p w14:paraId="69A0B953"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XVII.</w:t>
            </w:r>
          </w:p>
          <w:p w14:paraId="55F29E29" w14:textId="77777777" w:rsidR="00A22C87" w:rsidRPr="00A22C87" w:rsidRDefault="00A22C87" w:rsidP="00A22C87">
            <w:pPr>
              <w:jc w:val="center"/>
              <w:rPr>
                <w:rFonts w:asciiTheme="minorHAnsi" w:hAnsiTheme="minorHAnsi"/>
                <w:sz w:val="20"/>
                <w:szCs w:val="20"/>
              </w:rPr>
            </w:pPr>
          </w:p>
        </w:tc>
        <w:tc>
          <w:tcPr>
            <w:tcW w:w="2721" w:type="dxa"/>
            <w:vAlign w:val="center"/>
          </w:tcPr>
          <w:p w14:paraId="57AA7225" w14:textId="77777777" w:rsidR="00A22C87" w:rsidRPr="00A22C87" w:rsidRDefault="00A22C87" w:rsidP="00A22C87">
            <w:pPr>
              <w:outlineLvl w:val="0"/>
              <w:rPr>
                <w:rFonts w:asciiTheme="minorHAnsi" w:hAnsiTheme="minorHAnsi" w:cs="Arial"/>
                <w:sz w:val="20"/>
                <w:szCs w:val="20"/>
              </w:rPr>
            </w:pPr>
            <w:r w:rsidRPr="00A22C87">
              <w:rPr>
                <w:rFonts w:asciiTheme="minorHAnsi" w:hAnsiTheme="minorHAnsi" w:cs="Arial"/>
                <w:sz w:val="20"/>
                <w:szCs w:val="20"/>
              </w:rPr>
              <w:t>Zobowiązania długoterminowe</w:t>
            </w:r>
          </w:p>
        </w:tc>
        <w:tc>
          <w:tcPr>
            <w:tcW w:w="1368" w:type="dxa"/>
            <w:shd w:val="clear" w:color="auto" w:fill="BFBFBF" w:themeFill="background1" w:themeFillShade="BF"/>
            <w:vAlign w:val="center"/>
          </w:tcPr>
          <w:p w14:paraId="40E9DAD2"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37 413</w:t>
            </w:r>
          </w:p>
        </w:tc>
        <w:tc>
          <w:tcPr>
            <w:tcW w:w="1364" w:type="dxa"/>
            <w:vAlign w:val="center"/>
          </w:tcPr>
          <w:p w14:paraId="667C7AE9"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24 504</w:t>
            </w:r>
          </w:p>
        </w:tc>
        <w:tc>
          <w:tcPr>
            <w:tcW w:w="1368" w:type="dxa"/>
            <w:shd w:val="clear" w:color="auto" w:fill="BFBFBF" w:themeFill="background1" w:themeFillShade="BF"/>
            <w:vAlign w:val="center"/>
          </w:tcPr>
          <w:p w14:paraId="50842791"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8 454</w:t>
            </w:r>
          </w:p>
        </w:tc>
        <w:tc>
          <w:tcPr>
            <w:tcW w:w="1364" w:type="dxa"/>
            <w:vAlign w:val="center"/>
          </w:tcPr>
          <w:p w14:paraId="78EEC73B"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5 749</w:t>
            </w:r>
          </w:p>
        </w:tc>
      </w:tr>
      <w:tr w:rsidR="00A22C87" w:rsidRPr="00A22C87" w14:paraId="51CF8654" w14:textId="77777777" w:rsidTr="00A22C87">
        <w:trPr>
          <w:jc w:val="center"/>
        </w:trPr>
        <w:tc>
          <w:tcPr>
            <w:tcW w:w="880" w:type="dxa"/>
            <w:shd w:val="clear" w:color="auto" w:fill="BFBFBF" w:themeFill="background1" w:themeFillShade="BF"/>
          </w:tcPr>
          <w:p w14:paraId="627DFA53" w14:textId="77777777" w:rsidR="00A22C87" w:rsidRPr="00A22C87" w:rsidRDefault="00A22C87" w:rsidP="00A22C87">
            <w:pPr>
              <w:jc w:val="center"/>
              <w:rPr>
                <w:rFonts w:asciiTheme="minorHAnsi" w:hAnsiTheme="minorHAnsi"/>
                <w:sz w:val="20"/>
                <w:szCs w:val="20"/>
              </w:rPr>
            </w:pPr>
          </w:p>
          <w:p w14:paraId="15F93E03"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XVIII.</w:t>
            </w:r>
          </w:p>
          <w:p w14:paraId="15CCB63C" w14:textId="77777777" w:rsidR="00A22C87" w:rsidRPr="00A22C87" w:rsidRDefault="00A22C87" w:rsidP="00A22C87">
            <w:pPr>
              <w:jc w:val="center"/>
              <w:rPr>
                <w:rFonts w:asciiTheme="minorHAnsi" w:hAnsiTheme="minorHAnsi"/>
                <w:sz w:val="20"/>
                <w:szCs w:val="20"/>
              </w:rPr>
            </w:pPr>
          </w:p>
        </w:tc>
        <w:tc>
          <w:tcPr>
            <w:tcW w:w="2721" w:type="dxa"/>
            <w:vAlign w:val="center"/>
          </w:tcPr>
          <w:p w14:paraId="6977D7AA" w14:textId="77777777" w:rsidR="00A22C87" w:rsidRPr="00A22C87" w:rsidRDefault="00A22C87" w:rsidP="00A22C87">
            <w:pPr>
              <w:outlineLvl w:val="0"/>
              <w:rPr>
                <w:rFonts w:asciiTheme="minorHAnsi" w:hAnsiTheme="minorHAnsi" w:cs="Arial"/>
                <w:sz w:val="20"/>
                <w:szCs w:val="20"/>
              </w:rPr>
            </w:pPr>
            <w:r w:rsidRPr="00A22C87">
              <w:rPr>
                <w:rFonts w:asciiTheme="minorHAnsi" w:hAnsiTheme="minorHAnsi" w:cs="Arial"/>
                <w:sz w:val="20"/>
                <w:szCs w:val="20"/>
              </w:rPr>
              <w:t>Zobowiązania krótkoterminowe</w:t>
            </w:r>
          </w:p>
        </w:tc>
        <w:tc>
          <w:tcPr>
            <w:tcW w:w="1368" w:type="dxa"/>
            <w:shd w:val="clear" w:color="auto" w:fill="BFBFBF" w:themeFill="background1" w:themeFillShade="BF"/>
            <w:vAlign w:val="center"/>
          </w:tcPr>
          <w:p w14:paraId="3599739E"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80 451</w:t>
            </w:r>
          </w:p>
        </w:tc>
        <w:tc>
          <w:tcPr>
            <w:tcW w:w="1364" w:type="dxa"/>
            <w:vAlign w:val="center"/>
          </w:tcPr>
          <w:p w14:paraId="5AF54C96"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66 524</w:t>
            </w:r>
          </w:p>
        </w:tc>
        <w:tc>
          <w:tcPr>
            <w:tcW w:w="1368" w:type="dxa"/>
            <w:shd w:val="clear" w:color="auto" w:fill="BFBFBF" w:themeFill="background1" w:themeFillShade="BF"/>
            <w:vAlign w:val="center"/>
          </w:tcPr>
          <w:p w14:paraId="0F880EAE"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18 179</w:t>
            </w:r>
          </w:p>
        </w:tc>
        <w:tc>
          <w:tcPr>
            <w:tcW w:w="1364" w:type="dxa"/>
            <w:vAlign w:val="center"/>
          </w:tcPr>
          <w:p w14:paraId="71A7EA2C"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15 611</w:t>
            </w:r>
          </w:p>
        </w:tc>
      </w:tr>
      <w:tr w:rsidR="00A22C87" w:rsidRPr="00A22C87" w14:paraId="6D988FED" w14:textId="77777777" w:rsidTr="00A22C87">
        <w:trPr>
          <w:jc w:val="center"/>
        </w:trPr>
        <w:tc>
          <w:tcPr>
            <w:tcW w:w="880" w:type="dxa"/>
            <w:shd w:val="clear" w:color="auto" w:fill="BFBFBF" w:themeFill="background1" w:themeFillShade="BF"/>
          </w:tcPr>
          <w:p w14:paraId="21613788" w14:textId="77777777" w:rsidR="00A22C87" w:rsidRPr="00A22C87" w:rsidRDefault="00A22C87" w:rsidP="00A22C87">
            <w:pPr>
              <w:jc w:val="center"/>
              <w:rPr>
                <w:rFonts w:asciiTheme="minorHAnsi" w:hAnsiTheme="minorHAnsi"/>
                <w:sz w:val="20"/>
                <w:szCs w:val="20"/>
              </w:rPr>
            </w:pPr>
          </w:p>
          <w:p w14:paraId="299C2F47"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XIX.</w:t>
            </w:r>
          </w:p>
          <w:p w14:paraId="67CE8C95" w14:textId="77777777" w:rsidR="00A22C87" w:rsidRPr="00A22C87" w:rsidRDefault="00A22C87" w:rsidP="00A22C87">
            <w:pPr>
              <w:jc w:val="center"/>
              <w:rPr>
                <w:rFonts w:asciiTheme="minorHAnsi" w:hAnsiTheme="minorHAnsi"/>
                <w:sz w:val="20"/>
                <w:szCs w:val="20"/>
              </w:rPr>
            </w:pPr>
          </w:p>
        </w:tc>
        <w:tc>
          <w:tcPr>
            <w:tcW w:w="2721" w:type="dxa"/>
            <w:vAlign w:val="center"/>
          </w:tcPr>
          <w:p w14:paraId="79F42F81" w14:textId="77777777" w:rsidR="00A22C87" w:rsidRPr="00A22C87" w:rsidRDefault="00A22C87" w:rsidP="00A22C87">
            <w:pPr>
              <w:outlineLvl w:val="0"/>
              <w:rPr>
                <w:rFonts w:asciiTheme="minorHAnsi" w:hAnsiTheme="minorHAnsi" w:cs="Arial"/>
                <w:b/>
                <w:bCs/>
                <w:sz w:val="20"/>
                <w:szCs w:val="20"/>
              </w:rPr>
            </w:pPr>
            <w:r w:rsidRPr="00A22C87">
              <w:rPr>
                <w:rFonts w:asciiTheme="minorHAnsi" w:hAnsiTheme="minorHAnsi" w:cs="Arial"/>
                <w:b/>
                <w:bCs/>
                <w:sz w:val="20"/>
                <w:szCs w:val="20"/>
              </w:rPr>
              <w:t>Kapitał własny przypisany Akcjonariuszom Jednostki Dominującej</w:t>
            </w:r>
          </w:p>
        </w:tc>
        <w:tc>
          <w:tcPr>
            <w:tcW w:w="1368" w:type="dxa"/>
            <w:shd w:val="clear" w:color="auto" w:fill="BFBFBF" w:themeFill="background1" w:themeFillShade="BF"/>
            <w:vAlign w:val="center"/>
          </w:tcPr>
          <w:p w14:paraId="27CF5FFA"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70 109</w:t>
            </w:r>
          </w:p>
        </w:tc>
        <w:tc>
          <w:tcPr>
            <w:tcW w:w="1364" w:type="dxa"/>
            <w:vAlign w:val="center"/>
          </w:tcPr>
          <w:p w14:paraId="59A1B3E3"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69 531</w:t>
            </w:r>
          </w:p>
        </w:tc>
        <w:tc>
          <w:tcPr>
            <w:tcW w:w="1368" w:type="dxa"/>
            <w:shd w:val="clear" w:color="auto" w:fill="BFBFBF" w:themeFill="background1" w:themeFillShade="BF"/>
            <w:vAlign w:val="center"/>
          </w:tcPr>
          <w:p w14:paraId="2B7F02E7"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15 842</w:t>
            </w:r>
          </w:p>
        </w:tc>
        <w:tc>
          <w:tcPr>
            <w:tcW w:w="1364" w:type="dxa"/>
            <w:vAlign w:val="center"/>
          </w:tcPr>
          <w:p w14:paraId="429F1FED"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16 316</w:t>
            </w:r>
          </w:p>
        </w:tc>
      </w:tr>
      <w:tr w:rsidR="00A22C87" w:rsidRPr="00A22C87" w14:paraId="5EACC6DE" w14:textId="77777777" w:rsidTr="00A22C87">
        <w:trPr>
          <w:jc w:val="center"/>
        </w:trPr>
        <w:tc>
          <w:tcPr>
            <w:tcW w:w="880" w:type="dxa"/>
            <w:shd w:val="clear" w:color="auto" w:fill="BFBFBF" w:themeFill="background1" w:themeFillShade="BF"/>
          </w:tcPr>
          <w:p w14:paraId="10D66638" w14:textId="77777777" w:rsidR="00A22C87" w:rsidRPr="00A22C87" w:rsidRDefault="00A22C87" w:rsidP="00A22C87">
            <w:pPr>
              <w:jc w:val="center"/>
              <w:rPr>
                <w:rFonts w:asciiTheme="minorHAnsi" w:hAnsiTheme="minorHAnsi"/>
                <w:sz w:val="20"/>
                <w:szCs w:val="20"/>
              </w:rPr>
            </w:pPr>
          </w:p>
          <w:p w14:paraId="0C1C3436"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w:t>
            </w:r>
          </w:p>
          <w:p w14:paraId="310BA222" w14:textId="77777777" w:rsidR="00A22C87" w:rsidRPr="00A22C87" w:rsidRDefault="00A22C87" w:rsidP="00A22C87">
            <w:pPr>
              <w:jc w:val="center"/>
              <w:rPr>
                <w:rFonts w:asciiTheme="minorHAnsi" w:hAnsiTheme="minorHAnsi"/>
                <w:sz w:val="20"/>
                <w:szCs w:val="20"/>
              </w:rPr>
            </w:pPr>
          </w:p>
        </w:tc>
        <w:tc>
          <w:tcPr>
            <w:tcW w:w="2721" w:type="dxa"/>
            <w:vAlign w:val="center"/>
          </w:tcPr>
          <w:p w14:paraId="2657B3C4" w14:textId="77777777" w:rsidR="00A22C87" w:rsidRPr="00A22C87" w:rsidRDefault="00A22C87" w:rsidP="00A22C87">
            <w:pPr>
              <w:outlineLvl w:val="0"/>
              <w:rPr>
                <w:rFonts w:asciiTheme="minorHAnsi" w:hAnsiTheme="minorHAnsi" w:cs="Arial"/>
                <w:sz w:val="20"/>
                <w:szCs w:val="20"/>
              </w:rPr>
            </w:pPr>
            <w:r w:rsidRPr="00A22C87">
              <w:rPr>
                <w:rFonts w:asciiTheme="minorHAnsi" w:hAnsiTheme="minorHAnsi" w:cs="Arial"/>
                <w:sz w:val="20"/>
                <w:szCs w:val="20"/>
              </w:rPr>
              <w:t>Kapitały przypadające na udziały niekontrolujące</w:t>
            </w:r>
          </w:p>
        </w:tc>
        <w:tc>
          <w:tcPr>
            <w:tcW w:w="1368" w:type="dxa"/>
            <w:shd w:val="clear" w:color="auto" w:fill="BFBFBF" w:themeFill="background1" w:themeFillShade="BF"/>
            <w:vAlign w:val="center"/>
          </w:tcPr>
          <w:p w14:paraId="0D982FA3"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8 798</w:t>
            </w:r>
          </w:p>
        </w:tc>
        <w:tc>
          <w:tcPr>
            <w:tcW w:w="1364" w:type="dxa"/>
            <w:vAlign w:val="center"/>
          </w:tcPr>
          <w:p w14:paraId="226833FE"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9 861</w:t>
            </w:r>
          </w:p>
        </w:tc>
        <w:tc>
          <w:tcPr>
            <w:tcW w:w="1368" w:type="dxa"/>
            <w:shd w:val="clear" w:color="auto" w:fill="BFBFBF" w:themeFill="background1" w:themeFillShade="BF"/>
            <w:vAlign w:val="center"/>
          </w:tcPr>
          <w:p w14:paraId="129F5E75"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1 988</w:t>
            </w:r>
          </w:p>
        </w:tc>
        <w:tc>
          <w:tcPr>
            <w:tcW w:w="1364" w:type="dxa"/>
            <w:vAlign w:val="center"/>
          </w:tcPr>
          <w:p w14:paraId="06F7776A"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2 314</w:t>
            </w:r>
          </w:p>
        </w:tc>
      </w:tr>
      <w:tr w:rsidR="00A22C87" w:rsidRPr="00A22C87" w14:paraId="37E76E73" w14:textId="77777777" w:rsidTr="00A22C87">
        <w:trPr>
          <w:jc w:val="center"/>
        </w:trPr>
        <w:tc>
          <w:tcPr>
            <w:tcW w:w="880" w:type="dxa"/>
            <w:shd w:val="clear" w:color="auto" w:fill="BFBFBF" w:themeFill="background1" w:themeFillShade="BF"/>
          </w:tcPr>
          <w:p w14:paraId="255616AE" w14:textId="77777777" w:rsidR="00A22C87" w:rsidRPr="00A22C87" w:rsidRDefault="00A22C87" w:rsidP="00A22C87">
            <w:pPr>
              <w:jc w:val="center"/>
              <w:rPr>
                <w:rFonts w:asciiTheme="minorHAnsi" w:hAnsiTheme="minorHAnsi"/>
                <w:sz w:val="20"/>
                <w:szCs w:val="20"/>
              </w:rPr>
            </w:pPr>
          </w:p>
          <w:p w14:paraId="72B0D77E"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XXI.</w:t>
            </w:r>
          </w:p>
          <w:p w14:paraId="0547E527" w14:textId="77777777" w:rsidR="00A22C87" w:rsidRPr="00A22C87" w:rsidRDefault="00A22C87" w:rsidP="00A22C87">
            <w:pPr>
              <w:jc w:val="center"/>
              <w:rPr>
                <w:rFonts w:asciiTheme="minorHAnsi" w:hAnsiTheme="minorHAnsi"/>
                <w:sz w:val="20"/>
                <w:szCs w:val="20"/>
              </w:rPr>
            </w:pPr>
          </w:p>
        </w:tc>
        <w:tc>
          <w:tcPr>
            <w:tcW w:w="2721" w:type="dxa"/>
            <w:vAlign w:val="center"/>
          </w:tcPr>
          <w:p w14:paraId="322EBDB2" w14:textId="77777777" w:rsidR="00A22C87" w:rsidRPr="00A22C87" w:rsidRDefault="00A22C87" w:rsidP="00A22C87">
            <w:pPr>
              <w:outlineLvl w:val="0"/>
              <w:rPr>
                <w:rFonts w:asciiTheme="minorHAnsi" w:hAnsiTheme="minorHAnsi" w:cs="Arial"/>
                <w:sz w:val="20"/>
                <w:szCs w:val="20"/>
              </w:rPr>
            </w:pPr>
            <w:r w:rsidRPr="00A22C87">
              <w:rPr>
                <w:rFonts w:asciiTheme="minorHAnsi" w:hAnsiTheme="minorHAnsi" w:cs="Arial"/>
                <w:sz w:val="20"/>
                <w:szCs w:val="20"/>
              </w:rPr>
              <w:t>Kapitał zakładowy</w:t>
            </w:r>
          </w:p>
        </w:tc>
        <w:tc>
          <w:tcPr>
            <w:tcW w:w="1368" w:type="dxa"/>
            <w:shd w:val="clear" w:color="auto" w:fill="BFBFBF" w:themeFill="background1" w:themeFillShade="BF"/>
            <w:vAlign w:val="center"/>
          </w:tcPr>
          <w:p w14:paraId="463015CD"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20 006</w:t>
            </w:r>
          </w:p>
        </w:tc>
        <w:tc>
          <w:tcPr>
            <w:tcW w:w="1364" w:type="dxa"/>
            <w:vAlign w:val="center"/>
          </w:tcPr>
          <w:p w14:paraId="3DC145E5"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20 006</w:t>
            </w:r>
          </w:p>
        </w:tc>
        <w:tc>
          <w:tcPr>
            <w:tcW w:w="1368" w:type="dxa"/>
            <w:shd w:val="clear" w:color="auto" w:fill="BFBFBF" w:themeFill="background1" w:themeFillShade="BF"/>
            <w:vAlign w:val="center"/>
          </w:tcPr>
          <w:p w14:paraId="3AA335AA"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4 521</w:t>
            </w:r>
          </w:p>
        </w:tc>
        <w:tc>
          <w:tcPr>
            <w:tcW w:w="1364" w:type="dxa"/>
            <w:vAlign w:val="center"/>
          </w:tcPr>
          <w:p w14:paraId="224E7B93" w14:textId="77777777" w:rsidR="00A22C87" w:rsidRPr="00A22C87" w:rsidRDefault="00A22C87" w:rsidP="00A22C87">
            <w:pPr>
              <w:jc w:val="right"/>
              <w:outlineLvl w:val="0"/>
              <w:rPr>
                <w:rFonts w:asciiTheme="minorHAnsi" w:hAnsiTheme="minorHAnsi" w:cs="Arial"/>
                <w:sz w:val="20"/>
                <w:szCs w:val="20"/>
              </w:rPr>
            </w:pPr>
            <w:r w:rsidRPr="00A22C87">
              <w:rPr>
                <w:rFonts w:asciiTheme="minorHAnsi" w:hAnsiTheme="minorHAnsi" w:cs="Arial"/>
                <w:sz w:val="20"/>
                <w:szCs w:val="20"/>
              </w:rPr>
              <w:t>4 695</w:t>
            </w:r>
          </w:p>
        </w:tc>
      </w:tr>
      <w:tr w:rsidR="00A22C87" w:rsidRPr="00A22C87" w14:paraId="7AC55889" w14:textId="77777777" w:rsidTr="00A22C87">
        <w:trPr>
          <w:jc w:val="center"/>
        </w:trPr>
        <w:tc>
          <w:tcPr>
            <w:tcW w:w="880" w:type="dxa"/>
            <w:shd w:val="clear" w:color="auto" w:fill="BFBFBF" w:themeFill="background1" w:themeFillShade="BF"/>
          </w:tcPr>
          <w:p w14:paraId="44850685" w14:textId="77777777" w:rsidR="00A22C87" w:rsidRPr="00A22C87" w:rsidRDefault="00A22C87" w:rsidP="00A22C87">
            <w:pPr>
              <w:jc w:val="center"/>
              <w:rPr>
                <w:rFonts w:asciiTheme="minorHAnsi" w:hAnsiTheme="minorHAnsi"/>
                <w:sz w:val="20"/>
                <w:szCs w:val="20"/>
              </w:rPr>
            </w:pPr>
          </w:p>
          <w:p w14:paraId="3E5806DD"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XXII.</w:t>
            </w:r>
          </w:p>
          <w:p w14:paraId="520C315D" w14:textId="77777777" w:rsidR="00A22C87" w:rsidRPr="00A22C87" w:rsidRDefault="00A22C87" w:rsidP="00A22C87">
            <w:pPr>
              <w:jc w:val="center"/>
              <w:rPr>
                <w:rFonts w:asciiTheme="minorHAnsi" w:hAnsiTheme="minorHAnsi"/>
                <w:sz w:val="20"/>
                <w:szCs w:val="20"/>
              </w:rPr>
            </w:pPr>
          </w:p>
        </w:tc>
        <w:tc>
          <w:tcPr>
            <w:tcW w:w="2721" w:type="dxa"/>
            <w:vAlign w:val="center"/>
          </w:tcPr>
          <w:p w14:paraId="38CE97E6" w14:textId="77777777" w:rsidR="00A22C87" w:rsidRPr="00A22C87" w:rsidRDefault="00A22C87" w:rsidP="00A22C87">
            <w:pPr>
              <w:outlineLvl w:val="0"/>
              <w:rPr>
                <w:rFonts w:asciiTheme="minorHAnsi" w:hAnsiTheme="minorHAnsi" w:cs="Arial"/>
                <w:b/>
                <w:bCs/>
                <w:sz w:val="20"/>
                <w:szCs w:val="20"/>
              </w:rPr>
            </w:pPr>
            <w:r w:rsidRPr="00A22C87">
              <w:rPr>
                <w:rFonts w:asciiTheme="minorHAnsi" w:hAnsiTheme="minorHAnsi" w:cs="Arial"/>
                <w:b/>
                <w:bCs/>
                <w:sz w:val="20"/>
                <w:szCs w:val="20"/>
              </w:rPr>
              <w:t>Pasywa, razem</w:t>
            </w:r>
          </w:p>
        </w:tc>
        <w:tc>
          <w:tcPr>
            <w:tcW w:w="1368" w:type="dxa"/>
            <w:shd w:val="clear" w:color="auto" w:fill="BFBFBF" w:themeFill="background1" w:themeFillShade="BF"/>
            <w:vAlign w:val="center"/>
          </w:tcPr>
          <w:p w14:paraId="68A62799"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196 771</w:t>
            </w:r>
          </w:p>
        </w:tc>
        <w:tc>
          <w:tcPr>
            <w:tcW w:w="1364" w:type="dxa"/>
            <w:vAlign w:val="center"/>
          </w:tcPr>
          <w:p w14:paraId="4949F8A4"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170 420</w:t>
            </w:r>
          </w:p>
        </w:tc>
        <w:tc>
          <w:tcPr>
            <w:tcW w:w="1368" w:type="dxa"/>
            <w:shd w:val="clear" w:color="auto" w:fill="BFBFBF" w:themeFill="background1" w:themeFillShade="BF"/>
            <w:vAlign w:val="center"/>
          </w:tcPr>
          <w:p w14:paraId="35D4802C"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44 463</w:t>
            </w:r>
          </w:p>
        </w:tc>
        <w:tc>
          <w:tcPr>
            <w:tcW w:w="1364" w:type="dxa"/>
            <w:vAlign w:val="center"/>
          </w:tcPr>
          <w:p w14:paraId="3445F499" w14:textId="77777777" w:rsidR="00A22C87" w:rsidRPr="00A22C87" w:rsidRDefault="00A22C87" w:rsidP="00A22C87">
            <w:pPr>
              <w:jc w:val="right"/>
              <w:outlineLvl w:val="0"/>
              <w:rPr>
                <w:rFonts w:asciiTheme="minorHAnsi" w:hAnsiTheme="minorHAnsi" w:cs="Arial"/>
                <w:b/>
                <w:bCs/>
                <w:sz w:val="20"/>
                <w:szCs w:val="20"/>
              </w:rPr>
            </w:pPr>
            <w:r w:rsidRPr="00A22C87">
              <w:rPr>
                <w:rFonts w:asciiTheme="minorHAnsi" w:hAnsiTheme="minorHAnsi" w:cs="Arial"/>
                <w:b/>
                <w:bCs/>
                <w:sz w:val="20"/>
                <w:szCs w:val="20"/>
              </w:rPr>
              <w:t>39 990</w:t>
            </w:r>
          </w:p>
        </w:tc>
      </w:tr>
      <w:tr w:rsidR="00A22C87" w:rsidRPr="00A22C87" w14:paraId="57C6BA9B" w14:textId="77777777" w:rsidTr="00A22C87">
        <w:trPr>
          <w:jc w:val="center"/>
        </w:trPr>
        <w:tc>
          <w:tcPr>
            <w:tcW w:w="880" w:type="dxa"/>
            <w:shd w:val="clear" w:color="auto" w:fill="BFBFBF" w:themeFill="background1" w:themeFillShade="BF"/>
          </w:tcPr>
          <w:p w14:paraId="7FE2807E" w14:textId="77777777" w:rsidR="00A22C87" w:rsidRPr="00A22C87" w:rsidRDefault="00A22C87" w:rsidP="00A22C87">
            <w:pPr>
              <w:jc w:val="center"/>
              <w:rPr>
                <w:rFonts w:asciiTheme="minorHAnsi" w:hAnsiTheme="minorHAnsi"/>
                <w:sz w:val="20"/>
                <w:szCs w:val="20"/>
              </w:rPr>
            </w:pPr>
          </w:p>
          <w:p w14:paraId="2F686460"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XXIII.</w:t>
            </w:r>
          </w:p>
          <w:p w14:paraId="52DF816E" w14:textId="77777777" w:rsidR="00A22C87" w:rsidRPr="00A22C87" w:rsidRDefault="00A22C87" w:rsidP="00A22C87">
            <w:pPr>
              <w:jc w:val="center"/>
              <w:rPr>
                <w:rFonts w:asciiTheme="minorHAnsi" w:hAnsiTheme="minorHAnsi"/>
                <w:sz w:val="20"/>
                <w:szCs w:val="20"/>
              </w:rPr>
            </w:pPr>
          </w:p>
        </w:tc>
        <w:tc>
          <w:tcPr>
            <w:tcW w:w="2721" w:type="dxa"/>
            <w:vAlign w:val="center"/>
          </w:tcPr>
          <w:p w14:paraId="63752888" w14:textId="77777777" w:rsidR="00A22C87" w:rsidRPr="00A22C87" w:rsidRDefault="00A22C87" w:rsidP="00A22C87">
            <w:pPr>
              <w:rPr>
                <w:rFonts w:asciiTheme="minorHAnsi" w:hAnsiTheme="minorHAnsi" w:cs="Arial"/>
                <w:sz w:val="20"/>
                <w:szCs w:val="20"/>
              </w:rPr>
            </w:pPr>
            <w:r w:rsidRPr="00A22C87">
              <w:rPr>
                <w:rFonts w:asciiTheme="minorHAnsi" w:hAnsiTheme="minorHAnsi" w:cs="Arial"/>
                <w:sz w:val="20"/>
                <w:szCs w:val="20"/>
              </w:rPr>
              <w:t>Ilość akcji (w szt.)</w:t>
            </w:r>
          </w:p>
        </w:tc>
        <w:tc>
          <w:tcPr>
            <w:tcW w:w="1368" w:type="dxa"/>
            <w:shd w:val="clear" w:color="auto" w:fill="BFBFBF" w:themeFill="background1" w:themeFillShade="BF"/>
            <w:vAlign w:val="center"/>
          </w:tcPr>
          <w:p w14:paraId="20A0E5DD"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c>
          <w:tcPr>
            <w:tcW w:w="1364" w:type="dxa"/>
            <w:vAlign w:val="center"/>
          </w:tcPr>
          <w:p w14:paraId="579F1DCF"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c>
          <w:tcPr>
            <w:tcW w:w="1368" w:type="dxa"/>
            <w:shd w:val="clear" w:color="auto" w:fill="BFBFBF" w:themeFill="background1" w:themeFillShade="BF"/>
            <w:vAlign w:val="center"/>
          </w:tcPr>
          <w:p w14:paraId="0E4775D4"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c>
          <w:tcPr>
            <w:tcW w:w="1364" w:type="dxa"/>
            <w:vAlign w:val="center"/>
          </w:tcPr>
          <w:p w14:paraId="66800182"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r>
      <w:tr w:rsidR="00A22C87" w:rsidRPr="00A22C87" w14:paraId="734E2D53" w14:textId="77777777" w:rsidTr="00A22C87">
        <w:trPr>
          <w:jc w:val="center"/>
        </w:trPr>
        <w:tc>
          <w:tcPr>
            <w:tcW w:w="880" w:type="dxa"/>
            <w:shd w:val="clear" w:color="auto" w:fill="BFBFBF" w:themeFill="background1" w:themeFillShade="BF"/>
          </w:tcPr>
          <w:p w14:paraId="7DF1B91A" w14:textId="77777777" w:rsidR="00A22C87" w:rsidRPr="00A22C87" w:rsidRDefault="00A22C87" w:rsidP="00A22C87">
            <w:pPr>
              <w:jc w:val="center"/>
              <w:rPr>
                <w:rFonts w:asciiTheme="minorHAnsi" w:hAnsiTheme="minorHAnsi"/>
                <w:sz w:val="20"/>
                <w:szCs w:val="20"/>
              </w:rPr>
            </w:pPr>
          </w:p>
          <w:p w14:paraId="3D5710C2"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XXIV.</w:t>
            </w:r>
          </w:p>
          <w:p w14:paraId="502AB51F" w14:textId="77777777" w:rsidR="00A22C87" w:rsidRPr="00A22C87" w:rsidRDefault="00A22C87" w:rsidP="00A22C87">
            <w:pPr>
              <w:jc w:val="center"/>
              <w:rPr>
                <w:rFonts w:asciiTheme="minorHAnsi" w:hAnsiTheme="minorHAnsi"/>
                <w:sz w:val="20"/>
                <w:szCs w:val="20"/>
              </w:rPr>
            </w:pPr>
          </w:p>
        </w:tc>
        <w:tc>
          <w:tcPr>
            <w:tcW w:w="2721" w:type="dxa"/>
            <w:vAlign w:val="center"/>
          </w:tcPr>
          <w:p w14:paraId="11734D84" w14:textId="77777777" w:rsidR="00A22C87" w:rsidRPr="00A22C87" w:rsidRDefault="00A22C87" w:rsidP="00A22C87">
            <w:pPr>
              <w:rPr>
                <w:rFonts w:asciiTheme="minorHAnsi" w:hAnsiTheme="minorHAnsi" w:cs="Arial"/>
                <w:sz w:val="20"/>
                <w:szCs w:val="20"/>
              </w:rPr>
            </w:pPr>
            <w:r w:rsidRPr="00A22C87">
              <w:rPr>
                <w:rFonts w:asciiTheme="minorHAnsi" w:hAnsiTheme="minorHAnsi" w:cs="Arial"/>
                <w:sz w:val="20"/>
                <w:szCs w:val="20"/>
              </w:rPr>
              <w:t xml:space="preserve">Rozwodniona ilość akcji </w:t>
            </w:r>
            <w:r>
              <w:rPr>
                <w:rFonts w:asciiTheme="minorHAnsi" w:hAnsiTheme="minorHAnsi" w:cs="Arial"/>
                <w:sz w:val="20"/>
                <w:szCs w:val="20"/>
              </w:rPr>
              <w:br/>
            </w:r>
            <w:r w:rsidRPr="00A22C87">
              <w:rPr>
                <w:rFonts w:asciiTheme="minorHAnsi" w:hAnsiTheme="minorHAnsi" w:cs="Arial"/>
                <w:sz w:val="20"/>
                <w:szCs w:val="20"/>
              </w:rPr>
              <w:t>(w szt.)</w:t>
            </w:r>
          </w:p>
        </w:tc>
        <w:tc>
          <w:tcPr>
            <w:tcW w:w="1368" w:type="dxa"/>
            <w:shd w:val="clear" w:color="auto" w:fill="BFBFBF" w:themeFill="background1" w:themeFillShade="BF"/>
            <w:vAlign w:val="center"/>
          </w:tcPr>
          <w:p w14:paraId="0F717FF9"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c>
          <w:tcPr>
            <w:tcW w:w="1364" w:type="dxa"/>
            <w:vAlign w:val="center"/>
          </w:tcPr>
          <w:p w14:paraId="10471DB8"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c>
          <w:tcPr>
            <w:tcW w:w="1368" w:type="dxa"/>
            <w:shd w:val="clear" w:color="auto" w:fill="BFBFBF" w:themeFill="background1" w:themeFillShade="BF"/>
            <w:vAlign w:val="center"/>
          </w:tcPr>
          <w:p w14:paraId="134BE068"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c>
          <w:tcPr>
            <w:tcW w:w="1364" w:type="dxa"/>
            <w:vAlign w:val="center"/>
          </w:tcPr>
          <w:p w14:paraId="60ECB0F9"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25 007 500</w:t>
            </w:r>
          </w:p>
        </w:tc>
      </w:tr>
      <w:tr w:rsidR="00A22C87" w:rsidRPr="00A22C87" w14:paraId="237D966F" w14:textId="77777777" w:rsidTr="00A22C87">
        <w:trPr>
          <w:jc w:val="center"/>
        </w:trPr>
        <w:tc>
          <w:tcPr>
            <w:tcW w:w="880" w:type="dxa"/>
            <w:shd w:val="clear" w:color="auto" w:fill="BFBFBF" w:themeFill="background1" w:themeFillShade="BF"/>
          </w:tcPr>
          <w:p w14:paraId="192DC66F" w14:textId="77777777" w:rsidR="00A22C87" w:rsidRPr="00A22C87" w:rsidRDefault="00A22C87" w:rsidP="00A22C87">
            <w:pPr>
              <w:jc w:val="center"/>
              <w:rPr>
                <w:rFonts w:asciiTheme="minorHAnsi" w:hAnsiTheme="minorHAnsi"/>
                <w:sz w:val="20"/>
                <w:szCs w:val="20"/>
              </w:rPr>
            </w:pPr>
          </w:p>
          <w:p w14:paraId="0C225EC7"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XXV.</w:t>
            </w:r>
          </w:p>
          <w:p w14:paraId="1D9AB297" w14:textId="77777777" w:rsidR="00A22C87" w:rsidRPr="00A22C87" w:rsidRDefault="00A22C87" w:rsidP="00A22C87">
            <w:pPr>
              <w:jc w:val="center"/>
              <w:rPr>
                <w:rFonts w:asciiTheme="minorHAnsi" w:hAnsiTheme="minorHAnsi"/>
                <w:sz w:val="20"/>
                <w:szCs w:val="20"/>
              </w:rPr>
            </w:pPr>
          </w:p>
        </w:tc>
        <w:tc>
          <w:tcPr>
            <w:tcW w:w="2721" w:type="dxa"/>
            <w:vAlign w:val="center"/>
          </w:tcPr>
          <w:p w14:paraId="52C20A78" w14:textId="77777777" w:rsidR="00A22C87" w:rsidRPr="00A22C87" w:rsidRDefault="00A22C87" w:rsidP="00A22C87">
            <w:pPr>
              <w:rPr>
                <w:rFonts w:asciiTheme="minorHAnsi" w:hAnsiTheme="minorHAnsi" w:cs="Arial"/>
                <w:b/>
                <w:bCs/>
                <w:sz w:val="20"/>
                <w:szCs w:val="20"/>
              </w:rPr>
            </w:pPr>
            <w:r w:rsidRPr="00A22C87">
              <w:rPr>
                <w:rFonts w:asciiTheme="minorHAnsi" w:hAnsiTheme="minorHAnsi" w:cs="Arial"/>
                <w:b/>
                <w:bCs/>
                <w:sz w:val="20"/>
                <w:szCs w:val="20"/>
              </w:rPr>
              <w:t>Wartość księgowa na jedną akcję (w zł/EUR)</w:t>
            </w:r>
          </w:p>
        </w:tc>
        <w:tc>
          <w:tcPr>
            <w:tcW w:w="1368" w:type="dxa"/>
            <w:shd w:val="clear" w:color="auto" w:fill="BFBFBF" w:themeFill="background1" w:themeFillShade="BF"/>
            <w:vAlign w:val="center"/>
          </w:tcPr>
          <w:p w14:paraId="79187F99" w14:textId="77777777" w:rsidR="00A22C87" w:rsidRPr="00A22C87" w:rsidRDefault="00A22C87" w:rsidP="00A22C87">
            <w:pPr>
              <w:jc w:val="right"/>
              <w:rPr>
                <w:rFonts w:asciiTheme="minorHAnsi" w:hAnsiTheme="minorHAnsi" w:cs="Arial"/>
                <w:b/>
                <w:bCs/>
                <w:sz w:val="20"/>
                <w:szCs w:val="20"/>
              </w:rPr>
            </w:pPr>
            <w:r w:rsidRPr="00A22C87">
              <w:rPr>
                <w:rFonts w:asciiTheme="minorHAnsi" w:hAnsiTheme="minorHAnsi" w:cs="Arial"/>
                <w:b/>
                <w:bCs/>
                <w:sz w:val="20"/>
                <w:szCs w:val="20"/>
              </w:rPr>
              <w:t>2,80</w:t>
            </w:r>
          </w:p>
        </w:tc>
        <w:tc>
          <w:tcPr>
            <w:tcW w:w="1364" w:type="dxa"/>
            <w:vAlign w:val="center"/>
          </w:tcPr>
          <w:p w14:paraId="3BE400E6" w14:textId="77777777" w:rsidR="00A22C87" w:rsidRPr="00A22C87" w:rsidRDefault="00A22C87" w:rsidP="00A22C87">
            <w:pPr>
              <w:jc w:val="right"/>
              <w:rPr>
                <w:rFonts w:asciiTheme="minorHAnsi" w:hAnsiTheme="minorHAnsi" w:cs="Arial"/>
                <w:b/>
                <w:bCs/>
                <w:sz w:val="20"/>
                <w:szCs w:val="20"/>
              </w:rPr>
            </w:pPr>
            <w:r w:rsidRPr="00A22C87">
              <w:rPr>
                <w:rFonts w:asciiTheme="minorHAnsi" w:hAnsiTheme="minorHAnsi" w:cs="Arial"/>
                <w:b/>
                <w:bCs/>
                <w:sz w:val="20"/>
                <w:szCs w:val="20"/>
              </w:rPr>
              <w:t>2,78</w:t>
            </w:r>
          </w:p>
        </w:tc>
        <w:tc>
          <w:tcPr>
            <w:tcW w:w="1368" w:type="dxa"/>
            <w:shd w:val="clear" w:color="auto" w:fill="BFBFBF" w:themeFill="background1" w:themeFillShade="BF"/>
            <w:vAlign w:val="center"/>
          </w:tcPr>
          <w:p w14:paraId="35035C2F" w14:textId="77777777" w:rsidR="00A22C87" w:rsidRPr="00A22C87" w:rsidRDefault="00A22C87" w:rsidP="00A22C87">
            <w:pPr>
              <w:jc w:val="right"/>
              <w:rPr>
                <w:rFonts w:asciiTheme="minorHAnsi" w:hAnsiTheme="minorHAnsi" w:cs="Arial"/>
                <w:b/>
                <w:bCs/>
                <w:sz w:val="20"/>
                <w:szCs w:val="20"/>
              </w:rPr>
            </w:pPr>
            <w:r w:rsidRPr="00A22C87">
              <w:rPr>
                <w:rFonts w:asciiTheme="minorHAnsi" w:hAnsiTheme="minorHAnsi" w:cs="Arial"/>
                <w:b/>
                <w:bCs/>
                <w:sz w:val="20"/>
                <w:szCs w:val="20"/>
              </w:rPr>
              <w:t>0,63</w:t>
            </w:r>
          </w:p>
        </w:tc>
        <w:tc>
          <w:tcPr>
            <w:tcW w:w="1364" w:type="dxa"/>
            <w:vAlign w:val="center"/>
          </w:tcPr>
          <w:p w14:paraId="5CF44EBD" w14:textId="77777777" w:rsidR="00A22C87" w:rsidRPr="00A22C87" w:rsidRDefault="00A22C87" w:rsidP="00A22C87">
            <w:pPr>
              <w:jc w:val="right"/>
              <w:rPr>
                <w:rFonts w:asciiTheme="minorHAnsi" w:hAnsiTheme="minorHAnsi" w:cs="Arial"/>
                <w:b/>
                <w:bCs/>
                <w:sz w:val="20"/>
                <w:szCs w:val="20"/>
              </w:rPr>
            </w:pPr>
            <w:r w:rsidRPr="00A22C87">
              <w:rPr>
                <w:rFonts w:asciiTheme="minorHAnsi" w:hAnsiTheme="minorHAnsi" w:cs="Arial"/>
                <w:b/>
                <w:bCs/>
                <w:sz w:val="20"/>
                <w:szCs w:val="20"/>
              </w:rPr>
              <w:t>0,65</w:t>
            </w:r>
          </w:p>
        </w:tc>
      </w:tr>
      <w:tr w:rsidR="00A22C87" w:rsidRPr="00A22C87" w14:paraId="45C583A3" w14:textId="77777777" w:rsidTr="00A22C87">
        <w:trPr>
          <w:jc w:val="center"/>
        </w:trPr>
        <w:tc>
          <w:tcPr>
            <w:tcW w:w="880" w:type="dxa"/>
            <w:shd w:val="clear" w:color="auto" w:fill="BFBFBF" w:themeFill="background1" w:themeFillShade="BF"/>
          </w:tcPr>
          <w:p w14:paraId="2400D7C6" w14:textId="77777777" w:rsidR="00A22C87" w:rsidRPr="00A22C87" w:rsidRDefault="00A22C87" w:rsidP="00A22C87">
            <w:pPr>
              <w:jc w:val="center"/>
              <w:rPr>
                <w:rFonts w:asciiTheme="minorHAnsi" w:hAnsiTheme="minorHAnsi"/>
                <w:sz w:val="20"/>
                <w:szCs w:val="20"/>
              </w:rPr>
            </w:pPr>
          </w:p>
          <w:p w14:paraId="4F628A4A"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XXVI.</w:t>
            </w:r>
          </w:p>
          <w:p w14:paraId="12601E0A" w14:textId="77777777" w:rsidR="00A22C87" w:rsidRPr="00A22C87" w:rsidRDefault="00A22C87" w:rsidP="00A22C87">
            <w:pPr>
              <w:jc w:val="center"/>
              <w:rPr>
                <w:rFonts w:asciiTheme="minorHAnsi" w:hAnsiTheme="minorHAnsi"/>
                <w:sz w:val="20"/>
                <w:szCs w:val="20"/>
              </w:rPr>
            </w:pPr>
          </w:p>
        </w:tc>
        <w:tc>
          <w:tcPr>
            <w:tcW w:w="2721" w:type="dxa"/>
            <w:vAlign w:val="center"/>
          </w:tcPr>
          <w:p w14:paraId="0C6D215B" w14:textId="77777777" w:rsidR="00A22C87" w:rsidRPr="00A22C87" w:rsidRDefault="00A22C87" w:rsidP="00A22C87">
            <w:pPr>
              <w:rPr>
                <w:rFonts w:asciiTheme="minorHAnsi" w:hAnsiTheme="minorHAnsi" w:cs="Arial"/>
                <w:sz w:val="20"/>
                <w:szCs w:val="20"/>
              </w:rPr>
            </w:pPr>
            <w:r w:rsidRPr="00A22C87">
              <w:rPr>
                <w:rFonts w:asciiTheme="minorHAnsi" w:hAnsiTheme="minorHAnsi" w:cs="Arial"/>
                <w:sz w:val="20"/>
                <w:szCs w:val="20"/>
              </w:rPr>
              <w:t xml:space="preserve">Rozwodniona wartość księgowa na jedną akcję </w:t>
            </w:r>
            <w:r>
              <w:rPr>
                <w:rFonts w:asciiTheme="minorHAnsi" w:hAnsiTheme="minorHAnsi" w:cs="Arial"/>
                <w:sz w:val="20"/>
                <w:szCs w:val="20"/>
              </w:rPr>
              <w:br/>
            </w:r>
            <w:r w:rsidRPr="00A22C87">
              <w:rPr>
                <w:rFonts w:asciiTheme="minorHAnsi" w:hAnsiTheme="minorHAnsi" w:cs="Arial"/>
                <w:sz w:val="20"/>
                <w:szCs w:val="20"/>
              </w:rPr>
              <w:t>(w zł/EUR)</w:t>
            </w:r>
          </w:p>
        </w:tc>
        <w:tc>
          <w:tcPr>
            <w:tcW w:w="1368" w:type="dxa"/>
            <w:shd w:val="clear" w:color="auto" w:fill="BFBFBF" w:themeFill="background1" w:themeFillShade="BF"/>
            <w:vAlign w:val="center"/>
          </w:tcPr>
          <w:p w14:paraId="51A54A9E"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2,80</w:t>
            </w:r>
          </w:p>
        </w:tc>
        <w:tc>
          <w:tcPr>
            <w:tcW w:w="1364" w:type="dxa"/>
            <w:vAlign w:val="center"/>
          </w:tcPr>
          <w:p w14:paraId="4D2C6FD5"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2,78</w:t>
            </w:r>
          </w:p>
        </w:tc>
        <w:tc>
          <w:tcPr>
            <w:tcW w:w="1368" w:type="dxa"/>
            <w:shd w:val="clear" w:color="auto" w:fill="BFBFBF" w:themeFill="background1" w:themeFillShade="BF"/>
            <w:vAlign w:val="center"/>
          </w:tcPr>
          <w:p w14:paraId="3CCB0F74"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0,63</w:t>
            </w:r>
          </w:p>
        </w:tc>
        <w:tc>
          <w:tcPr>
            <w:tcW w:w="1364" w:type="dxa"/>
            <w:vAlign w:val="center"/>
          </w:tcPr>
          <w:p w14:paraId="551C9D25"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0,65</w:t>
            </w:r>
          </w:p>
        </w:tc>
      </w:tr>
      <w:tr w:rsidR="00A22C87" w:rsidRPr="00A22C87" w14:paraId="5FCA9153" w14:textId="77777777" w:rsidTr="00A22C87">
        <w:trPr>
          <w:jc w:val="center"/>
        </w:trPr>
        <w:tc>
          <w:tcPr>
            <w:tcW w:w="880" w:type="dxa"/>
            <w:shd w:val="clear" w:color="auto" w:fill="BFBFBF" w:themeFill="background1" w:themeFillShade="BF"/>
          </w:tcPr>
          <w:p w14:paraId="4557CCF8" w14:textId="77777777" w:rsidR="00A22C87" w:rsidRPr="00A22C87" w:rsidRDefault="00A22C87" w:rsidP="00A22C87">
            <w:pPr>
              <w:jc w:val="center"/>
              <w:rPr>
                <w:rFonts w:asciiTheme="minorHAnsi" w:hAnsiTheme="minorHAnsi"/>
                <w:sz w:val="20"/>
                <w:szCs w:val="20"/>
              </w:rPr>
            </w:pPr>
          </w:p>
          <w:p w14:paraId="545F2E3E" w14:textId="77777777" w:rsidR="00A22C87" w:rsidRPr="00A22C87" w:rsidRDefault="00A22C87" w:rsidP="00A22C87">
            <w:pPr>
              <w:jc w:val="center"/>
              <w:rPr>
                <w:rFonts w:asciiTheme="minorHAnsi" w:hAnsiTheme="minorHAnsi"/>
                <w:sz w:val="20"/>
                <w:szCs w:val="20"/>
              </w:rPr>
            </w:pPr>
            <w:r w:rsidRPr="00A22C87">
              <w:rPr>
                <w:rFonts w:asciiTheme="minorHAnsi" w:hAnsiTheme="minorHAnsi"/>
                <w:sz w:val="20"/>
                <w:szCs w:val="20"/>
              </w:rPr>
              <w:t>XXVII.</w:t>
            </w:r>
          </w:p>
          <w:p w14:paraId="627DECCB" w14:textId="77777777" w:rsidR="00A22C87" w:rsidRPr="00A22C87" w:rsidRDefault="00A22C87" w:rsidP="00A22C87">
            <w:pPr>
              <w:jc w:val="center"/>
              <w:rPr>
                <w:rFonts w:asciiTheme="minorHAnsi" w:hAnsiTheme="minorHAnsi"/>
                <w:sz w:val="20"/>
                <w:szCs w:val="20"/>
              </w:rPr>
            </w:pPr>
          </w:p>
        </w:tc>
        <w:tc>
          <w:tcPr>
            <w:tcW w:w="2721" w:type="dxa"/>
            <w:vAlign w:val="center"/>
          </w:tcPr>
          <w:p w14:paraId="13F213A5" w14:textId="77777777" w:rsidR="00A22C87" w:rsidRPr="00A22C87" w:rsidRDefault="00A22C87" w:rsidP="00A22C87">
            <w:pPr>
              <w:rPr>
                <w:rFonts w:asciiTheme="minorHAnsi" w:hAnsiTheme="minorHAnsi" w:cs="Arial"/>
                <w:sz w:val="20"/>
                <w:szCs w:val="20"/>
              </w:rPr>
            </w:pPr>
            <w:r w:rsidRPr="00A22C87">
              <w:rPr>
                <w:rFonts w:asciiTheme="minorHAnsi" w:hAnsiTheme="minorHAnsi" w:cs="Arial"/>
                <w:sz w:val="20"/>
                <w:szCs w:val="20"/>
              </w:rPr>
              <w:t xml:space="preserve">Zadeklarowana lub wypłacona dywidenda na jedną akcję </w:t>
            </w:r>
            <w:r>
              <w:rPr>
                <w:rFonts w:asciiTheme="minorHAnsi" w:hAnsiTheme="minorHAnsi" w:cs="Arial"/>
                <w:sz w:val="20"/>
                <w:szCs w:val="20"/>
              </w:rPr>
              <w:br/>
            </w:r>
            <w:r w:rsidRPr="00A22C87">
              <w:rPr>
                <w:rFonts w:asciiTheme="minorHAnsi" w:hAnsiTheme="minorHAnsi" w:cs="Arial"/>
                <w:sz w:val="20"/>
                <w:szCs w:val="20"/>
              </w:rPr>
              <w:t>(w zł/EUR)</w:t>
            </w:r>
          </w:p>
        </w:tc>
        <w:tc>
          <w:tcPr>
            <w:tcW w:w="1368" w:type="dxa"/>
            <w:shd w:val="clear" w:color="auto" w:fill="BFBFBF" w:themeFill="background1" w:themeFillShade="BF"/>
            <w:vAlign w:val="center"/>
          </w:tcPr>
          <w:p w14:paraId="48E869FF"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0,00</w:t>
            </w:r>
          </w:p>
        </w:tc>
        <w:tc>
          <w:tcPr>
            <w:tcW w:w="1364" w:type="dxa"/>
            <w:vAlign w:val="center"/>
          </w:tcPr>
          <w:p w14:paraId="1737394D"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0,00</w:t>
            </w:r>
          </w:p>
        </w:tc>
        <w:tc>
          <w:tcPr>
            <w:tcW w:w="1368" w:type="dxa"/>
            <w:shd w:val="clear" w:color="auto" w:fill="BFBFBF" w:themeFill="background1" w:themeFillShade="BF"/>
            <w:vAlign w:val="center"/>
          </w:tcPr>
          <w:p w14:paraId="3C9DF466"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0,00</w:t>
            </w:r>
          </w:p>
        </w:tc>
        <w:tc>
          <w:tcPr>
            <w:tcW w:w="1364" w:type="dxa"/>
            <w:vAlign w:val="center"/>
          </w:tcPr>
          <w:p w14:paraId="12B5B417" w14:textId="77777777" w:rsidR="00A22C87" w:rsidRPr="00A22C87" w:rsidRDefault="00A22C87" w:rsidP="00A22C87">
            <w:pPr>
              <w:jc w:val="right"/>
              <w:rPr>
                <w:rFonts w:asciiTheme="minorHAnsi" w:hAnsiTheme="minorHAnsi" w:cs="Arial"/>
                <w:sz w:val="20"/>
                <w:szCs w:val="20"/>
              </w:rPr>
            </w:pPr>
            <w:r w:rsidRPr="00A22C87">
              <w:rPr>
                <w:rFonts w:asciiTheme="minorHAnsi" w:hAnsiTheme="minorHAnsi" w:cs="Arial"/>
                <w:sz w:val="20"/>
                <w:szCs w:val="20"/>
              </w:rPr>
              <w:t>0,00</w:t>
            </w:r>
          </w:p>
        </w:tc>
      </w:tr>
    </w:tbl>
    <w:p w14:paraId="7935F51D" w14:textId="77777777" w:rsidR="00A22C87" w:rsidRDefault="00A22C87" w:rsidP="00183773">
      <w:pPr>
        <w:rPr>
          <w:rFonts w:ascii="Calibri" w:hAnsi="Calibri"/>
          <w:b/>
          <w:sz w:val="28"/>
          <w:szCs w:val="28"/>
          <w:highlight w:val="lightGray"/>
        </w:rPr>
      </w:pPr>
    </w:p>
    <w:p w14:paraId="2609632E" w14:textId="77777777" w:rsidR="00EE4571" w:rsidRDefault="00EE4571" w:rsidP="00183773">
      <w:pPr>
        <w:rPr>
          <w:rFonts w:ascii="Calibri" w:hAnsi="Calibri"/>
          <w:b/>
          <w:sz w:val="28"/>
          <w:szCs w:val="28"/>
          <w:highlight w:val="green"/>
        </w:rPr>
      </w:pPr>
    </w:p>
    <w:p w14:paraId="061A895E" w14:textId="77777777" w:rsidR="00183773" w:rsidRPr="00EE4571" w:rsidRDefault="00183773" w:rsidP="00183773">
      <w:pPr>
        <w:rPr>
          <w:rFonts w:ascii="Calibri" w:hAnsi="Calibri"/>
          <w:b/>
          <w:sz w:val="28"/>
          <w:szCs w:val="28"/>
        </w:rPr>
      </w:pPr>
      <w:r w:rsidRPr="00EE4571">
        <w:rPr>
          <w:rFonts w:ascii="Calibri" w:hAnsi="Calibri"/>
          <w:b/>
          <w:sz w:val="28"/>
          <w:szCs w:val="28"/>
        </w:rPr>
        <w:lastRenderedPageBreak/>
        <w:t>Komentarz do wybranych danych finansowych</w:t>
      </w:r>
    </w:p>
    <w:p w14:paraId="431487BB" w14:textId="77777777" w:rsidR="00183773" w:rsidRPr="00EE4571" w:rsidRDefault="00183773" w:rsidP="00183773">
      <w:pPr>
        <w:tabs>
          <w:tab w:val="left" w:pos="540"/>
          <w:tab w:val="left" w:pos="1080"/>
          <w:tab w:val="left" w:pos="4320"/>
        </w:tabs>
        <w:spacing w:line="360" w:lineRule="auto"/>
        <w:jc w:val="both"/>
        <w:rPr>
          <w:rFonts w:ascii="Calibri" w:hAnsi="Calibri"/>
        </w:rPr>
      </w:pPr>
      <w:r w:rsidRPr="00EE4571">
        <w:rPr>
          <w:rFonts w:ascii="Calibri" w:hAnsi="Calibri"/>
        </w:rPr>
        <w:t>Dane finansowe w EUR zostały przeliczone wg następujących zasad:</w:t>
      </w:r>
    </w:p>
    <w:p w14:paraId="05A7EDB3" w14:textId="77777777" w:rsidR="00183773" w:rsidRPr="00EE4571" w:rsidRDefault="00183773" w:rsidP="00183773">
      <w:pPr>
        <w:tabs>
          <w:tab w:val="left" w:pos="540"/>
          <w:tab w:val="left" w:pos="1080"/>
          <w:tab w:val="left" w:pos="4320"/>
        </w:tabs>
        <w:spacing w:line="360" w:lineRule="auto"/>
        <w:jc w:val="both"/>
        <w:rPr>
          <w:rFonts w:ascii="Calibri" w:hAnsi="Calibri"/>
        </w:rPr>
      </w:pPr>
    </w:p>
    <w:p w14:paraId="16569A90" w14:textId="77777777" w:rsidR="00183773" w:rsidRPr="00EE4571" w:rsidRDefault="00183773" w:rsidP="00D73705">
      <w:pPr>
        <w:numPr>
          <w:ilvl w:val="0"/>
          <w:numId w:val="2"/>
        </w:numPr>
        <w:tabs>
          <w:tab w:val="clear" w:pos="927"/>
          <w:tab w:val="left" w:pos="540"/>
          <w:tab w:val="left" w:pos="4320"/>
        </w:tabs>
        <w:spacing w:line="360" w:lineRule="auto"/>
        <w:ind w:left="540"/>
        <w:jc w:val="both"/>
        <w:rPr>
          <w:rFonts w:ascii="Calibri" w:hAnsi="Calibri"/>
          <w:sz w:val="22"/>
          <w:szCs w:val="22"/>
        </w:rPr>
      </w:pPr>
      <w:r w:rsidRPr="00EE4571">
        <w:rPr>
          <w:rFonts w:ascii="Calibri" w:hAnsi="Calibri"/>
          <w:sz w:val="22"/>
          <w:szCs w:val="22"/>
        </w:rPr>
        <w:t xml:space="preserve">Poszczególne pozycje aktywów i pasywów według średniego kursu ogłoszonego przez Narodowy Bank Polski obowiązującego na dzień 30 czerwca 2016 roku – 4,4255 PLN/EUR; </w:t>
      </w:r>
      <w:r w:rsidRPr="00EE4571">
        <w:rPr>
          <w:rFonts w:ascii="Calibri" w:hAnsi="Calibri"/>
          <w:sz w:val="22"/>
          <w:szCs w:val="22"/>
        </w:rPr>
        <w:br/>
        <w:t>oraz kursu na dzień 31 grudnia 2015 roku – 4,2615 PLN/EUR;</w:t>
      </w:r>
    </w:p>
    <w:p w14:paraId="13743213" w14:textId="77777777" w:rsidR="00183773" w:rsidRPr="00EE4571" w:rsidRDefault="00183773" w:rsidP="00D73705">
      <w:pPr>
        <w:numPr>
          <w:ilvl w:val="0"/>
          <w:numId w:val="2"/>
        </w:numPr>
        <w:tabs>
          <w:tab w:val="clear" w:pos="927"/>
          <w:tab w:val="left" w:pos="540"/>
          <w:tab w:val="num" w:pos="567"/>
          <w:tab w:val="left" w:pos="4320"/>
        </w:tabs>
        <w:spacing w:line="360" w:lineRule="auto"/>
        <w:ind w:left="567"/>
        <w:jc w:val="both"/>
        <w:rPr>
          <w:rFonts w:ascii="Calibri" w:hAnsi="Calibri"/>
          <w:b/>
          <w:sz w:val="22"/>
          <w:szCs w:val="22"/>
        </w:rPr>
      </w:pPr>
      <w:r w:rsidRPr="00EE4571">
        <w:rPr>
          <w:rFonts w:asciiTheme="minorHAnsi" w:hAnsiTheme="minorHAnsi"/>
          <w:sz w:val="22"/>
          <w:szCs w:val="22"/>
        </w:rPr>
        <w:t xml:space="preserve">Odpowiednie pozycje sprawozdania z zysku lub straty, sprawozdania z zysku lub straty </w:t>
      </w:r>
      <w:r w:rsidRPr="00EE4571">
        <w:rPr>
          <w:rFonts w:asciiTheme="minorHAnsi" w:hAnsiTheme="minorHAnsi"/>
          <w:sz w:val="22"/>
          <w:szCs w:val="22"/>
        </w:rPr>
        <w:br/>
        <w:t xml:space="preserve">i pozostałych całkowitych dochodów oraz sprawozdania z przepływów pieniężnych – według kursu stanowiącego średnią arytmetyczną średnich kursów ogłoszonych przez Narodowy Bank Polski obowiązujących na ostatni dzień każdego miesiąca w okresie sprawozdawczym: </w:t>
      </w:r>
      <w:r w:rsidRPr="00EE4571">
        <w:rPr>
          <w:rFonts w:asciiTheme="minorHAnsi" w:hAnsiTheme="minorHAnsi"/>
          <w:sz w:val="22"/>
          <w:szCs w:val="22"/>
        </w:rPr>
        <w:br/>
        <w:t xml:space="preserve">w okresie od 1 stycznia 2016 roku do 30 czerwca 2016 roku – 4,3805 PLN/EUR; za okres </w:t>
      </w:r>
      <w:r w:rsidRPr="00EE4571">
        <w:rPr>
          <w:rFonts w:asciiTheme="minorHAnsi" w:hAnsiTheme="minorHAnsi"/>
          <w:sz w:val="22"/>
          <w:szCs w:val="22"/>
        </w:rPr>
        <w:br/>
        <w:t xml:space="preserve">od 1 stycznia 2015 roku do 30 czerwca 2015 roku – 4,1341 PLN/EUR. </w:t>
      </w:r>
    </w:p>
    <w:p w14:paraId="6BB1B95F" w14:textId="77777777" w:rsidR="009B4F3F" w:rsidRPr="00183773" w:rsidRDefault="009B4F3F" w:rsidP="00F66C6E">
      <w:pPr>
        <w:jc w:val="center"/>
        <w:rPr>
          <w:rFonts w:ascii="Calibri" w:hAnsi="Calibri"/>
          <w:b/>
          <w:sz w:val="28"/>
          <w:szCs w:val="28"/>
          <w:highlight w:val="green"/>
        </w:rPr>
      </w:pPr>
    </w:p>
    <w:p w14:paraId="1C2173BD" w14:textId="77777777" w:rsidR="009B4F3F" w:rsidRPr="00183773" w:rsidRDefault="009B4F3F" w:rsidP="00F66C6E">
      <w:pPr>
        <w:jc w:val="center"/>
        <w:rPr>
          <w:rFonts w:ascii="Calibri" w:hAnsi="Calibri"/>
          <w:b/>
          <w:sz w:val="28"/>
          <w:szCs w:val="28"/>
          <w:highlight w:val="green"/>
        </w:rPr>
      </w:pPr>
    </w:p>
    <w:p w14:paraId="4A61E7CF" w14:textId="77777777" w:rsidR="009B4F3F" w:rsidRPr="00183773" w:rsidRDefault="009B4F3F" w:rsidP="00F66C6E">
      <w:pPr>
        <w:jc w:val="center"/>
        <w:rPr>
          <w:rFonts w:ascii="Calibri" w:hAnsi="Calibri"/>
          <w:b/>
          <w:sz w:val="28"/>
          <w:szCs w:val="28"/>
          <w:highlight w:val="green"/>
        </w:rPr>
      </w:pPr>
    </w:p>
    <w:p w14:paraId="2906DB59" w14:textId="77777777" w:rsidR="00B4670A" w:rsidRPr="00183773" w:rsidRDefault="00B4670A"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0719B56F"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00521D79"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69415CA2"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0B8B9D1B"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0616C60A"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32B82E13"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5ECC4A78"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5E51C6F1"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0249F43B"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6A2B2564" w14:textId="77777777" w:rsidR="00EC687F" w:rsidRPr="00183773" w:rsidRDefault="00EC687F"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144662BF" w14:textId="77777777" w:rsidR="00EC687F" w:rsidRPr="00183773" w:rsidRDefault="00EC687F"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6B46F5B4" w14:textId="77777777" w:rsidR="002D451C" w:rsidRPr="00183773" w:rsidRDefault="002D451C"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1C4CDCB3" w14:textId="77777777" w:rsidR="00B81CE9" w:rsidRDefault="00B81CE9"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4BBB7E7E" w14:textId="77777777" w:rsidR="001D361F" w:rsidRDefault="001D361F" w:rsidP="00B4670A">
      <w:pPr>
        <w:tabs>
          <w:tab w:val="left" w:pos="540"/>
        </w:tabs>
        <w:autoSpaceDE w:val="0"/>
        <w:autoSpaceDN w:val="0"/>
        <w:adjustRightInd w:val="0"/>
        <w:spacing w:line="360" w:lineRule="auto"/>
        <w:jc w:val="center"/>
        <w:rPr>
          <w:rFonts w:ascii="Calibri" w:hAnsi="Calibri" w:cs="Calibri-Bold"/>
          <w:b/>
          <w:bCs/>
          <w:sz w:val="28"/>
          <w:szCs w:val="28"/>
          <w:highlight w:val="green"/>
        </w:rPr>
      </w:pPr>
    </w:p>
    <w:p w14:paraId="72F07BD7" w14:textId="77777777" w:rsidR="00657A8B" w:rsidRPr="001D361F" w:rsidRDefault="00E80E1F" w:rsidP="00B4670A">
      <w:pPr>
        <w:tabs>
          <w:tab w:val="left" w:pos="540"/>
        </w:tabs>
        <w:autoSpaceDE w:val="0"/>
        <w:autoSpaceDN w:val="0"/>
        <w:adjustRightInd w:val="0"/>
        <w:spacing w:line="360" w:lineRule="auto"/>
        <w:jc w:val="center"/>
        <w:rPr>
          <w:rFonts w:ascii="Calibri" w:hAnsi="Calibri" w:cs="Calibri-Bold"/>
          <w:b/>
          <w:bCs/>
          <w:sz w:val="28"/>
          <w:szCs w:val="28"/>
          <w:highlight w:val="yellow"/>
        </w:rPr>
      </w:pPr>
      <w:r w:rsidRPr="00D32B5C">
        <w:rPr>
          <w:rFonts w:ascii="Calibri" w:hAnsi="Calibri" w:cs="Calibri-Bold"/>
          <w:b/>
          <w:bCs/>
          <w:sz w:val="28"/>
          <w:szCs w:val="28"/>
        </w:rPr>
        <w:lastRenderedPageBreak/>
        <w:t>SKONSOLIDOWANE</w:t>
      </w:r>
      <w:r w:rsidR="00EE35A7" w:rsidRPr="00D32B5C">
        <w:rPr>
          <w:rFonts w:ascii="Calibri" w:hAnsi="Calibri" w:cs="Calibri-Bold"/>
          <w:b/>
          <w:bCs/>
          <w:sz w:val="28"/>
          <w:szCs w:val="28"/>
        </w:rPr>
        <w:t xml:space="preserve"> </w:t>
      </w:r>
      <w:r w:rsidR="00657A8B" w:rsidRPr="00D32B5C">
        <w:rPr>
          <w:rFonts w:ascii="Calibri" w:hAnsi="Calibri" w:cs="Calibri-Bold"/>
          <w:b/>
          <w:bCs/>
          <w:sz w:val="28"/>
          <w:szCs w:val="28"/>
        </w:rPr>
        <w:t xml:space="preserve">SPRAWOZDANIE </w:t>
      </w:r>
      <w:r w:rsidR="00246056" w:rsidRPr="00D32B5C">
        <w:rPr>
          <w:rFonts w:ascii="Calibri" w:hAnsi="Calibri" w:cs="Calibri-Bold"/>
          <w:b/>
          <w:bCs/>
          <w:sz w:val="28"/>
          <w:szCs w:val="28"/>
        </w:rPr>
        <w:t xml:space="preserve">Z DZIAŁALNOŚCI </w:t>
      </w:r>
      <w:r w:rsidRPr="00D32B5C">
        <w:rPr>
          <w:rFonts w:ascii="Calibri" w:hAnsi="Calibri" w:cs="Calibri-Bold"/>
          <w:b/>
          <w:bCs/>
          <w:sz w:val="28"/>
          <w:szCs w:val="28"/>
        </w:rPr>
        <w:t>GRUPY KAPITAŁOWEJ</w:t>
      </w:r>
      <w:r w:rsidR="00657A8B" w:rsidRPr="00D32B5C">
        <w:rPr>
          <w:rFonts w:ascii="Calibri" w:hAnsi="Calibri" w:cs="Calibri-Bold"/>
          <w:b/>
          <w:bCs/>
          <w:sz w:val="28"/>
          <w:szCs w:val="28"/>
        </w:rPr>
        <w:t xml:space="preserve"> </w:t>
      </w:r>
      <w:r w:rsidR="00B4670A" w:rsidRPr="00D32B5C">
        <w:rPr>
          <w:rFonts w:ascii="Calibri" w:hAnsi="Calibri" w:cs="Calibri-Bold"/>
          <w:b/>
          <w:bCs/>
          <w:sz w:val="28"/>
          <w:szCs w:val="28"/>
        </w:rPr>
        <w:br/>
      </w:r>
      <w:r w:rsidR="00657A8B" w:rsidRPr="00D32B5C">
        <w:rPr>
          <w:rFonts w:ascii="Calibri" w:hAnsi="Calibri" w:cs="Calibri-Bold"/>
          <w:b/>
          <w:bCs/>
          <w:sz w:val="28"/>
          <w:szCs w:val="28"/>
        </w:rPr>
        <w:t>ZA PIERWSZE PÓŁROCZE 20</w:t>
      </w:r>
      <w:r w:rsidR="00EE35A7" w:rsidRPr="00D32B5C">
        <w:rPr>
          <w:rFonts w:ascii="Calibri" w:hAnsi="Calibri" w:cs="Calibri-Bold"/>
          <w:b/>
          <w:bCs/>
          <w:sz w:val="28"/>
          <w:szCs w:val="28"/>
        </w:rPr>
        <w:t>1</w:t>
      </w:r>
      <w:r w:rsidR="00D32B5C">
        <w:rPr>
          <w:rFonts w:ascii="Calibri" w:hAnsi="Calibri" w:cs="Calibri-Bold"/>
          <w:b/>
          <w:bCs/>
          <w:sz w:val="28"/>
          <w:szCs w:val="28"/>
        </w:rPr>
        <w:t>6</w:t>
      </w:r>
      <w:r w:rsidR="00657A8B" w:rsidRPr="00D32B5C">
        <w:rPr>
          <w:rFonts w:ascii="Calibri" w:hAnsi="Calibri" w:cs="Calibri-Bold"/>
          <w:b/>
          <w:bCs/>
          <w:sz w:val="28"/>
          <w:szCs w:val="28"/>
        </w:rPr>
        <w:t xml:space="preserve"> ROKU</w:t>
      </w:r>
    </w:p>
    <w:p w14:paraId="0ECBDFAB" w14:textId="77777777" w:rsidR="006B0CD3" w:rsidRPr="001D361F" w:rsidRDefault="006B0CD3" w:rsidP="00273E75">
      <w:pPr>
        <w:tabs>
          <w:tab w:val="left" w:pos="0"/>
          <w:tab w:val="left" w:pos="540"/>
        </w:tabs>
        <w:jc w:val="both"/>
        <w:rPr>
          <w:rFonts w:ascii="Calibri" w:hAnsi="Calibri" w:cs="Arial"/>
          <w:b/>
          <w:caps/>
          <w:highlight w:val="yellow"/>
        </w:rPr>
      </w:pPr>
    </w:p>
    <w:p w14:paraId="3E5060A3" w14:textId="77777777" w:rsidR="00E5671C" w:rsidRPr="001B4DB5" w:rsidRDefault="002E4153" w:rsidP="00896C73">
      <w:pPr>
        <w:tabs>
          <w:tab w:val="left" w:pos="0"/>
          <w:tab w:val="left" w:pos="540"/>
        </w:tabs>
        <w:jc w:val="both"/>
        <w:rPr>
          <w:rFonts w:ascii="Calibri" w:hAnsi="Calibri" w:cs="Arial"/>
          <w:b/>
          <w:caps/>
        </w:rPr>
      </w:pPr>
      <w:r>
        <w:rPr>
          <w:rFonts w:ascii="Calibri" w:hAnsi="Calibri"/>
          <w:b/>
          <w:noProof/>
          <w:color w:val="FF0000"/>
        </w:rPr>
        <w:drawing>
          <wp:anchor distT="0" distB="0" distL="114300" distR="114300" simplePos="0" relativeHeight="251660288" behindDoc="0" locked="0" layoutInCell="1" allowOverlap="1" wp14:anchorId="6AC7BF78" wp14:editId="0C0960BF">
            <wp:simplePos x="0" y="0"/>
            <wp:positionH relativeFrom="column">
              <wp:posOffset>-367030</wp:posOffset>
            </wp:positionH>
            <wp:positionV relativeFrom="paragraph">
              <wp:posOffset>1289685</wp:posOffset>
            </wp:positionV>
            <wp:extent cx="6734175" cy="209550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417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A8B" w:rsidRPr="001B4DB5">
        <w:rPr>
          <w:rFonts w:ascii="Calibri" w:hAnsi="Calibri" w:cs="Arial"/>
          <w:caps/>
        </w:rPr>
        <w:t>1</w:t>
      </w:r>
      <w:r w:rsidR="00896C73" w:rsidRPr="001B4DB5">
        <w:rPr>
          <w:rFonts w:ascii="Calibri" w:hAnsi="Calibri" w:cs="Arial"/>
          <w:caps/>
        </w:rPr>
        <w:t>.</w:t>
      </w:r>
      <w:r w:rsidR="00896C73" w:rsidRPr="001B4DB5">
        <w:rPr>
          <w:rFonts w:ascii="Calibri" w:hAnsi="Calibri" w:cs="Arial"/>
          <w:b/>
          <w:caps/>
        </w:rPr>
        <w:tab/>
      </w:r>
      <w:r w:rsidR="00E5671C" w:rsidRPr="001B4DB5">
        <w:rPr>
          <w:rFonts w:ascii="Calibri" w:hAnsi="Calibri" w:cs="Arial"/>
          <w:b/>
          <w:caps/>
        </w:rPr>
        <w:t xml:space="preserve">opis organizacji grupy kapitałowej emitenta, ze wskazaniem jednostek </w:t>
      </w:r>
      <w:r w:rsidR="00896C73" w:rsidRPr="001B4DB5">
        <w:rPr>
          <w:rFonts w:ascii="Calibri" w:hAnsi="Calibri" w:cs="Arial"/>
          <w:b/>
          <w:caps/>
        </w:rPr>
        <w:tab/>
      </w:r>
      <w:r w:rsidR="00E5671C" w:rsidRPr="001B4DB5">
        <w:rPr>
          <w:rFonts w:ascii="Calibri" w:hAnsi="Calibri" w:cs="Arial"/>
          <w:b/>
          <w:caps/>
        </w:rPr>
        <w:t xml:space="preserve">podlegających konsolidacji, a w przypadku emitenta będącego jednostką </w:t>
      </w:r>
      <w:r w:rsidR="00896C73" w:rsidRPr="001B4DB5">
        <w:rPr>
          <w:rFonts w:ascii="Calibri" w:hAnsi="Calibri" w:cs="Arial"/>
          <w:b/>
          <w:caps/>
        </w:rPr>
        <w:tab/>
      </w:r>
      <w:r w:rsidR="00E5671C" w:rsidRPr="001B4DB5">
        <w:rPr>
          <w:rFonts w:ascii="Calibri" w:hAnsi="Calibri" w:cs="Arial"/>
          <w:b/>
          <w:caps/>
        </w:rPr>
        <w:t xml:space="preserve">dominującą, który na podstawie obowiązujących go przepisów nie ma </w:t>
      </w:r>
      <w:r w:rsidR="00896C73" w:rsidRPr="001B4DB5">
        <w:rPr>
          <w:rFonts w:ascii="Calibri" w:hAnsi="Calibri" w:cs="Arial"/>
          <w:b/>
          <w:caps/>
        </w:rPr>
        <w:tab/>
      </w:r>
      <w:r w:rsidR="00E5671C" w:rsidRPr="001B4DB5">
        <w:rPr>
          <w:rFonts w:ascii="Calibri" w:hAnsi="Calibri" w:cs="Arial"/>
          <w:b/>
          <w:caps/>
        </w:rPr>
        <w:t xml:space="preserve">obowiązku lub może nie sporządzać skonsolidowanych sprawozdań </w:t>
      </w:r>
      <w:r w:rsidR="00896C73" w:rsidRPr="001B4DB5">
        <w:rPr>
          <w:rFonts w:ascii="Calibri" w:hAnsi="Calibri" w:cs="Arial"/>
          <w:b/>
          <w:caps/>
        </w:rPr>
        <w:tab/>
      </w:r>
      <w:r w:rsidR="00E5671C" w:rsidRPr="001B4DB5">
        <w:rPr>
          <w:rFonts w:ascii="Calibri" w:hAnsi="Calibri" w:cs="Arial"/>
          <w:b/>
          <w:caps/>
        </w:rPr>
        <w:t xml:space="preserve">finansowych – również wskazanie przyczyny i podstawy prawnej braku </w:t>
      </w:r>
      <w:r w:rsidR="00896C73" w:rsidRPr="001B4DB5">
        <w:rPr>
          <w:rFonts w:ascii="Calibri" w:hAnsi="Calibri" w:cs="Arial"/>
          <w:b/>
          <w:caps/>
        </w:rPr>
        <w:tab/>
      </w:r>
      <w:r w:rsidR="00EC5BF7" w:rsidRPr="001B4DB5">
        <w:rPr>
          <w:rFonts w:ascii="Calibri" w:hAnsi="Calibri" w:cs="Arial"/>
          <w:b/>
          <w:caps/>
        </w:rPr>
        <w:t>konsolidacji.</w:t>
      </w:r>
    </w:p>
    <w:p w14:paraId="2C982BED" w14:textId="77777777" w:rsidR="00B81CE9" w:rsidRPr="001D361F" w:rsidRDefault="00896C73" w:rsidP="002E4153">
      <w:pPr>
        <w:widowControl w:val="0"/>
        <w:tabs>
          <w:tab w:val="left" w:pos="0"/>
          <w:tab w:val="left" w:pos="567"/>
        </w:tabs>
        <w:spacing w:line="360" w:lineRule="auto"/>
        <w:jc w:val="both"/>
        <w:rPr>
          <w:rFonts w:asciiTheme="minorHAnsi" w:hAnsiTheme="minorHAnsi"/>
          <w:sz w:val="28"/>
          <w:szCs w:val="28"/>
          <w:vertAlign w:val="superscript"/>
        </w:rPr>
      </w:pPr>
      <w:r w:rsidRPr="001B4DB5">
        <w:rPr>
          <w:rFonts w:ascii="Calibri" w:hAnsi="Calibri"/>
          <w:b/>
        </w:rPr>
        <w:tab/>
      </w:r>
      <w:r w:rsidR="00B81CE9" w:rsidRPr="001D361F">
        <w:rPr>
          <w:rFonts w:asciiTheme="minorHAnsi" w:hAnsiTheme="minorHAnsi"/>
          <w:sz w:val="28"/>
          <w:szCs w:val="28"/>
          <w:vertAlign w:val="superscript"/>
        </w:rPr>
        <w:t>*) Spółka nie objęta konsolidacją</w:t>
      </w:r>
    </w:p>
    <w:p w14:paraId="64D9ED5A" w14:textId="77777777" w:rsidR="00B81CE9" w:rsidRPr="001D361F" w:rsidRDefault="00B81CE9" w:rsidP="00B81CE9">
      <w:pPr>
        <w:widowControl w:val="0"/>
        <w:tabs>
          <w:tab w:val="left" w:pos="0"/>
          <w:tab w:val="left" w:pos="540"/>
        </w:tabs>
        <w:spacing w:line="360" w:lineRule="auto"/>
        <w:jc w:val="both"/>
        <w:rPr>
          <w:rFonts w:asciiTheme="minorHAnsi" w:hAnsiTheme="minorHAnsi"/>
          <w:sz w:val="10"/>
          <w:szCs w:val="10"/>
        </w:rPr>
      </w:pPr>
    </w:p>
    <w:p w14:paraId="17736FC3" w14:textId="77777777" w:rsidR="001B4DB5" w:rsidRPr="00BB5D50" w:rsidRDefault="00B81CE9" w:rsidP="001B4DB5">
      <w:pPr>
        <w:widowControl w:val="0"/>
        <w:tabs>
          <w:tab w:val="left" w:pos="0"/>
          <w:tab w:val="left" w:pos="540"/>
        </w:tabs>
        <w:spacing w:line="360" w:lineRule="auto"/>
        <w:jc w:val="both"/>
        <w:rPr>
          <w:rFonts w:asciiTheme="minorHAnsi" w:hAnsiTheme="minorHAnsi"/>
          <w:sz w:val="10"/>
          <w:szCs w:val="10"/>
        </w:rPr>
      </w:pPr>
      <w:r w:rsidRPr="001D361F">
        <w:rPr>
          <w:rFonts w:asciiTheme="minorHAnsi" w:hAnsiTheme="minorHAnsi"/>
        </w:rPr>
        <w:tab/>
      </w:r>
      <w:r w:rsidR="001F7E12" w:rsidRPr="001D361F">
        <w:rPr>
          <w:rFonts w:asciiTheme="minorHAnsi" w:hAnsiTheme="minorHAnsi"/>
        </w:rPr>
        <w:tab/>
      </w:r>
    </w:p>
    <w:p w14:paraId="42934C0E" w14:textId="77777777" w:rsidR="001B4DB5" w:rsidRDefault="001B4DB5" w:rsidP="001B4DB5">
      <w:pPr>
        <w:pStyle w:val="Lista"/>
        <w:spacing w:line="360" w:lineRule="auto"/>
        <w:ind w:left="0" w:firstLine="539"/>
        <w:jc w:val="both"/>
        <w:rPr>
          <w:rFonts w:ascii="Calibri" w:hAnsi="Calibri"/>
          <w:sz w:val="22"/>
          <w:szCs w:val="22"/>
        </w:rPr>
      </w:pPr>
      <w:r w:rsidRPr="00AC0905">
        <w:rPr>
          <w:rFonts w:asciiTheme="minorHAnsi" w:hAnsiTheme="minorHAnsi"/>
          <w:sz w:val="22"/>
          <w:szCs w:val="22"/>
        </w:rPr>
        <w:t xml:space="preserve">Grupa </w:t>
      </w:r>
      <w:r w:rsidR="002E4153">
        <w:rPr>
          <w:rFonts w:asciiTheme="minorHAnsi" w:hAnsiTheme="minorHAnsi"/>
          <w:sz w:val="22"/>
          <w:szCs w:val="22"/>
        </w:rPr>
        <w:t>CHEMOSERVIS-DWORY</w:t>
      </w:r>
      <w:r w:rsidRPr="00AC0905">
        <w:rPr>
          <w:rFonts w:asciiTheme="minorHAnsi" w:hAnsiTheme="minorHAnsi"/>
          <w:sz w:val="22"/>
          <w:szCs w:val="22"/>
        </w:rPr>
        <w:t xml:space="preserve"> na dzień 3</w:t>
      </w:r>
      <w:r>
        <w:rPr>
          <w:rFonts w:asciiTheme="minorHAnsi" w:hAnsiTheme="minorHAnsi"/>
          <w:sz w:val="22"/>
          <w:szCs w:val="22"/>
        </w:rPr>
        <w:t>0</w:t>
      </w:r>
      <w:r w:rsidRPr="00AC0905">
        <w:rPr>
          <w:rFonts w:asciiTheme="minorHAnsi" w:hAnsiTheme="minorHAnsi"/>
          <w:sz w:val="22"/>
          <w:szCs w:val="22"/>
        </w:rPr>
        <w:t xml:space="preserve"> </w:t>
      </w:r>
      <w:r>
        <w:rPr>
          <w:rFonts w:asciiTheme="minorHAnsi" w:hAnsiTheme="minorHAnsi"/>
          <w:sz w:val="22"/>
          <w:szCs w:val="22"/>
        </w:rPr>
        <w:t>czerwca</w:t>
      </w:r>
      <w:r w:rsidRPr="00AC0905">
        <w:rPr>
          <w:rFonts w:asciiTheme="minorHAnsi" w:hAnsiTheme="minorHAnsi"/>
          <w:sz w:val="22"/>
          <w:szCs w:val="22"/>
        </w:rPr>
        <w:t xml:space="preserve"> 201</w:t>
      </w:r>
      <w:r>
        <w:rPr>
          <w:rFonts w:asciiTheme="minorHAnsi" w:hAnsiTheme="minorHAnsi"/>
          <w:sz w:val="22"/>
          <w:szCs w:val="22"/>
        </w:rPr>
        <w:t>6</w:t>
      </w:r>
      <w:r w:rsidRPr="00AC0905">
        <w:rPr>
          <w:rFonts w:asciiTheme="minorHAnsi" w:hAnsiTheme="minorHAnsi"/>
          <w:sz w:val="22"/>
          <w:szCs w:val="22"/>
        </w:rPr>
        <w:t xml:space="preserve"> roku posiada</w:t>
      </w:r>
      <w:r>
        <w:rPr>
          <w:rFonts w:asciiTheme="minorHAnsi" w:hAnsiTheme="minorHAnsi"/>
          <w:sz w:val="22"/>
          <w:szCs w:val="22"/>
        </w:rPr>
        <w:t>ła</w:t>
      </w:r>
      <w:r w:rsidRPr="00AC0905">
        <w:rPr>
          <w:rFonts w:asciiTheme="minorHAnsi" w:hAnsiTheme="minorHAnsi"/>
          <w:sz w:val="22"/>
          <w:szCs w:val="22"/>
        </w:rPr>
        <w:t xml:space="preserve"> </w:t>
      </w:r>
      <w:r>
        <w:rPr>
          <w:rFonts w:asciiTheme="minorHAnsi" w:hAnsiTheme="minorHAnsi"/>
          <w:sz w:val="22"/>
          <w:szCs w:val="22"/>
        </w:rPr>
        <w:t>osiem</w:t>
      </w:r>
      <w:r w:rsidRPr="00AC0905">
        <w:rPr>
          <w:rFonts w:asciiTheme="minorHAnsi" w:hAnsiTheme="minorHAnsi"/>
          <w:sz w:val="22"/>
          <w:szCs w:val="22"/>
        </w:rPr>
        <w:t xml:space="preserve"> spółek zależnych.</w:t>
      </w:r>
      <w:r>
        <w:rPr>
          <w:rFonts w:asciiTheme="minorHAnsi" w:hAnsiTheme="minorHAnsi"/>
          <w:sz w:val="22"/>
          <w:szCs w:val="22"/>
        </w:rPr>
        <w:t xml:space="preserve"> </w:t>
      </w:r>
      <w:r w:rsidRPr="00AC0905">
        <w:rPr>
          <w:rFonts w:asciiTheme="minorHAnsi" w:hAnsiTheme="minorHAnsi"/>
          <w:sz w:val="22"/>
          <w:szCs w:val="22"/>
        </w:rPr>
        <w:t>W dniach 23 i 25 września 2009 roku jednostka dominująca podpisała umowy na zakup 100% udziałów w Zakładzie Energetycznym ZEN Sp. z o.o. z siedzibą w Dąbrowie Górniczej. Nabycie udziałów nastąpiło w dniu 5 października 2009 roku. Następnie 21 października 2010 roku Spółka podpisała umowy na nabycie 100% akcji czeskiej spółki K-</w:t>
      </w:r>
      <w:proofErr w:type="spellStart"/>
      <w:r w:rsidRPr="00AC0905">
        <w:rPr>
          <w:rFonts w:asciiTheme="minorHAnsi" w:hAnsiTheme="minorHAnsi"/>
          <w:sz w:val="22"/>
          <w:szCs w:val="22"/>
        </w:rPr>
        <w:t>Protos</w:t>
      </w:r>
      <w:proofErr w:type="spellEnd"/>
      <w:r w:rsidRPr="00AC0905">
        <w:rPr>
          <w:rFonts w:asciiTheme="minorHAnsi" w:hAnsiTheme="minorHAnsi"/>
          <w:sz w:val="22"/>
          <w:szCs w:val="22"/>
        </w:rPr>
        <w:t xml:space="preserve"> </w:t>
      </w:r>
      <w:proofErr w:type="spellStart"/>
      <w:r w:rsidRPr="00AC0905">
        <w:rPr>
          <w:rFonts w:asciiTheme="minorHAnsi" w:hAnsiTheme="minorHAnsi"/>
          <w:sz w:val="22"/>
          <w:szCs w:val="22"/>
        </w:rPr>
        <w:t>a.s</w:t>
      </w:r>
      <w:proofErr w:type="spellEnd"/>
      <w:r w:rsidRPr="00AC0905">
        <w:rPr>
          <w:rFonts w:asciiTheme="minorHAnsi" w:hAnsiTheme="minorHAnsi"/>
          <w:sz w:val="22"/>
          <w:szCs w:val="22"/>
        </w:rPr>
        <w:t xml:space="preserve">. z siedzibą w Kralupach. </w:t>
      </w:r>
      <w:r w:rsidR="002E4153">
        <w:rPr>
          <w:rFonts w:asciiTheme="minorHAnsi" w:hAnsiTheme="minorHAnsi"/>
          <w:sz w:val="22"/>
          <w:szCs w:val="22"/>
        </w:rPr>
        <w:br/>
      </w:r>
      <w:r w:rsidRPr="00AC0905">
        <w:rPr>
          <w:rFonts w:asciiTheme="minorHAnsi" w:hAnsiTheme="minorHAnsi"/>
          <w:sz w:val="22"/>
          <w:szCs w:val="22"/>
        </w:rPr>
        <w:t xml:space="preserve">Umowy sprzedaży akcji zostały zawarte z następującymi podmiotami: PETRO Remont Sp. z o.o., PETRO Mechanika S.A., PETROELTECH S.A. (obecnie REVICO S.A.) oraz </w:t>
      </w:r>
      <w:proofErr w:type="spellStart"/>
      <w:r w:rsidRPr="00AC0905">
        <w:rPr>
          <w:rFonts w:asciiTheme="minorHAnsi" w:hAnsiTheme="minorHAnsi"/>
          <w:sz w:val="22"/>
          <w:szCs w:val="22"/>
        </w:rPr>
        <w:t>Omenix</w:t>
      </w:r>
      <w:proofErr w:type="spellEnd"/>
      <w:r w:rsidRPr="00AC0905">
        <w:rPr>
          <w:rFonts w:asciiTheme="minorHAnsi" w:hAnsiTheme="minorHAnsi"/>
          <w:sz w:val="22"/>
          <w:szCs w:val="22"/>
        </w:rPr>
        <w:t xml:space="preserve"> Sp. z o.o. Nabycie akcji, i co za tym idzie kontroli nad czeską Spółką, zgodnie z zapisami zawartych umów, nastąpiło </w:t>
      </w:r>
      <w:r w:rsidR="002E4153">
        <w:rPr>
          <w:rFonts w:asciiTheme="minorHAnsi" w:hAnsiTheme="minorHAnsi"/>
          <w:sz w:val="22"/>
          <w:szCs w:val="22"/>
        </w:rPr>
        <w:br/>
      </w:r>
      <w:r w:rsidRPr="00AC0905">
        <w:rPr>
          <w:rFonts w:asciiTheme="minorHAnsi" w:hAnsiTheme="minorHAnsi"/>
          <w:sz w:val="22"/>
          <w:szCs w:val="22"/>
        </w:rPr>
        <w:t>2 listopada 2010 roku. Zakup akcji został sfinansowany środkami finansowymi pozyskanymi w drodze emisji warrantów subskrypcyjnych uprawniających do nabycia akcji serii D. Kolejno w wyniku dwóch transakcji z 16 i 30 lipca 2012 roku Spółka podpisała umowy</w:t>
      </w:r>
      <w:r>
        <w:rPr>
          <w:rFonts w:asciiTheme="minorHAnsi" w:hAnsiTheme="minorHAnsi"/>
          <w:sz w:val="22"/>
          <w:szCs w:val="22"/>
        </w:rPr>
        <w:t xml:space="preserve"> </w:t>
      </w:r>
      <w:r w:rsidRPr="00AC0905">
        <w:rPr>
          <w:rFonts w:asciiTheme="minorHAnsi" w:hAnsiTheme="minorHAnsi"/>
          <w:sz w:val="22"/>
          <w:szCs w:val="22"/>
        </w:rPr>
        <w:t xml:space="preserve">na nabycie 64,12% udziałów spółki </w:t>
      </w:r>
      <w:r>
        <w:rPr>
          <w:rFonts w:asciiTheme="minorHAnsi" w:hAnsiTheme="minorHAnsi"/>
          <w:sz w:val="22"/>
          <w:szCs w:val="22"/>
        </w:rPr>
        <w:br/>
      </w:r>
      <w:r w:rsidRPr="00AC0905">
        <w:rPr>
          <w:rFonts w:asciiTheme="minorHAnsi" w:hAnsiTheme="minorHAnsi"/>
          <w:sz w:val="22"/>
          <w:szCs w:val="22"/>
        </w:rPr>
        <w:t>MD-</w:t>
      </w:r>
      <w:proofErr w:type="spellStart"/>
      <w:r w:rsidRPr="00AC0905">
        <w:rPr>
          <w:rFonts w:asciiTheme="minorHAnsi" w:hAnsiTheme="minorHAnsi"/>
          <w:sz w:val="22"/>
          <w:szCs w:val="22"/>
        </w:rPr>
        <w:t>proeco</w:t>
      </w:r>
      <w:proofErr w:type="spellEnd"/>
      <w:r w:rsidRPr="00AC0905">
        <w:rPr>
          <w:rFonts w:asciiTheme="minorHAnsi" w:hAnsiTheme="minorHAnsi"/>
          <w:sz w:val="22"/>
          <w:szCs w:val="22"/>
        </w:rPr>
        <w:t xml:space="preserve"> Sp. z o.o. z siedzibą w Bydgoszczy. Umowy sprzedaży udziałów zostały zawarte </w:t>
      </w:r>
      <w:r>
        <w:rPr>
          <w:rFonts w:asciiTheme="minorHAnsi" w:hAnsiTheme="minorHAnsi"/>
          <w:sz w:val="22"/>
          <w:szCs w:val="22"/>
        </w:rPr>
        <w:br/>
      </w:r>
      <w:r w:rsidRPr="00AC0905">
        <w:rPr>
          <w:rFonts w:asciiTheme="minorHAnsi" w:hAnsiTheme="minorHAnsi"/>
          <w:sz w:val="22"/>
          <w:szCs w:val="22"/>
        </w:rPr>
        <w:t xml:space="preserve">z następującymi podmiotami: PETRO Remont Sp. z o.o., PETRO Mechanika S.A., PETROELTECH S.A. (obecnie REVICO S.A.). Nabycie udziałów, i co za tym idzie kontroli nad bydgoską spółką, zgodnie </w:t>
      </w:r>
      <w:r>
        <w:rPr>
          <w:rFonts w:asciiTheme="minorHAnsi" w:hAnsiTheme="minorHAnsi"/>
          <w:sz w:val="22"/>
          <w:szCs w:val="22"/>
        </w:rPr>
        <w:br/>
      </w:r>
      <w:r w:rsidRPr="00AC0905">
        <w:rPr>
          <w:rFonts w:asciiTheme="minorHAnsi" w:hAnsiTheme="minorHAnsi"/>
          <w:sz w:val="22"/>
          <w:szCs w:val="22"/>
        </w:rPr>
        <w:t>z zapisami zawartych umów, nastąpiło 31 lipca 2012 roku. W</w:t>
      </w:r>
      <w:r w:rsidRPr="00AC0905">
        <w:rPr>
          <w:rFonts w:ascii="Calibri" w:hAnsi="Calibri"/>
          <w:sz w:val="22"/>
          <w:szCs w:val="22"/>
        </w:rPr>
        <w:t xml:space="preserve"> wyniku kolejnej transakcji </w:t>
      </w:r>
      <w:r>
        <w:rPr>
          <w:rFonts w:ascii="Calibri" w:hAnsi="Calibri"/>
          <w:sz w:val="22"/>
          <w:szCs w:val="22"/>
        </w:rPr>
        <w:br/>
      </w:r>
      <w:r w:rsidRPr="00AC0905">
        <w:rPr>
          <w:rFonts w:ascii="Calibri" w:hAnsi="Calibri"/>
          <w:sz w:val="22"/>
          <w:szCs w:val="22"/>
        </w:rPr>
        <w:lastRenderedPageBreak/>
        <w:t xml:space="preserve">z dnia 15 lipca 2013 roku </w:t>
      </w:r>
      <w:r w:rsidR="002E4153">
        <w:rPr>
          <w:rFonts w:ascii="Calibri" w:hAnsi="Calibri"/>
          <w:sz w:val="22"/>
          <w:szCs w:val="22"/>
        </w:rPr>
        <w:t>CHEMOSERVIS-DWORY</w:t>
      </w:r>
      <w:r w:rsidRPr="00AC0905">
        <w:rPr>
          <w:rFonts w:ascii="Calibri" w:hAnsi="Calibri"/>
          <w:sz w:val="22"/>
          <w:szCs w:val="22"/>
        </w:rPr>
        <w:t xml:space="preserve"> S.A. nabył 66,67% udziałów w spółce Zakład </w:t>
      </w:r>
      <w:r>
        <w:rPr>
          <w:rFonts w:ascii="Calibri" w:hAnsi="Calibri"/>
          <w:sz w:val="22"/>
          <w:szCs w:val="22"/>
        </w:rPr>
        <w:br/>
      </w:r>
      <w:r w:rsidRPr="00AC0905">
        <w:rPr>
          <w:rFonts w:ascii="Calibri" w:hAnsi="Calibri"/>
          <w:sz w:val="22"/>
          <w:szCs w:val="22"/>
        </w:rPr>
        <w:t xml:space="preserve">Budowy Aparatury Chemicznej ZBACH Sp. z o.o. z siedzibą w Tarnowie. Przejęcie udziałów nastąpiło </w:t>
      </w:r>
      <w:r>
        <w:rPr>
          <w:rFonts w:ascii="Calibri" w:hAnsi="Calibri"/>
          <w:sz w:val="22"/>
          <w:szCs w:val="22"/>
        </w:rPr>
        <w:br/>
      </w:r>
      <w:r w:rsidRPr="00AC0905">
        <w:rPr>
          <w:rFonts w:ascii="Calibri" w:hAnsi="Calibri"/>
          <w:sz w:val="22"/>
          <w:szCs w:val="22"/>
        </w:rPr>
        <w:t>z dniem</w:t>
      </w:r>
      <w:r>
        <w:rPr>
          <w:rFonts w:ascii="Calibri" w:hAnsi="Calibri"/>
          <w:sz w:val="22"/>
          <w:szCs w:val="22"/>
        </w:rPr>
        <w:t xml:space="preserve"> </w:t>
      </w:r>
      <w:r w:rsidRPr="00AC0905">
        <w:rPr>
          <w:rFonts w:ascii="Calibri" w:hAnsi="Calibri"/>
          <w:sz w:val="22"/>
          <w:szCs w:val="22"/>
        </w:rPr>
        <w:t xml:space="preserve">31 lipca 2013 roku. Kolejną akwizycję przeprowadzono </w:t>
      </w:r>
      <w:r w:rsidRPr="00AC0905">
        <w:rPr>
          <w:rFonts w:ascii="Calibri" w:hAnsi="Calibri" w:cs="Arial"/>
          <w:sz w:val="22"/>
          <w:szCs w:val="22"/>
        </w:rPr>
        <w:t xml:space="preserve">25 marca 2014 roku, w tym czasie zostały podpisane umowy nabycia udziałów Spółki PETRO </w:t>
      </w:r>
      <w:proofErr w:type="spellStart"/>
      <w:r w:rsidRPr="00AC0905">
        <w:rPr>
          <w:rFonts w:ascii="Calibri" w:hAnsi="Calibri" w:cs="Arial"/>
          <w:sz w:val="22"/>
          <w:szCs w:val="22"/>
        </w:rPr>
        <w:t>EnergoRem</w:t>
      </w:r>
      <w:proofErr w:type="spellEnd"/>
      <w:r w:rsidRPr="00AC0905">
        <w:rPr>
          <w:rFonts w:ascii="Calibri" w:hAnsi="Calibri" w:cs="Arial"/>
          <w:sz w:val="22"/>
          <w:szCs w:val="22"/>
        </w:rPr>
        <w:t xml:space="preserve"> Sp. z o.o. z Płocka. Umowy sprzedaży zostały zawarte z firmami: REVICO S.A. oraz PETRO Mechanika S.A. W wyniku tej transakcji </w:t>
      </w:r>
      <w:r w:rsidR="002E4153">
        <w:rPr>
          <w:rFonts w:ascii="Calibri" w:hAnsi="Calibri" w:cs="Arial"/>
          <w:sz w:val="22"/>
          <w:szCs w:val="22"/>
        </w:rPr>
        <w:t>CHEMOSERVIS-DWORY</w:t>
      </w:r>
      <w:r w:rsidRPr="00AC0905">
        <w:rPr>
          <w:rFonts w:ascii="Calibri" w:hAnsi="Calibri" w:cs="Arial"/>
          <w:sz w:val="22"/>
          <w:szCs w:val="22"/>
        </w:rPr>
        <w:t xml:space="preserve"> S.A. nabył 5 016 udziałów Spółki PETRO </w:t>
      </w:r>
      <w:proofErr w:type="spellStart"/>
      <w:r w:rsidRPr="00AC0905">
        <w:rPr>
          <w:rFonts w:ascii="Calibri" w:hAnsi="Calibri" w:cs="Arial"/>
          <w:sz w:val="22"/>
          <w:szCs w:val="22"/>
        </w:rPr>
        <w:t>EnergoRem</w:t>
      </w:r>
      <w:proofErr w:type="spellEnd"/>
      <w:r w:rsidRPr="00AC0905">
        <w:rPr>
          <w:rFonts w:ascii="Calibri" w:hAnsi="Calibri" w:cs="Arial"/>
          <w:sz w:val="22"/>
          <w:szCs w:val="22"/>
        </w:rPr>
        <w:t xml:space="preserve"> Sp. z o.o., co stanowi 50,16% udziałów w kapitale zakładowym tej Spółki</w:t>
      </w:r>
      <w:r w:rsidRPr="00AC0905">
        <w:rPr>
          <w:rFonts w:asciiTheme="minorHAnsi" w:eastAsiaTheme="minorHAnsi" w:hAnsiTheme="minorHAnsi" w:cstheme="minorHAnsi"/>
          <w:sz w:val="22"/>
          <w:szCs w:val="22"/>
        </w:rPr>
        <w:t xml:space="preserve"> i uprawniają do 50,16% głosów na Zgromadzeniu Wspólników. Zgodnie z zapisami zawartych umów sprzedaży udziałów, przejęcie udziałów przez Spółkę </w:t>
      </w:r>
      <w:r w:rsidR="002E4153">
        <w:rPr>
          <w:rFonts w:asciiTheme="minorHAnsi" w:eastAsiaTheme="minorHAnsi" w:hAnsiTheme="minorHAnsi" w:cstheme="minorHAnsi"/>
          <w:sz w:val="22"/>
          <w:szCs w:val="22"/>
        </w:rPr>
        <w:t>CHEMOSERVIS-DWORY</w:t>
      </w:r>
      <w:r w:rsidRPr="00AC0905">
        <w:rPr>
          <w:rFonts w:asciiTheme="minorHAnsi" w:eastAsiaTheme="minorHAnsi" w:hAnsiTheme="minorHAnsi" w:cstheme="minorHAnsi"/>
          <w:sz w:val="22"/>
          <w:szCs w:val="22"/>
        </w:rPr>
        <w:t xml:space="preserve"> S.A. nastąpiło od dnia</w:t>
      </w:r>
      <w:r>
        <w:rPr>
          <w:rFonts w:asciiTheme="minorHAnsi" w:eastAsiaTheme="minorHAnsi" w:hAnsiTheme="minorHAnsi" w:cstheme="minorHAnsi"/>
          <w:sz w:val="22"/>
          <w:szCs w:val="22"/>
        </w:rPr>
        <w:t xml:space="preserve"> </w:t>
      </w:r>
      <w:r w:rsidRPr="00AC0905">
        <w:rPr>
          <w:rFonts w:asciiTheme="minorHAnsi" w:eastAsiaTheme="minorHAnsi" w:hAnsiTheme="minorHAnsi" w:cstheme="minorHAnsi"/>
          <w:sz w:val="22"/>
          <w:szCs w:val="22"/>
        </w:rPr>
        <w:t>1 kwietnia 2014 roku i od tego dnia dane finansowe Spółki podlegają konsolidacji.</w:t>
      </w:r>
      <w:r w:rsidRPr="00AC0905">
        <w:rPr>
          <w:rFonts w:ascii="Calibri" w:hAnsi="Calibri"/>
          <w:sz w:val="22"/>
          <w:szCs w:val="22"/>
        </w:rPr>
        <w:t xml:space="preserve"> </w:t>
      </w:r>
      <w:r>
        <w:rPr>
          <w:rFonts w:ascii="Calibri" w:hAnsi="Calibri"/>
          <w:sz w:val="22"/>
          <w:szCs w:val="22"/>
        </w:rPr>
        <w:t xml:space="preserve">W dniu 1 października 2014 roku Spółka nabyła kolejne </w:t>
      </w:r>
      <w:r>
        <w:rPr>
          <w:rFonts w:ascii="Calibri" w:hAnsi="Calibri"/>
          <w:sz w:val="22"/>
          <w:szCs w:val="22"/>
        </w:rPr>
        <w:br/>
        <w:t xml:space="preserve">20 udziałów, zwiększając tym samym swoje zaangażowanie w firmie PETRO </w:t>
      </w:r>
      <w:proofErr w:type="spellStart"/>
      <w:r>
        <w:rPr>
          <w:rFonts w:ascii="Calibri" w:hAnsi="Calibri"/>
          <w:sz w:val="22"/>
          <w:szCs w:val="22"/>
        </w:rPr>
        <w:t>EnergoRem</w:t>
      </w:r>
      <w:proofErr w:type="spellEnd"/>
      <w:r>
        <w:rPr>
          <w:rFonts w:ascii="Calibri" w:hAnsi="Calibri"/>
          <w:sz w:val="22"/>
          <w:szCs w:val="22"/>
        </w:rPr>
        <w:t xml:space="preserve"> Sp. z o.o. </w:t>
      </w:r>
      <w:r w:rsidR="002E4153">
        <w:rPr>
          <w:rFonts w:ascii="Calibri" w:hAnsi="Calibri"/>
          <w:sz w:val="22"/>
          <w:szCs w:val="22"/>
        </w:rPr>
        <w:br/>
      </w:r>
      <w:r>
        <w:rPr>
          <w:rFonts w:ascii="Calibri" w:hAnsi="Calibri"/>
          <w:sz w:val="22"/>
          <w:szCs w:val="22"/>
        </w:rPr>
        <w:t xml:space="preserve">do 5 036 udziałów, co stanowi 50,36% udziałów w kapitale zakładowym tej spółki i uprawniając </w:t>
      </w:r>
      <w:r w:rsidR="002E4153">
        <w:rPr>
          <w:rFonts w:ascii="Calibri" w:hAnsi="Calibri"/>
          <w:sz w:val="22"/>
          <w:szCs w:val="22"/>
        </w:rPr>
        <w:br/>
      </w:r>
      <w:r>
        <w:rPr>
          <w:rFonts w:ascii="Calibri" w:hAnsi="Calibri"/>
          <w:sz w:val="22"/>
          <w:szCs w:val="22"/>
        </w:rPr>
        <w:t xml:space="preserve">do 50,36% głosów na Zgromadzenie Wspólników. Dnia 12 listopada 2014 roku jednostka </w:t>
      </w:r>
      <w:r w:rsidR="002E4153">
        <w:rPr>
          <w:rFonts w:ascii="Calibri" w:hAnsi="Calibri"/>
          <w:sz w:val="22"/>
          <w:szCs w:val="22"/>
        </w:rPr>
        <w:br/>
      </w:r>
      <w:r>
        <w:rPr>
          <w:rFonts w:ascii="Calibri" w:hAnsi="Calibri"/>
          <w:sz w:val="22"/>
          <w:szCs w:val="22"/>
        </w:rPr>
        <w:t xml:space="preserve">dominująca aktem notarialnym powołała spółkę BALTICSERVIS Sp. z o.o. z siedzibą w Szczecinie, obejmując 100% udziałów w kapitale zakładowym.  </w:t>
      </w:r>
    </w:p>
    <w:p w14:paraId="5E6161E2" w14:textId="5F01BB3E" w:rsidR="001B4DB5" w:rsidRDefault="001B4DB5" w:rsidP="001B4DB5">
      <w:pPr>
        <w:pStyle w:val="NormalnyWeb"/>
        <w:spacing w:before="0" w:beforeAutospacing="0" w:after="0" w:afterAutospacing="0" w:line="360" w:lineRule="auto"/>
        <w:ind w:firstLine="567"/>
        <w:jc w:val="both"/>
        <w:rPr>
          <w:rFonts w:ascii="Calibri" w:hAnsi="Calibri" w:cs="Calibri"/>
          <w:sz w:val="22"/>
          <w:szCs w:val="22"/>
        </w:rPr>
      </w:pPr>
      <w:r>
        <w:rPr>
          <w:rFonts w:asciiTheme="minorHAnsi" w:hAnsiTheme="minorHAnsi"/>
          <w:sz w:val="22"/>
          <w:szCs w:val="22"/>
        </w:rPr>
        <w:t xml:space="preserve">Ponadto w dniu </w:t>
      </w:r>
      <w:r w:rsidRPr="00DE1FCC">
        <w:rPr>
          <w:rFonts w:asciiTheme="minorHAnsi" w:hAnsiTheme="minorHAnsi"/>
          <w:sz w:val="22"/>
          <w:szCs w:val="22"/>
        </w:rPr>
        <w:t xml:space="preserve">20 sierpnia 2010 roku, </w:t>
      </w:r>
      <w:r w:rsidRPr="00DE1FCC">
        <w:rPr>
          <w:rFonts w:ascii="Calibri" w:hAnsi="Calibri"/>
          <w:sz w:val="22"/>
          <w:szCs w:val="22"/>
        </w:rPr>
        <w:t>J</w:t>
      </w:r>
      <w:r w:rsidRPr="00DE1FCC">
        <w:rPr>
          <w:rFonts w:asciiTheme="minorHAnsi" w:hAnsiTheme="minorHAnsi"/>
          <w:sz w:val="22"/>
          <w:szCs w:val="22"/>
        </w:rPr>
        <w:t xml:space="preserve">ednostka Zależna Emitenta – ZE ZEN Sp. z o.o. objęła </w:t>
      </w:r>
      <w:r>
        <w:rPr>
          <w:rFonts w:asciiTheme="minorHAnsi" w:hAnsiTheme="minorHAnsi"/>
          <w:sz w:val="22"/>
          <w:szCs w:val="22"/>
        </w:rPr>
        <w:br/>
      </w:r>
      <w:r w:rsidRPr="00DE1FCC">
        <w:rPr>
          <w:rFonts w:asciiTheme="minorHAnsi" w:hAnsiTheme="minorHAnsi"/>
          <w:sz w:val="22"/>
          <w:szCs w:val="22"/>
        </w:rPr>
        <w:t xml:space="preserve">330 nowych udziałów o wartości nominalnej 50,00 zł każdy, w Zakładzie Usług Energetycznych </w:t>
      </w:r>
      <w:r>
        <w:rPr>
          <w:rFonts w:asciiTheme="minorHAnsi" w:hAnsiTheme="minorHAnsi"/>
          <w:sz w:val="22"/>
          <w:szCs w:val="22"/>
        </w:rPr>
        <w:br/>
      </w:r>
      <w:r w:rsidRPr="00DE1FCC">
        <w:rPr>
          <w:rFonts w:asciiTheme="minorHAnsi" w:hAnsiTheme="minorHAnsi"/>
          <w:sz w:val="22"/>
          <w:szCs w:val="22"/>
        </w:rPr>
        <w:t xml:space="preserve">Serwis Sp. z o.o. Wartość zakupionych udziałów wynosiła 16,5 tys. zł. </w:t>
      </w:r>
      <w:r w:rsidRPr="00DE1FCC">
        <w:rPr>
          <w:rFonts w:asciiTheme="minorHAnsi" w:hAnsiTheme="minorHAnsi" w:cs="Arial"/>
          <w:color w:val="000000"/>
          <w:spacing w:val="2"/>
          <w:sz w:val="22"/>
          <w:szCs w:val="22"/>
        </w:rPr>
        <w:t>Na dzień publikacji niniejszego raportu, ZE ZEN Sp. z o.o. będąc podmiotem dominuj</w:t>
      </w:r>
      <w:r w:rsidRPr="00DE1FCC">
        <w:rPr>
          <w:rFonts w:asciiTheme="minorHAnsi" w:hAnsiTheme="minorHAnsi"/>
          <w:color w:val="000000"/>
          <w:spacing w:val="2"/>
          <w:sz w:val="22"/>
          <w:szCs w:val="22"/>
        </w:rPr>
        <w:t>ą</w:t>
      </w:r>
      <w:r w:rsidRPr="00DE1FCC">
        <w:rPr>
          <w:rFonts w:asciiTheme="minorHAnsi" w:hAnsiTheme="minorHAnsi" w:cs="Arial"/>
          <w:color w:val="000000"/>
          <w:spacing w:val="2"/>
          <w:sz w:val="22"/>
          <w:szCs w:val="22"/>
        </w:rPr>
        <w:t>cym wzgl</w:t>
      </w:r>
      <w:r w:rsidRPr="00DE1FCC">
        <w:rPr>
          <w:rFonts w:asciiTheme="minorHAnsi" w:hAnsiTheme="minorHAnsi"/>
          <w:color w:val="000000"/>
          <w:spacing w:val="2"/>
          <w:sz w:val="22"/>
          <w:szCs w:val="22"/>
        </w:rPr>
        <w:t>ę</w:t>
      </w:r>
      <w:r w:rsidRPr="00DE1FCC">
        <w:rPr>
          <w:rFonts w:asciiTheme="minorHAnsi" w:hAnsiTheme="minorHAnsi" w:cs="Arial"/>
          <w:color w:val="000000"/>
          <w:spacing w:val="2"/>
          <w:sz w:val="22"/>
          <w:szCs w:val="22"/>
        </w:rPr>
        <w:t xml:space="preserve">dem </w:t>
      </w:r>
      <w:r>
        <w:rPr>
          <w:rFonts w:asciiTheme="minorHAnsi" w:hAnsiTheme="minorHAnsi" w:cs="Arial"/>
          <w:color w:val="000000"/>
          <w:spacing w:val="2"/>
          <w:sz w:val="22"/>
          <w:szCs w:val="22"/>
        </w:rPr>
        <w:t>ZUE</w:t>
      </w:r>
      <w:r w:rsidRPr="00DE1FCC">
        <w:rPr>
          <w:rFonts w:asciiTheme="minorHAnsi" w:hAnsiTheme="minorHAnsi" w:cs="Arial"/>
          <w:color w:val="000000"/>
          <w:spacing w:val="2"/>
          <w:sz w:val="22"/>
          <w:szCs w:val="22"/>
        </w:rPr>
        <w:t xml:space="preserve"> Serwis Sp. z o.o. posiada </w:t>
      </w:r>
      <w:r>
        <w:rPr>
          <w:rFonts w:asciiTheme="minorHAnsi" w:hAnsiTheme="minorHAnsi" w:cs="Arial"/>
          <w:color w:val="000000"/>
          <w:spacing w:val="2"/>
          <w:sz w:val="22"/>
          <w:szCs w:val="22"/>
        </w:rPr>
        <w:t>68,9</w:t>
      </w:r>
      <w:r w:rsidRPr="00DE1FCC">
        <w:rPr>
          <w:rFonts w:asciiTheme="minorHAnsi" w:hAnsiTheme="minorHAnsi" w:cs="Arial"/>
          <w:color w:val="000000"/>
          <w:spacing w:val="2"/>
          <w:sz w:val="22"/>
          <w:szCs w:val="22"/>
        </w:rPr>
        <w:t>% udziałów w ogólnej liczbie gł</w:t>
      </w:r>
      <w:r>
        <w:rPr>
          <w:rFonts w:asciiTheme="minorHAnsi" w:hAnsiTheme="minorHAnsi" w:cs="Arial"/>
          <w:color w:val="000000"/>
          <w:spacing w:val="2"/>
          <w:sz w:val="22"/>
          <w:szCs w:val="22"/>
        </w:rPr>
        <w:t xml:space="preserve">osów na Zgromadzeniu Wspólników. </w:t>
      </w:r>
      <w:r w:rsidRPr="00DE1FCC">
        <w:rPr>
          <w:rFonts w:asciiTheme="minorHAnsi" w:hAnsiTheme="minorHAnsi"/>
          <w:sz w:val="22"/>
          <w:szCs w:val="22"/>
        </w:rPr>
        <w:t>Zakup wszystkich udziałów został sfinansowany ze środków obrotowych Jednostki Zależnej ZE ZEN</w:t>
      </w:r>
      <w:r>
        <w:rPr>
          <w:rFonts w:asciiTheme="minorHAnsi" w:hAnsiTheme="minorHAnsi"/>
          <w:sz w:val="22"/>
          <w:szCs w:val="22"/>
        </w:rPr>
        <w:t xml:space="preserve"> </w:t>
      </w:r>
      <w:r w:rsidRPr="00DE1FCC">
        <w:rPr>
          <w:rFonts w:asciiTheme="minorHAnsi" w:hAnsiTheme="minorHAnsi"/>
          <w:sz w:val="22"/>
          <w:szCs w:val="22"/>
        </w:rPr>
        <w:t>Sp. z o.o.. Z</w:t>
      </w:r>
      <w:r w:rsidRPr="00DE1FCC">
        <w:rPr>
          <w:rFonts w:asciiTheme="minorHAnsi" w:hAnsiTheme="minorHAnsi"/>
          <w:bCs/>
          <w:sz w:val="22"/>
          <w:szCs w:val="22"/>
        </w:rPr>
        <w:t xml:space="preserve">e względu </w:t>
      </w:r>
      <w:r w:rsidR="002E4153">
        <w:rPr>
          <w:rFonts w:asciiTheme="minorHAnsi" w:hAnsiTheme="minorHAnsi"/>
          <w:bCs/>
          <w:sz w:val="22"/>
          <w:szCs w:val="22"/>
        </w:rPr>
        <w:br/>
      </w:r>
      <w:r w:rsidRPr="00DE1FCC">
        <w:rPr>
          <w:rFonts w:asciiTheme="minorHAnsi" w:hAnsiTheme="minorHAnsi"/>
          <w:bCs/>
          <w:sz w:val="22"/>
          <w:szCs w:val="22"/>
        </w:rPr>
        <w:t>na fakt, iż dane finansowe Zakładu Usług Energetycznych Serwis Sp. z o.o., po wyeliminowaniu transakcji na rzecz ZE ZEN Sp. z o.o., nie wpływają istotnie na sprawozdanie finansowe Grupy Kapitałowej,</w:t>
      </w:r>
      <w:r w:rsidR="002E4153">
        <w:rPr>
          <w:rFonts w:asciiTheme="minorHAnsi" w:hAnsiTheme="minorHAnsi"/>
          <w:bCs/>
          <w:sz w:val="22"/>
          <w:szCs w:val="22"/>
        </w:rPr>
        <w:t xml:space="preserve"> </w:t>
      </w:r>
      <w:r w:rsidRPr="00DE1FCC">
        <w:rPr>
          <w:rFonts w:asciiTheme="minorHAnsi" w:hAnsiTheme="minorHAnsi"/>
          <w:bCs/>
          <w:sz w:val="22"/>
          <w:szCs w:val="22"/>
        </w:rPr>
        <w:t>nie objęto tej Spółki konsolidacją.</w:t>
      </w:r>
      <w:r>
        <w:rPr>
          <w:rFonts w:asciiTheme="minorHAnsi" w:hAnsiTheme="minorHAnsi"/>
          <w:bCs/>
          <w:sz w:val="22"/>
          <w:szCs w:val="22"/>
        </w:rPr>
        <w:t xml:space="preserve"> </w:t>
      </w:r>
      <w:r w:rsidRPr="004C42A0">
        <w:rPr>
          <w:rFonts w:asciiTheme="minorHAnsi" w:eastAsiaTheme="minorHAnsi" w:hAnsiTheme="minorHAnsi" w:cs="TTE2864120t00"/>
          <w:sz w:val="22"/>
          <w:szCs w:val="22"/>
          <w:lang w:eastAsia="en-US"/>
        </w:rPr>
        <w:t xml:space="preserve">Spółka </w:t>
      </w:r>
      <w:r w:rsidR="002E4153">
        <w:rPr>
          <w:rFonts w:asciiTheme="minorHAnsi" w:eastAsiaTheme="minorHAnsi" w:hAnsiTheme="minorHAnsi" w:cs="TTE2864120t00"/>
          <w:sz w:val="22"/>
          <w:szCs w:val="22"/>
          <w:lang w:eastAsia="en-US"/>
        </w:rPr>
        <w:t>CHEMOSERVIS-DWORY</w:t>
      </w:r>
      <w:r w:rsidRPr="004C42A0">
        <w:rPr>
          <w:rFonts w:asciiTheme="minorHAnsi" w:eastAsiaTheme="minorHAnsi" w:hAnsiTheme="minorHAnsi" w:cs="TTE2864120t00"/>
          <w:sz w:val="22"/>
          <w:szCs w:val="22"/>
          <w:lang w:eastAsia="en-US"/>
        </w:rPr>
        <w:t xml:space="preserve"> S.A. </w:t>
      </w:r>
      <w:r w:rsidRPr="004C42A0">
        <w:rPr>
          <w:rFonts w:asciiTheme="minorHAnsi" w:hAnsiTheme="minorHAnsi" w:cs="Arial"/>
          <w:sz w:val="22"/>
          <w:szCs w:val="22"/>
        </w:rPr>
        <w:t xml:space="preserve">w dniu </w:t>
      </w:r>
      <w:r w:rsidR="002E4153">
        <w:rPr>
          <w:rFonts w:asciiTheme="minorHAnsi" w:hAnsiTheme="minorHAnsi" w:cs="Arial"/>
          <w:sz w:val="22"/>
          <w:szCs w:val="22"/>
        </w:rPr>
        <w:br/>
      </w:r>
      <w:r w:rsidRPr="004C42A0">
        <w:rPr>
          <w:rFonts w:asciiTheme="minorHAnsi" w:hAnsiTheme="minorHAnsi" w:cs="Arial"/>
          <w:sz w:val="22"/>
          <w:szCs w:val="22"/>
        </w:rPr>
        <w:t>4 kwietnia 2012 roku nabyła</w:t>
      </w:r>
      <w:r>
        <w:rPr>
          <w:rFonts w:asciiTheme="minorHAnsi" w:hAnsiTheme="minorHAnsi" w:cs="Arial"/>
          <w:sz w:val="22"/>
          <w:szCs w:val="22"/>
        </w:rPr>
        <w:t xml:space="preserve"> również</w:t>
      </w:r>
      <w:r w:rsidRPr="004C42A0">
        <w:rPr>
          <w:rFonts w:asciiTheme="minorHAnsi" w:hAnsiTheme="minorHAnsi" w:cs="Arial"/>
          <w:sz w:val="22"/>
          <w:szCs w:val="22"/>
        </w:rPr>
        <w:t xml:space="preserve">, 250 udziałów Spółki </w:t>
      </w:r>
      <w:r>
        <w:rPr>
          <w:rFonts w:asciiTheme="minorHAnsi" w:hAnsiTheme="minorHAnsi" w:cs="Arial"/>
          <w:sz w:val="22"/>
          <w:szCs w:val="22"/>
        </w:rPr>
        <w:t>PETRO</w:t>
      </w:r>
      <w:r w:rsidRPr="004C42A0">
        <w:rPr>
          <w:rFonts w:asciiTheme="minorHAnsi" w:hAnsiTheme="minorHAnsi" w:cs="Arial"/>
          <w:sz w:val="22"/>
          <w:szCs w:val="22"/>
        </w:rPr>
        <w:t xml:space="preserve"> KOR Sp. z o.o., co stanowi </w:t>
      </w:r>
      <w:r w:rsidR="002E4153">
        <w:rPr>
          <w:rFonts w:asciiTheme="minorHAnsi" w:hAnsiTheme="minorHAnsi" w:cs="Arial"/>
          <w:sz w:val="22"/>
          <w:szCs w:val="22"/>
        </w:rPr>
        <w:br/>
      </w:r>
      <w:r w:rsidRPr="004C42A0">
        <w:rPr>
          <w:rFonts w:asciiTheme="minorHAnsi" w:hAnsiTheme="minorHAnsi" w:cs="Arial"/>
          <w:sz w:val="22"/>
          <w:szCs w:val="22"/>
        </w:rPr>
        <w:t>16,22% udziałów w ka</w:t>
      </w:r>
      <w:r>
        <w:rPr>
          <w:rFonts w:asciiTheme="minorHAnsi" w:hAnsiTheme="minorHAnsi" w:cs="Arial"/>
          <w:sz w:val="22"/>
          <w:szCs w:val="22"/>
        </w:rPr>
        <w:t>pitale zakładowym tego podmiotu</w:t>
      </w:r>
      <w:r w:rsidRPr="004C42A0">
        <w:rPr>
          <w:rFonts w:asciiTheme="minorHAnsi" w:eastAsiaTheme="minorHAnsi" w:hAnsiTheme="minorHAnsi" w:cs="TTE2864120t00"/>
          <w:sz w:val="22"/>
          <w:szCs w:val="22"/>
          <w:lang w:eastAsia="en-US"/>
        </w:rPr>
        <w:t xml:space="preserve">. Udziały w podmiocie powiązanym </w:t>
      </w:r>
      <w:r w:rsidR="002E4153">
        <w:rPr>
          <w:rFonts w:asciiTheme="minorHAnsi" w:eastAsiaTheme="minorHAnsi" w:hAnsiTheme="minorHAnsi" w:cs="TTE2864120t00"/>
          <w:sz w:val="22"/>
          <w:szCs w:val="22"/>
          <w:lang w:eastAsia="en-US"/>
        </w:rPr>
        <w:br/>
      </w:r>
      <w:r>
        <w:rPr>
          <w:rFonts w:asciiTheme="minorHAnsi" w:eastAsiaTheme="minorHAnsi" w:hAnsiTheme="minorHAnsi" w:cs="TTE2864120t00"/>
          <w:sz w:val="22"/>
          <w:szCs w:val="22"/>
          <w:lang w:eastAsia="en-US"/>
        </w:rPr>
        <w:t>PETRO</w:t>
      </w:r>
      <w:r w:rsidRPr="004C42A0">
        <w:rPr>
          <w:rFonts w:asciiTheme="minorHAnsi" w:eastAsiaTheme="minorHAnsi" w:hAnsiTheme="minorHAnsi" w:cs="TTE2864120t00"/>
          <w:sz w:val="22"/>
          <w:szCs w:val="22"/>
          <w:lang w:eastAsia="en-US"/>
        </w:rPr>
        <w:t xml:space="preserve"> Kor Sp. z o.o.</w:t>
      </w:r>
      <w:r>
        <w:rPr>
          <w:rFonts w:asciiTheme="minorHAnsi" w:eastAsiaTheme="minorHAnsi" w:hAnsiTheme="minorHAnsi" w:cs="TTE2864120t00"/>
          <w:sz w:val="22"/>
          <w:szCs w:val="22"/>
          <w:lang w:eastAsia="en-US"/>
        </w:rPr>
        <w:t xml:space="preserve"> w upadłości</w:t>
      </w:r>
      <w:r w:rsidRPr="004C42A0">
        <w:rPr>
          <w:rFonts w:asciiTheme="minorHAnsi" w:eastAsiaTheme="minorHAnsi" w:hAnsiTheme="minorHAnsi" w:cs="TTE2864120t00"/>
          <w:sz w:val="22"/>
          <w:szCs w:val="22"/>
          <w:lang w:eastAsia="en-US"/>
        </w:rPr>
        <w:t xml:space="preserve"> zostały sfinansowane ze środków obrotowych Spółki</w:t>
      </w:r>
      <w:r>
        <w:rPr>
          <w:rFonts w:asciiTheme="minorHAnsi" w:eastAsiaTheme="minorHAnsi" w:hAnsiTheme="minorHAnsi" w:cs="TTE2864120t00"/>
          <w:sz w:val="22"/>
          <w:szCs w:val="22"/>
          <w:lang w:eastAsia="en-US"/>
        </w:rPr>
        <w:t xml:space="preserve">. Ponadto </w:t>
      </w:r>
      <w:r w:rsidR="000A3917">
        <w:rPr>
          <w:rFonts w:asciiTheme="minorHAnsi" w:eastAsiaTheme="minorHAnsi" w:hAnsiTheme="minorHAnsi" w:cs="TTE2864120t00"/>
          <w:sz w:val="22"/>
          <w:szCs w:val="22"/>
          <w:lang w:eastAsia="en-US"/>
        </w:rPr>
        <w:br/>
      </w:r>
      <w:r>
        <w:rPr>
          <w:rFonts w:ascii="Calibri" w:hAnsi="Calibri" w:cs="Calibri"/>
          <w:sz w:val="22"/>
          <w:szCs w:val="22"/>
        </w:rPr>
        <w:t>30 czerwca 2014 roku Spółka MD-</w:t>
      </w:r>
      <w:proofErr w:type="spellStart"/>
      <w:r>
        <w:rPr>
          <w:rFonts w:ascii="Calibri" w:hAnsi="Calibri" w:cs="Calibri"/>
          <w:sz w:val="22"/>
          <w:szCs w:val="22"/>
        </w:rPr>
        <w:t>proeco</w:t>
      </w:r>
      <w:proofErr w:type="spellEnd"/>
      <w:r>
        <w:rPr>
          <w:rFonts w:ascii="Calibri" w:hAnsi="Calibri" w:cs="Calibri"/>
          <w:sz w:val="22"/>
          <w:szCs w:val="22"/>
        </w:rPr>
        <w:t xml:space="preserve"> Sp. z o.o., Instytut Badań Stosowanych Politechniki Warszawskiej Sp. z o.o. oraz Stowarzyszenie Klaster Przemysłowy Dolina Polimerowa założyły </w:t>
      </w:r>
      <w:r w:rsidR="002E4153">
        <w:rPr>
          <w:rFonts w:ascii="Calibri" w:hAnsi="Calibri" w:cs="Calibri"/>
          <w:sz w:val="22"/>
          <w:szCs w:val="22"/>
        </w:rPr>
        <w:br/>
      </w:r>
      <w:r>
        <w:rPr>
          <w:rFonts w:ascii="Calibri" w:hAnsi="Calibri" w:cs="Calibri"/>
          <w:sz w:val="22"/>
          <w:szCs w:val="22"/>
        </w:rPr>
        <w:t xml:space="preserve">nową Spółkę działającą pod nazwą PCBR – Przemysłowe Centrum Badawczo Rozwojowe Sp. z o.o. Celem w/w Spółki jest prowadzenie działalności gospodarczej, badawczej i rozwojowej w tym reinwestowanie zysków w dalszą działalność badawczo-rozwojową. Kapitał PCBR Sp. z o.o. </w:t>
      </w:r>
      <w:r w:rsidR="002E4153">
        <w:rPr>
          <w:rFonts w:ascii="Calibri" w:hAnsi="Calibri" w:cs="Calibri"/>
          <w:sz w:val="22"/>
          <w:szCs w:val="22"/>
        </w:rPr>
        <w:br/>
      </w:r>
      <w:r>
        <w:rPr>
          <w:rFonts w:ascii="Calibri" w:hAnsi="Calibri" w:cs="Calibri"/>
          <w:sz w:val="22"/>
          <w:szCs w:val="22"/>
        </w:rPr>
        <w:t>wynosi 42 tys. zł, a Spółka MD-</w:t>
      </w:r>
      <w:proofErr w:type="spellStart"/>
      <w:r>
        <w:rPr>
          <w:rFonts w:ascii="Calibri" w:hAnsi="Calibri" w:cs="Calibri"/>
          <w:sz w:val="22"/>
          <w:szCs w:val="22"/>
        </w:rPr>
        <w:t>proeco</w:t>
      </w:r>
      <w:proofErr w:type="spellEnd"/>
      <w:r>
        <w:rPr>
          <w:rFonts w:ascii="Calibri" w:hAnsi="Calibri" w:cs="Calibri"/>
          <w:sz w:val="22"/>
          <w:szCs w:val="22"/>
        </w:rPr>
        <w:t xml:space="preserve"> Sp. z o.o. posiada 95,24% udziałów w jej kapitale zakładowym. Ponadto 29 września 2014 roku</w:t>
      </w:r>
      <w:r w:rsidRPr="002127AD">
        <w:rPr>
          <w:rFonts w:ascii="Calibri" w:hAnsi="Calibri" w:cs="Calibri"/>
          <w:sz w:val="22"/>
          <w:szCs w:val="22"/>
        </w:rPr>
        <w:t xml:space="preserve"> </w:t>
      </w:r>
      <w:r>
        <w:rPr>
          <w:rFonts w:ascii="Calibri" w:hAnsi="Calibri" w:cs="Calibri"/>
          <w:sz w:val="22"/>
          <w:szCs w:val="22"/>
        </w:rPr>
        <w:t>MD-</w:t>
      </w:r>
      <w:proofErr w:type="spellStart"/>
      <w:r>
        <w:rPr>
          <w:rFonts w:ascii="Calibri" w:hAnsi="Calibri" w:cs="Calibri"/>
          <w:sz w:val="22"/>
          <w:szCs w:val="22"/>
        </w:rPr>
        <w:t>proeco</w:t>
      </w:r>
      <w:proofErr w:type="spellEnd"/>
      <w:r>
        <w:rPr>
          <w:rFonts w:ascii="Calibri" w:hAnsi="Calibri" w:cs="Calibri"/>
          <w:sz w:val="22"/>
          <w:szCs w:val="22"/>
        </w:rPr>
        <w:t xml:space="preserve"> Sp. z o.o. objęła 20% udziałów w spółce </w:t>
      </w:r>
      <w:r w:rsidRPr="002127AD">
        <w:rPr>
          <w:rFonts w:ascii="Calibri" w:hAnsi="Calibri" w:cs="Calibri"/>
          <w:sz w:val="22"/>
          <w:szCs w:val="22"/>
        </w:rPr>
        <w:t xml:space="preserve">pod nazwą </w:t>
      </w:r>
      <w:r w:rsidRPr="002127AD">
        <w:rPr>
          <w:rFonts w:ascii="Calibri" w:hAnsi="Calibri" w:cs="Calibri"/>
          <w:sz w:val="22"/>
          <w:szCs w:val="22"/>
        </w:rPr>
        <w:lastRenderedPageBreak/>
        <w:t>Klaster Za-</w:t>
      </w:r>
      <w:proofErr w:type="spellStart"/>
      <w:r w:rsidRPr="002127AD">
        <w:rPr>
          <w:rFonts w:ascii="Calibri" w:hAnsi="Calibri" w:cs="Calibri"/>
          <w:sz w:val="22"/>
          <w:szCs w:val="22"/>
        </w:rPr>
        <w:t>chem</w:t>
      </w:r>
      <w:proofErr w:type="spellEnd"/>
      <w:r w:rsidRPr="002127AD">
        <w:rPr>
          <w:rFonts w:ascii="Calibri" w:hAnsi="Calibri" w:cs="Calibri"/>
          <w:sz w:val="22"/>
          <w:szCs w:val="22"/>
        </w:rPr>
        <w:t xml:space="preserve"> Sp. z o.o</w:t>
      </w:r>
      <w:r w:rsidR="008721A6">
        <w:rPr>
          <w:rFonts w:ascii="Calibri" w:hAnsi="Calibri" w:cs="Calibri"/>
          <w:sz w:val="22"/>
          <w:szCs w:val="22"/>
        </w:rPr>
        <w:t>..</w:t>
      </w:r>
      <w:r>
        <w:rPr>
          <w:rFonts w:ascii="Calibri" w:hAnsi="Calibri" w:cs="Calibri"/>
          <w:sz w:val="22"/>
          <w:szCs w:val="22"/>
        </w:rPr>
        <w:t xml:space="preserve"> </w:t>
      </w:r>
      <w:r w:rsidR="008721A6">
        <w:rPr>
          <w:rFonts w:ascii="Calibri" w:hAnsi="Calibri" w:cs="Calibri"/>
          <w:sz w:val="22"/>
          <w:szCs w:val="22"/>
        </w:rPr>
        <w:t xml:space="preserve">W dniu </w:t>
      </w:r>
      <w:r>
        <w:rPr>
          <w:rFonts w:ascii="Calibri" w:hAnsi="Calibri" w:cs="Calibri"/>
          <w:sz w:val="22"/>
          <w:szCs w:val="22"/>
        </w:rPr>
        <w:t>30 marca 2016 roku sfina</w:t>
      </w:r>
      <w:r w:rsidR="00C83F4A">
        <w:rPr>
          <w:rFonts w:ascii="Calibri" w:hAnsi="Calibri" w:cs="Calibri"/>
          <w:sz w:val="22"/>
          <w:szCs w:val="22"/>
        </w:rPr>
        <w:t>lizowano transakcj</w:t>
      </w:r>
      <w:r w:rsidR="00944813">
        <w:rPr>
          <w:rFonts w:ascii="Calibri" w:hAnsi="Calibri" w:cs="Calibri"/>
          <w:sz w:val="22"/>
          <w:szCs w:val="22"/>
        </w:rPr>
        <w:t>ę</w:t>
      </w:r>
      <w:r>
        <w:rPr>
          <w:rFonts w:ascii="Calibri" w:hAnsi="Calibri" w:cs="Calibri"/>
          <w:sz w:val="22"/>
          <w:szCs w:val="22"/>
        </w:rPr>
        <w:t xml:space="preserve"> nabycia 100% udziałów w spółce MONEA XII Sp. z o.o..</w:t>
      </w:r>
    </w:p>
    <w:p w14:paraId="4A739B8E" w14:textId="77777777" w:rsidR="002E4153" w:rsidRDefault="002E4153" w:rsidP="001B4DB5">
      <w:pPr>
        <w:pStyle w:val="NormalnyWeb"/>
        <w:spacing w:before="0" w:beforeAutospacing="0" w:after="0" w:afterAutospacing="0" w:line="360" w:lineRule="auto"/>
        <w:ind w:firstLine="567"/>
        <w:jc w:val="both"/>
        <w:rPr>
          <w:rFonts w:ascii="Calibri" w:hAnsi="Calibri" w:cs="Calibri"/>
          <w:sz w:val="22"/>
          <w:szCs w:val="22"/>
        </w:rPr>
      </w:pPr>
      <w:r w:rsidRPr="001D361F">
        <w:rPr>
          <w:rFonts w:asciiTheme="minorHAnsi" w:hAnsiTheme="minorHAnsi"/>
          <w:sz w:val="22"/>
          <w:szCs w:val="22"/>
        </w:rPr>
        <w:t xml:space="preserve">Podmiot dominujący jest spółką publiczną. Akcje </w:t>
      </w:r>
      <w:r>
        <w:rPr>
          <w:rFonts w:asciiTheme="minorHAnsi" w:hAnsiTheme="minorHAnsi"/>
          <w:sz w:val="22"/>
          <w:szCs w:val="22"/>
        </w:rPr>
        <w:t>CHEMOSERVIS-DWORY</w:t>
      </w:r>
      <w:r w:rsidRPr="001D361F">
        <w:rPr>
          <w:rFonts w:asciiTheme="minorHAnsi" w:hAnsiTheme="minorHAnsi"/>
          <w:sz w:val="22"/>
          <w:szCs w:val="22"/>
        </w:rPr>
        <w:t xml:space="preserve"> S.A. serii </w:t>
      </w:r>
      <w:r w:rsidRPr="001D361F">
        <w:rPr>
          <w:rFonts w:asciiTheme="minorHAnsi" w:hAnsiTheme="minorHAnsi"/>
          <w:sz w:val="22"/>
          <w:szCs w:val="22"/>
        </w:rPr>
        <w:br/>
        <w:t xml:space="preserve">A, C oraz D są notowane na rynku regulowanym Giełdy Papierów Wartościowych </w:t>
      </w:r>
      <w:r w:rsidR="00A00092">
        <w:rPr>
          <w:rFonts w:asciiTheme="minorHAnsi" w:hAnsiTheme="minorHAnsi"/>
          <w:sz w:val="22"/>
          <w:szCs w:val="22"/>
        </w:rPr>
        <w:t xml:space="preserve">SA </w:t>
      </w:r>
      <w:r w:rsidRPr="001D361F">
        <w:rPr>
          <w:rFonts w:asciiTheme="minorHAnsi" w:hAnsiTheme="minorHAnsi"/>
          <w:sz w:val="22"/>
          <w:szCs w:val="22"/>
        </w:rPr>
        <w:t>w Warszawie.</w:t>
      </w:r>
    </w:p>
    <w:p w14:paraId="50237D16" w14:textId="77777777" w:rsidR="00B33F20" w:rsidRDefault="00B33F20" w:rsidP="001B4DB5">
      <w:pPr>
        <w:widowControl w:val="0"/>
        <w:tabs>
          <w:tab w:val="left" w:pos="0"/>
          <w:tab w:val="left" w:pos="540"/>
        </w:tabs>
        <w:spacing w:line="360" w:lineRule="auto"/>
        <w:jc w:val="center"/>
        <w:rPr>
          <w:rFonts w:asciiTheme="minorHAnsi" w:hAnsiTheme="minorHAnsi"/>
          <w:u w:val="single"/>
        </w:rPr>
      </w:pPr>
    </w:p>
    <w:p w14:paraId="7C82A169" w14:textId="77777777" w:rsidR="001B4DB5" w:rsidRPr="003F0997" w:rsidRDefault="001B4DB5" w:rsidP="001B4DB5">
      <w:pPr>
        <w:widowControl w:val="0"/>
        <w:tabs>
          <w:tab w:val="left" w:pos="0"/>
          <w:tab w:val="left" w:pos="540"/>
        </w:tabs>
        <w:spacing w:line="360" w:lineRule="auto"/>
        <w:jc w:val="center"/>
        <w:rPr>
          <w:rFonts w:asciiTheme="minorHAnsi" w:hAnsiTheme="minorHAnsi"/>
          <w:u w:val="single"/>
        </w:rPr>
      </w:pPr>
      <w:r w:rsidRPr="003F0997">
        <w:rPr>
          <w:rFonts w:asciiTheme="minorHAnsi" w:hAnsiTheme="minorHAnsi"/>
          <w:u w:val="single"/>
        </w:rPr>
        <w:t>Profil działalności spółek podlegających konsolidacji:</w:t>
      </w:r>
    </w:p>
    <w:p w14:paraId="3A7732FB" w14:textId="77777777" w:rsidR="001B4DB5" w:rsidRPr="00AA4F8A" w:rsidRDefault="001B4DB5" w:rsidP="001B4DB5">
      <w:pPr>
        <w:widowControl w:val="0"/>
        <w:tabs>
          <w:tab w:val="left" w:pos="0"/>
          <w:tab w:val="left" w:pos="540"/>
        </w:tabs>
        <w:spacing w:line="360" w:lineRule="auto"/>
        <w:jc w:val="center"/>
        <w:rPr>
          <w:rFonts w:asciiTheme="minorHAnsi" w:hAnsiTheme="minorHAnsi"/>
          <w:sz w:val="22"/>
          <w:szCs w:val="22"/>
        </w:rPr>
      </w:pPr>
    </w:p>
    <w:p w14:paraId="09EB8826" w14:textId="77777777" w:rsidR="001B4DB5" w:rsidRDefault="002E4153" w:rsidP="00D73705">
      <w:pPr>
        <w:widowControl w:val="0"/>
        <w:numPr>
          <w:ilvl w:val="0"/>
          <w:numId w:val="3"/>
        </w:numPr>
        <w:tabs>
          <w:tab w:val="clear" w:pos="720"/>
          <w:tab w:val="left" w:pos="0"/>
          <w:tab w:val="left" w:pos="540"/>
          <w:tab w:val="left" w:pos="1134"/>
        </w:tabs>
        <w:spacing w:line="360" w:lineRule="auto"/>
        <w:ind w:left="1134" w:hanging="594"/>
        <w:jc w:val="both"/>
        <w:rPr>
          <w:rFonts w:asciiTheme="minorHAnsi" w:hAnsiTheme="minorHAnsi"/>
          <w:sz w:val="22"/>
          <w:szCs w:val="22"/>
        </w:rPr>
      </w:pPr>
      <w:r>
        <w:rPr>
          <w:rFonts w:asciiTheme="minorHAnsi" w:hAnsiTheme="minorHAnsi"/>
          <w:b/>
          <w:sz w:val="22"/>
          <w:szCs w:val="22"/>
        </w:rPr>
        <w:t>CHEMOSERVIS-DWORY</w:t>
      </w:r>
      <w:r w:rsidR="001B4DB5" w:rsidRPr="00AA4F8A">
        <w:rPr>
          <w:rFonts w:asciiTheme="minorHAnsi" w:hAnsiTheme="minorHAnsi"/>
          <w:b/>
          <w:sz w:val="22"/>
          <w:szCs w:val="22"/>
        </w:rPr>
        <w:t xml:space="preserve"> S.A. </w:t>
      </w:r>
      <w:r w:rsidR="001B4DB5" w:rsidRPr="00AA4F8A">
        <w:rPr>
          <w:rFonts w:asciiTheme="minorHAnsi" w:hAnsiTheme="minorHAnsi"/>
          <w:sz w:val="22"/>
          <w:szCs w:val="22"/>
        </w:rPr>
        <w:t>jest spółką wykonującą prace związane</w:t>
      </w:r>
      <w:r w:rsidR="001B4DB5">
        <w:rPr>
          <w:rFonts w:asciiTheme="minorHAnsi" w:hAnsiTheme="minorHAnsi"/>
          <w:sz w:val="22"/>
          <w:szCs w:val="22"/>
        </w:rPr>
        <w:t xml:space="preserve"> </w:t>
      </w:r>
      <w:r w:rsidR="001B4DB5" w:rsidRPr="00AA4F8A">
        <w:rPr>
          <w:rFonts w:asciiTheme="minorHAnsi" w:hAnsiTheme="minorHAnsi"/>
          <w:sz w:val="22"/>
          <w:szCs w:val="22"/>
        </w:rPr>
        <w:t>z całodobowym utrzymaniem ruchu na instalacjach przemysłowych, remontem oraz diagnostyką maszyn i urządzeń, remontem aparatury przemysłowej oraz realizacją przedsięwzięć z zakresu budowy i modernizacji obiektów przemysłowych na zasadzie Generalnego Wykonawcy.</w:t>
      </w:r>
    </w:p>
    <w:p w14:paraId="2BD2DFCA" w14:textId="77777777" w:rsidR="001B4DB5" w:rsidRPr="00AA4F8A" w:rsidRDefault="001B4DB5" w:rsidP="00D73705">
      <w:pPr>
        <w:widowControl w:val="0"/>
        <w:numPr>
          <w:ilvl w:val="0"/>
          <w:numId w:val="3"/>
        </w:numPr>
        <w:tabs>
          <w:tab w:val="clear" w:pos="720"/>
          <w:tab w:val="left" w:pos="0"/>
          <w:tab w:val="left" w:pos="540"/>
          <w:tab w:val="left" w:pos="1134"/>
        </w:tabs>
        <w:spacing w:line="360" w:lineRule="auto"/>
        <w:ind w:left="1134" w:hanging="594"/>
        <w:jc w:val="both"/>
        <w:rPr>
          <w:rFonts w:asciiTheme="minorHAnsi" w:hAnsiTheme="minorHAnsi"/>
          <w:sz w:val="22"/>
          <w:szCs w:val="22"/>
        </w:rPr>
      </w:pPr>
      <w:r w:rsidRPr="00AA4F8A">
        <w:rPr>
          <w:rFonts w:asciiTheme="minorHAnsi" w:hAnsiTheme="minorHAnsi"/>
          <w:b/>
          <w:sz w:val="22"/>
          <w:szCs w:val="22"/>
        </w:rPr>
        <w:t xml:space="preserve">Zakład Energetyczny ZEN Sp. z o.o. </w:t>
      </w:r>
      <w:r w:rsidRPr="00AA4F8A">
        <w:rPr>
          <w:rFonts w:asciiTheme="minorHAnsi" w:hAnsiTheme="minorHAnsi"/>
          <w:sz w:val="22"/>
          <w:szCs w:val="22"/>
        </w:rPr>
        <w:t>jest spółką wykonującą prace w branży elektrycznej, energetycznej oraz mechanicznej, w zakresie remontów, modernizacji oraz okresowych przeglądów maszyn i urządzeń, jak również budowy nowych instalacji. Spółka wykonuje również specjalistyczne badania i pomiary układów elektroenergetycznej automatyki.</w:t>
      </w:r>
    </w:p>
    <w:p w14:paraId="53E014E2" w14:textId="77777777" w:rsidR="001B4DB5" w:rsidRPr="00AA4F8A" w:rsidRDefault="001B4DB5" w:rsidP="00D73705">
      <w:pPr>
        <w:widowControl w:val="0"/>
        <w:numPr>
          <w:ilvl w:val="0"/>
          <w:numId w:val="3"/>
        </w:numPr>
        <w:tabs>
          <w:tab w:val="clear" w:pos="720"/>
          <w:tab w:val="left" w:pos="0"/>
          <w:tab w:val="left" w:pos="540"/>
          <w:tab w:val="left" w:pos="1134"/>
        </w:tabs>
        <w:spacing w:line="360" w:lineRule="auto"/>
        <w:ind w:left="1134" w:hanging="594"/>
        <w:jc w:val="both"/>
        <w:rPr>
          <w:rFonts w:asciiTheme="minorHAnsi" w:hAnsiTheme="minorHAnsi"/>
          <w:sz w:val="22"/>
          <w:szCs w:val="22"/>
        </w:rPr>
      </w:pPr>
      <w:r w:rsidRPr="00AA4F8A">
        <w:rPr>
          <w:rFonts w:ascii="Calibri" w:hAnsi="Calibri"/>
          <w:b/>
          <w:sz w:val="22"/>
          <w:szCs w:val="22"/>
        </w:rPr>
        <w:t>K-</w:t>
      </w:r>
      <w:proofErr w:type="spellStart"/>
      <w:r w:rsidRPr="00AA4F8A">
        <w:rPr>
          <w:rFonts w:ascii="Calibri" w:hAnsi="Calibri"/>
          <w:b/>
          <w:sz w:val="22"/>
          <w:szCs w:val="22"/>
        </w:rPr>
        <w:t>Protos</w:t>
      </w:r>
      <w:proofErr w:type="spellEnd"/>
      <w:r w:rsidRPr="00AA4F8A">
        <w:rPr>
          <w:rFonts w:ascii="Calibri" w:hAnsi="Calibri"/>
          <w:b/>
          <w:sz w:val="22"/>
          <w:szCs w:val="22"/>
        </w:rPr>
        <w:t xml:space="preserve"> </w:t>
      </w:r>
      <w:proofErr w:type="spellStart"/>
      <w:r w:rsidRPr="00AA4F8A">
        <w:rPr>
          <w:rFonts w:ascii="Calibri" w:hAnsi="Calibri"/>
          <w:b/>
          <w:sz w:val="22"/>
          <w:szCs w:val="22"/>
        </w:rPr>
        <w:t>a.s</w:t>
      </w:r>
      <w:proofErr w:type="spellEnd"/>
      <w:r w:rsidRPr="00AA4F8A">
        <w:rPr>
          <w:rFonts w:ascii="Calibri" w:hAnsi="Calibri"/>
          <w:b/>
          <w:sz w:val="22"/>
          <w:szCs w:val="22"/>
        </w:rPr>
        <w:t>.</w:t>
      </w:r>
      <w:r w:rsidRPr="00AA4F8A">
        <w:rPr>
          <w:rFonts w:ascii="Calibri" w:hAnsi="Calibri"/>
          <w:sz w:val="22"/>
          <w:szCs w:val="22"/>
        </w:rPr>
        <w:t xml:space="preserve"> świadczy usługi w zakresie maszynowego oraz elektronicznego utrzymania ruchu dla przemysłu  chemicznego, </w:t>
      </w:r>
      <w:r w:rsidR="00B33F20">
        <w:rPr>
          <w:rFonts w:ascii="Calibri" w:hAnsi="Calibri"/>
          <w:sz w:val="22"/>
          <w:szCs w:val="22"/>
        </w:rPr>
        <w:t>petro</w:t>
      </w:r>
      <w:r w:rsidRPr="00AA4F8A">
        <w:rPr>
          <w:rFonts w:ascii="Calibri" w:hAnsi="Calibri"/>
          <w:sz w:val="22"/>
          <w:szCs w:val="22"/>
        </w:rPr>
        <w:t>chemicznego i spożywczego, w swoich oddziałach na terenie Republiki Czeskiej.</w:t>
      </w:r>
    </w:p>
    <w:p w14:paraId="568E0D66" w14:textId="77777777" w:rsidR="001B4DB5" w:rsidRPr="00AA4F8A" w:rsidRDefault="001B4DB5" w:rsidP="00D73705">
      <w:pPr>
        <w:widowControl w:val="0"/>
        <w:numPr>
          <w:ilvl w:val="0"/>
          <w:numId w:val="3"/>
        </w:numPr>
        <w:tabs>
          <w:tab w:val="clear" w:pos="720"/>
          <w:tab w:val="left" w:pos="0"/>
          <w:tab w:val="left" w:pos="540"/>
          <w:tab w:val="left" w:pos="1134"/>
        </w:tabs>
        <w:spacing w:line="360" w:lineRule="auto"/>
        <w:ind w:left="1134" w:hanging="594"/>
        <w:jc w:val="both"/>
        <w:rPr>
          <w:rFonts w:asciiTheme="minorHAnsi" w:hAnsiTheme="minorHAnsi"/>
          <w:sz w:val="22"/>
          <w:szCs w:val="22"/>
        </w:rPr>
      </w:pPr>
      <w:r w:rsidRPr="00AA4F8A">
        <w:rPr>
          <w:rFonts w:ascii="Calibri" w:hAnsi="Calibri"/>
          <w:b/>
          <w:sz w:val="22"/>
          <w:szCs w:val="22"/>
        </w:rPr>
        <w:t>MD-</w:t>
      </w:r>
      <w:proofErr w:type="spellStart"/>
      <w:r w:rsidRPr="00AA4F8A">
        <w:rPr>
          <w:rFonts w:asciiTheme="minorHAnsi" w:hAnsiTheme="minorHAnsi"/>
          <w:b/>
          <w:sz w:val="22"/>
          <w:szCs w:val="22"/>
        </w:rPr>
        <w:t>proeco</w:t>
      </w:r>
      <w:proofErr w:type="spellEnd"/>
      <w:r w:rsidRPr="00AA4F8A">
        <w:rPr>
          <w:rFonts w:asciiTheme="minorHAnsi" w:hAnsiTheme="minorHAnsi"/>
          <w:b/>
          <w:sz w:val="22"/>
          <w:szCs w:val="22"/>
        </w:rPr>
        <w:t xml:space="preserve"> Sp. z o.o. </w:t>
      </w:r>
      <w:r w:rsidRPr="00AA4F8A">
        <w:rPr>
          <w:rFonts w:asciiTheme="minorHAnsi" w:hAnsiTheme="minorHAnsi" w:cs="Calibri"/>
          <w:sz w:val="22"/>
          <w:szCs w:val="22"/>
          <w:lang w:val="pl"/>
        </w:rPr>
        <w:t xml:space="preserve">wykonuje kompleksowe usługi unieszkodliwiania odpadów niebezpiecznych dla klientów przemysłowych, instytucjonalnych oraz indywidualnych. Do unieszkodliwiania chemiczno-termicznego spółka przyjmuje odpady stałe, płynne oraz </w:t>
      </w:r>
      <w:proofErr w:type="spellStart"/>
      <w:r w:rsidRPr="00AA4F8A">
        <w:rPr>
          <w:rFonts w:asciiTheme="minorHAnsi" w:hAnsiTheme="minorHAnsi" w:cs="Calibri"/>
          <w:sz w:val="22"/>
          <w:szCs w:val="22"/>
          <w:lang w:val="pl"/>
        </w:rPr>
        <w:t>pastowate</w:t>
      </w:r>
      <w:proofErr w:type="spellEnd"/>
      <w:r w:rsidRPr="00AA4F8A">
        <w:rPr>
          <w:rFonts w:asciiTheme="minorHAnsi" w:hAnsiTheme="minorHAnsi" w:cs="Calibri"/>
          <w:sz w:val="22"/>
          <w:szCs w:val="22"/>
          <w:lang w:val="pl"/>
        </w:rPr>
        <w:t>, w tym</w:t>
      </w:r>
      <w:r>
        <w:rPr>
          <w:rFonts w:asciiTheme="minorHAnsi" w:hAnsiTheme="minorHAnsi" w:cs="Calibri"/>
          <w:sz w:val="22"/>
          <w:szCs w:val="22"/>
          <w:lang w:val="pl"/>
        </w:rPr>
        <w:t>:</w:t>
      </w:r>
      <w:r w:rsidRPr="00AA4F8A">
        <w:rPr>
          <w:rFonts w:asciiTheme="minorHAnsi" w:hAnsiTheme="minorHAnsi" w:cs="Calibri"/>
          <w:sz w:val="22"/>
          <w:szCs w:val="22"/>
          <w:lang w:val="pl"/>
        </w:rPr>
        <w:t xml:space="preserve"> odpady węglopochodne, ropopochodne, drewnopochodne oraz farmaceutyczne; leki; środki ochrony roślin; odpady lakiernicze; farby; rozpuszczalniki; impregnaty do drewna; barwniki; kleje; czyściwa; smary; tłuszcze; oleje; tworzywa sztuczne; gumy; tonery drukarskie; osady z dna zbiorników; odzież roboczą; itp. Ponadto firma zajmuje się odzyskiem energii z szerokiego katalogu odpadów niebezpiecznych.</w:t>
      </w:r>
    </w:p>
    <w:p w14:paraId="22A4E018" w14:textId="77777777" w:rsidR="001B4DB5" w:rsidRDefault="001B4DB5" w:rsidP="00D73705">
      <w:pPr>
        <w:widowControl w:val="0"/>
        <w:numPr>
          <w:ilvl w:val="0"/>
          <w:numId w:val="3"/>
        </w:numPr>
        <w:tabs>
          <w:tab w:val="clear" w:pos="720"/>
          <w:tab w:val="left" w:pos="0"/>
          <w:tab w:val="left" w:pos="540"/>
          <w:tab w:val="left" w:pos="1134"/>
        </w:tabs>
        <w:spacing w:line="360" w:lineRule="auto"/>
        <w:ind w:left="1134" w:hanging="594"/>
        <w:jc w:val="both"/>
        <w:rPr>
          <w:rFonts w:asciiTheme="minorHAnsi" w:hAnsiTheme="minorHAnsi"/>
          <w:sz w:val="22"/>
          <w:szCs w:val="22"/>
        </w:rPr>
      </w:pPr>
      <w:r w:rsidRPr="00AA4F8A">
        <w:rPr>
          <w:rFonts w:asciiTheme="minorHAnsi" w:hAnsiTheme="minorHAnsi"/>
          <w:b/>
          <w:sz w:val="22"/>
          <w:szCs w:val="22"/>
        </w:rPr>
        <w:t>Zakład Budowy Aparatury Chemicznej ZBACH Sp.</w:t>
      </w:r>
      <w:r w:rsidRPr="00AA4F8A">
        <w:rPr>
          <w:rFonts w:asciiTheme="minorHAnsi" w:hAnsiTheme="minorHAnsi"/>
          <w:sz w:val="22"/>
          <w:szCs w:val="22"/>
        </w:rPr>
        <w:t xml:space="preserve"> </w:t>
      </w:r>
      <w:r w:rsidRPr="00AA4F8A">
        <w:rPr>
          <w:rFonts w:asciiTheme="minorHAnsi" w:hAnsiTheme="minorHAnsi"/>
          <w:b/>
          <w:sz w:val="22"/>
          <w:szCs w:val="22"/>
        </w:rPr>
        <w:t xml:space="preserve">z o.o. </w:t>
      </w:r>
      <w:r w:rsidRPr="00AA4F8A">
        <w:rPr>
          <w:rFonts w:asciiTheme="minorHAnsi" w:hAnsiTheme="minorHAnsi"/>
          <w:sz w:val="22"/>
          <w:szCs w:val="22"/>
        </w:rPr>
        <w:t xml:space="preserve">specjalizuje się w produkcji aparatury i urządzeń dla przemysłu chemicznego, energetycznego, </w:t>
      </w:r>
      <w:r w:rsidR="002E4153">
        <w:rPr>
          <w:rFonts w:asciiTheme="minorHAnsi" w:hAnsiTheme="minorHAnsi"/>
          <w:sz w:val="22"/>
          <w:szCs w:val="22"/>
        </w:rPr>
        <w:t>petro</w:t>
      </w:r>
      <w:r w:rsidRPr="00AA4F8A">
        <w:rPr>
          <w:rFonts w:asciiTheme="minorHAnsi" w:hAnsiTheme="minorHAnsi"/>
          <w:sz w:val="22"/>
          <w:szCs w:val="22"/>
        </w:rPr>
        <w:t>chemicznego</w:t>
      </w:r>
      <w:r>
        <w:rPr>
          <w:rFonts w:asciiTheme="minorHAnsi" w:hAnsiTheme="minorHAnsi"/>
          <w:sz w:val="22"/>
          <w:szCs w:val="22"/>
        </w:rPr>
        <w:br/>
      </w:r>
      <w:r w:rsidRPr="00AA4F8A">
        <w:rPr>
          <w:rFonts w:asciiTheme="minorHAnsi" w:hAnsiTheme="minorHAnsi"/>
          <w:sz w:val="22"/>
          <w:szCs w:val="22"/>
        </w:rPr>
        <w:t xml:space="preserve">i spożywczego oraz ich remontach. W ofercie firma posiada: zbiorniki ciśnieniowe </w:t>
      </w:r>
      <w:r>
        <w:rPr>
          <w:rFonts w:asciiTheme="minorHAnsi" w:hAnsiTheme="minorHAnsi"/>
          <w:sz w:val="22"/>
          <w:szCs w:val="22"/>
        </w:rPr>
        <w:br/>
      </w:r>
      <w:r w:rsidRPr="00AA4F8A">
        <w:rPr>
          <w:rFonts w:asciiTheme="minorHAnsi" w:hAnsiTheme="minorHAnsi"/>
          <w:sz w:val="22"/>
          <w:szCs w:val="22"/>
        </w:rPr>
        <w:t xml:space="preserve">i bezciśnieniowe, stałe i przewoźne ze stali kwasoodpornej i węglowej; wymienniki ciepła płaszczowo-rurowe, jedno i wielodrogowe z dnami sitowymi stałymi, głowicą pływającą </w:t>
      </w:r>
      <w:r>
        <w:rPr>
          <w:rFonts w:asciiTheme="minorHAnsi" w:hAnsiTheme="minorHAnsi"/>
          <w:sz w:val="22"/>
          <w:szCs w:val="22"/>
        </w:rPr>
        <w:br/>
      </w:r>
      <w:r w:rsidRPr="00AA4F8A">
        <w:rPr>
          <w:rFonts w:asciiTheme="minorHAnsi" w:hAnsiTheme="minorHAnsi"/>
          <w:sz w:val="22"/>
          <w:szCs w:val="22"/>
        </w:rPr>
        <w:t xml:space="preserve">i U-rurkowe; kolumny do procesów chemicznych z półkami zaworkowymi, kołpakowymi, płaskimi, rurkami przelotowymi oraz kolumny z wypełnieniem; reaktory, mieszalniki </w:t>
      </w:r>
      <w:r>
        <w:rPr>
          <w:rFonts w:asciiTheme="minorHAnsi" w:hAnsiTheme="minorHAnsi"/>
          <w:sz w:val="22"/>
          <w:szCs w:val="22"/>
        </w:rPr>
        <w:br/>
      </w:r>
      <w:r w:rsidRPr="00AA4F8A">
        <w:rPr>
          <w:rFonts w:asciiTheme="minorHAnsi" w:hAnsiTheme="minorHAnsi"/>
          <w:sz w:val="22"/>
          <w:szCs w:val="22"/>
        </w:rPr>
        <w:lastRenderedPageBreak/>
        <w:t xml:space="preserve">z płaszczem </w:t>
      </w:r>
      <w:proofErr w:type="spellStart"/>
      <w:r w:rsidRPr="00AA4F8A">
        <w:rPr>
          <w:rFonts w:asciiTheme="minorHAnsi" w:hAnsiTheme="minorHAnsi"/>
          <w:sz w:val="22"/>
          <w:szCs w:val="22"/>
        </w:rPr>
        <w:t>grzewnym</w:t>
      </w:r>
      <w:proofErr w:type="spellEnd"/>
      <w:r w:rsidRPr="00AA4F8A">
        <w:rPr>
          <w:rFonts w:asciiTheme="minorHAnsi" w:hAnsiTheme="minorHAnsi"/>
          <w:sz w:val="22"/>
          <w:szCs w:val="22"/>
        </w:rPr>
        <w:t xml:space="preserve"> lub bez; dennice ze stali kwasoodpornych i węglowych w zakresie średnic do 1200 mm i grubości do 20 mm oraz kołpaki i zaworki jako wyposażenie do kolumn.</w:t>
      </w:r>
    </w:p>
    <w:p w14:paraId="2A35AA9F" w14:textId="77777777" w:rsidR="001B4DB5" w:rsidRDefault="001B4DB5" w:rsidP="00D73705">
      <w:pPr>
        <w:widowControl w:val="0"/>
        <w:numPr>
          <w:ilvl w:val="0"/>
          <w:numId w:val="3"/>
        </w:numPr>
        <w:tabs>
          <w:tab w:val="clear" w:pos="720"/>
          <w:tab w:val="left" w:pos="0"/>
          <w:tab w:val="left" w:pos="540"/>
          <w:tab w:val="left" w:pos="1134"/>
        </w:tabs>
        <w:spacing w:line="360" w:lineRule="auto"/>
        <w:ind w:left="1134" w:hanging="594"/>
        <w:jc w:val="both"/>
        <w:rPr>
          <w:rFonts w:asciiTheme="minorHAnsi" w:hAnsiTheme="minorHAnsi"/>
          <w:sz w:val="22"/>
          <w:szCs w:val="22"/>
        </w:rPr>
      </w:pPr>
      <w:r>
        <w:rPr>
          <w:rFonts w:asciiTheme="minorHAnsi" w:hAnsiTheme="minorHAnsi"/>
          <w:b/>
          <w:sz w:val="22"/>
          <w:szCs w:val="22"/>
        </w:rPr>
        <w:t>PETRO</w:t>
      </w:r>
      <w:r w:rsidRPr="00AA4F8A">
        <w:rPr>
          <w:rFonts w:asciiTheme="minorHAnsi" w:hAnsiTheme="minorHAnsi"/>
          <w:b/>
          <w:sz w:val="22"/>
          <w:szCs w:val="22"/>
        </w:rPr>
        <w:t xml:space="preserve"> </w:t>
      </w:r>
      <w:proofErr w:type="spellStart"/>
      <w:r w:rsidRPr="00AA4F8A">
        <w:rPr>
          <w:rFonts w:asciiTheme="minorHAnsi" w:hAnsiTheme="minorHAnsi"/>
          <w:b/>
          <w:sz w:val="22"/>
          <w:szCs w:val="22"/>
        </w:rPr>
        <w:t>EnergoRem</w:t>
      </w:r>
      <w:proofErr w:type="spellEnd"/>
      <w:r w:rsidRPr="00AA4F8A">
        <w:rPr>
          <w:rFonts w:asciiTheme="minorHAnsi" w:hAnsiTheme="minorHAnsi"/>
          <w:b/>
          <w:sz w:val="22"/>
          <w:szCs w:val="22"/>
        </w:rPr>
        <w:t xml:space="preserve"> Sp.</w:t>
      </w:r>
      <w:r w:rsidRPr="00AA4F8A">
        <w:rPr>
          <w:rFonts w:asciiTheme="minorHAnsi" w:hAnsiTheme="minorHAnsi"/>
          <w:sz w:val="22"/>
          <w:szCs w:val="22"/>
        </w:rPr>
        <w:t xml:space="preserve"> </w:t>
      </w:r>
      <w:r w:rsidRPr="00AA4F8A">
        <w:rPr>
          <w:rFonts w:asciiTheme="minorHAnsi" w:hAnsiTheme="minorHAnsi"/>
          <w:b/>
          <w:sz w:val="22"/>
          <w:szCs w:val="22"/>
        </w:rPr>
        <w:t>z o.o.</w:t>
      </w:r>
      <w:r w:rsidRPr="00AA4F8A">
        <w:rPr>
          <w:rFonts w:asciiTheme="minorHAnsi" w:hAnsiTheme="minorHAnsi"/>
          <w:sz w:val="22"/>
          <w:szCs w:val="22"/>
        </w:rPr>
        <w:t xml:space="preserve"> świadczy swoje usługi inżynierskie w pięciu branżach (mechanicznej, automatycznej, elektrycznej, teleinformatycznej i izolacyjnej), gdzie głównymi odbiorcami usług są rafinerie przerobu ropy naftowej, przemysł chemiczny, operatorzy baz magazynowych paliw, elektrownie i elektrociepłownie, przemysł papierniczy, spożywczy, oczyszczalnie ścieków, lokalne ciepłownie i systemy grzewcze.</w:t>
      </w:r>
    </w:p>
    <w:p w14:paraId="67DF6E8D" w14:textId="77777777" w:rsidR="001B4DB5" w:rsidRDefault="001B4DB5" w:rsidP="00D73705">
      <w:pPr>
        <w:widowControl w:val="0"/>
        <w:numPr>
          <w:ilvl w:val="0"/>
          <w:numId w:val="3"/>
        </w:numPr>
        <w:tabs>
          <w:tab w:val="clear" w:pos="720"/>
          <w:tab w:val="left" w:pos="0"/>
          <w:tab w:val="left" w:pos="540"/>
          <w:tab w:val="left" w:pos="1134"/>
        </w:tabs>
        <w:spacing w:line="360" w:lineRule="auto"/>
        <w:ind w:left="1134" w:hanging="594"/>
        <w:jc w:val="both"/>
        <w:rPr>
          <w:rFonts w:asciiTheme="minorHAnsi" w:hAnsiTheme="minorHAnsi"/>
          <w:sz w:val="22"/>
          <w:szCs w:val="22"/>
        </w:rPr>
      </w:pPr>
      <w:r w:rsidRPr="00A840E1">
        <w:rPr>
          <w:rFonts w:asciiTheme="minorHAnsi" w:hAnsiTheme="minorHAnsi"/>
          <w:b/>
          <w:sz w:val="22"/>
          <w:szCs w:val="22"/>
        </w:rPr>
        <w:t>BALTICSERVIS Sp.</w:t>
      </w:r>
      <w:r w:rsidRPr="00A840E1">
        <w:rPr>
          <w:rFonts w:asciiTheme="minorHAnsi" w:hAnsiTheme="minorHAnsi"/>
          <w:sz w:val="22"/>
          <w:szCs w:val="22"/>
        </w:rPr>
        <w:t xml:space="preserve"> </w:t>
      </w:r>
      <w:r w:rsidRPr="00A840E1">
        <w:rPr>
          <w:rFonts w:asciiTheme="minorHAnsi" w:hAnsiTheme="minorHAnsi"/>
          <w:b/>
          <w:sz w:val="22"/>
          <w:szCs w:val="22"/>
        </w:rPr>
        <w:t xml:space="preserve">z o.o. </w:t>
      </w:r>
      <w:r w:rsidRPr="00A840E1">
        <w:rPr>
          <w:rFonts w:asciiTheme="minorHAnsi" w:hAnsiTheme="minorHAnsi"/>
          <w:sz w:val="22"/>
          <w:szCs w:val="22"/>
        </w:rPr>
        <w:t xml:space="preserve">świadczy </w:t>
      </w:r>
      <w:r>
        <w:rPr>
          <w:rFonts w:asciiTheme="minorHAnsi" w:hAnsiTheme="minorHAnsi"/>
          <w:sz w:val="22"/>
          <w:szCs w:val="22"/>
        </w:rPr>
        <w:t xml:space="preserve">kompleksowe usługi w zakresie obsługi technicznej </w:t>
      </w:r>
      <w:r>
        <w:rPr>
          <w:rFonts w:asciiTheme="minorHAnsi" w:hAnsiTheme="minorHAnsi"/>
          <w:sz w:val="22"/>
          <w:szCs w:val="22"/>
        </w:rPr>
        <w:br/>
        <w:t xml:space="preserve">i utrzymania ruchu w przemyśle stoczniowym i </w:t>
      </w:r>
      <w:proofErr w:type="spellStart"/>
      <w:r>
        <w:rPr>
          <w:rFonts w:asciiTheme="minorHAnsi" w:hAnsiTheme="minorHAnsi"/>
          <w:sz w:val="22"/>
          <w:szCs w:val="22"/>
        </w:rPr>
        <w:t>offshore</w:t>
      </w:r>
      <w:proofErr w:type="spellEnd"/>
      <w:r>
        <w:rPr>
          <w:rFonts w:asciiTheme="minorHAnsi" w:hAnsiTheme="minorHAnsi"/>
          <w:sz w:val="22"/>
          <w:szCs w:val="22"/>
        </w:rPr>
        <w:t>, posiadając doskonałą lokalizację w swoich oddziałach zlokalizowanych w Szczecinie i Świnoujściu. Wśród wykonywanych przez firmę usług są zlecenia stałe oraz prace inwestycyjne takie jak: obsługa jednostek pływających, w tym: promów, holowników, dźwigów pływających, doków i pontonów; obsługa i remonty sieci elektrycznych, elektroenergetycznych oraz zarządzanie nieruchomościami w pełnym zakresie.</w:t>
      </w:r>
    </w:p>
    <w:p w14:paraId="01A0FA6F" w14:textId="77777777" w:rsidR="001B4DB5" w:rsidRPr="004435F3" w:rsidRDefault="001B4DB5" w:rsidP="00D73705">
      <w:pPr>
        <w:widowControl w:val="0"/>
        <w:numPr>
          <w:ilvl w:val="0"/>
          <w:numId w:val="3"/>
        </w:numPr>
        <w:tabs>
          <w:tab w:val="clear" w:pos="720"/>
        </w:tabs>
        <w:spacing w:line="360" w:lineRule="auto"/>
        <w:ind w:left="1134" w:hanging="567"/>
        <w:jc w:val="both"/>
        <w:rPr>
          <w:rFonts w:ascii="Calibri" w:hAnsi="Calibri" w:cs="Arial"/>
          <w:b/>
          <w:caps/>
        </w:rPr>
      </w:pPr>
      <w:r w:rsidRPr="0045306E">
        <w:rPr>
          <w:rFonts w:asciiTheme="minorHAnsi" w:hAnsiTheme="minorHAnsi"/>
          <w:b/>
          <w:sz w:val="22"/>
          <w:szCs w:val="22"/>
        </w:rPr>
        <w:t>PCBR</w:t>
      </w:r>
      <w:r>
        <w:rPr>
          <w:rFonts w:asciiTheme="minorHAnsi" w:hAnsiTheme="minorHAnsi"/>
          <w:b/>
          <w:sz w:val="22"/>
          <w:szCs w:val="22"/>
        </w:rPr>
        <w:t xml:space="preserve"> – Przemysłowe Centrum Badawczo Rozwojowe</w:t>
      </w:r>
      <w:r w:rsidRPr="0045306E">
        <w:rPr>
          <w:rFonts w:asciiTheme="minorHAnsi" w:hAnsiTheme="minorHAnsi"/>
          <w:b/>
          <w:sz w:val="22"/>
          <w:szCs w:val="22"/>
        </w:rPr>
        <w:t xml:space="preserve"> Sp.</w:t>
      </w:r>
      <w:r w:rsidRPr="0045306E">
        <w:rPr>
          <w:rFonts w:asciiTheme="minorHAnsi" w:hAnsiTheme="minorHAnsi"/>
          <w:sz w:val="22"/>
          <w:szCs w:val="22"/>
        </w:rPr>
        <w:t xml:space="preserve"> </w:t>
      </w:r>
      <w:r w:rsidRPr="0045306E">
        <w:rPr>
          <w:rFonts w:asciiTheme="minorHAnsi" w:hAnsiTheme="minorHAnsi"/>
          <w:b/>
          <w:sz w:val="22"/>
          <w:szCs w:val="22"/>
        </w:rPr>
        <w:t>z o.o.</w:t>
      </w:r>
      <w:r>
        <w:rPr>
          <w:rFonts w:asciiTheme="minorHAnsi" w:hAnsiTheme="minorHAnsi"/>
          <w:b/>
          <w:sz w:val="22"/>
          <w:szCs w:val="22"/>
        </w:rPr>
        <w:t xml:space="preserve"> w organizacji</w:t>
      </w:r>
      <w:r w:rsidRPr="0045306E">
        <w:rPr>
          <w:rFonts w:asciiTheme="minorHAnsi" w:hAnsiTheme="minorHAnsi"/>
          <w:sz w:val="22"/>
          <w:szCs w:val="22"/>
        </w:rPr>
        <w:t xml:space="preserve">  prowadzi działalność badawczo-rozwojową jako spółka non-profit, </w:t>
      </w:r>
      <w:r w:rsidRPr="0045306E">
        <w:rPr>
          <w:rFonts w:ascii="Calibri" w:hAnsi="Calibri" w:cs="Calibri"/>
          <w:sz w:val="22"/>
          <w:szCs w:val="22"/>
        </w:rPr>
        <w:t>istotą funkcjonowania spółki jest tworzenie korzystnych warunków dla rozwoju przedsiębiorczości.</w:t>
      </w:r>
    </w:p>
    <w:p w14:paraId="17B41452" w14:textId="77777777" w:rsidR="005A712B" w:rsidRPr="002E4153" w:rsidRDefault="001B4DB5" w:rsidP="00D73705">
      <w:pPr>
        <w:widowControl w:val="0"/>
        <w:numPr>
          <w:ilvl w:val="0"/>
          <w:numId w:val="3"/>
        </w:numPr>
        <w:tabs>
          <w:tab w:val="clear" w:pos="720"/>
        </w:tabs>
        <w:spacing w:line="360" w:lineRule="auto"/>
        <w:ind w:left="1134" w:hanging="567"/>
        <w:jc w:val="both"/>
        <w:rPr>
          <w:rFonts w:ascii="Calibri" w:hAnsi="Calibri" w:cs="Arial"/>
          <w:b/>
          <w:caps/>
        </w:rPr>
      </w:pPr>
      <w:r>
        <w:rPr>
          <w:rFonts w:asciiTheme="minorHAnsi" w:hAnsiTheme="minorHAnsi"/>
          <w:b/>
          <w:sz w:val="22"/>
          <w:szCs w:val="22"/>
        </w:rPr>
        <w:t>MONEA XII Sp. z o.o.</w:t>
      </w:r>
      <w:r>
        <w:rPr>
          <w:rFonts w:asciiTheme="minorHAnsi" w:hAnsiTheme="minorHAnsi"/>
          <w:sz w:val="22"/>
          <w:szCs w:val="22"/>
        </w:rPr>
        <w:t xml:space="preserve">  prowadzi działalność doradczą w zarządzania i pośrednictwem </w:t>
      </w:r>
      <w:r>
        <w:rPr>
          <w:rFonts w:asciiTheme="minorHAnsi" w:hAnsiTheme="minorHAnsi"/>
          <w:sz w:val="22"/>
          <w:szCs w:val="22"/>
        </w:rPr>
        <w:br/>
        <w:t xml:space="preserve">w obrocie nieruchomościami jak również działalność wspomagającą usługi finansowe oraz ubezpieczenia i fundusze emerytalne. </w:t>
      </w:r>
    </w:p>
    <w:p w14:paraId="727C56C5" w14:textId="77777777" w:rsidR="00E5671C" w:rsidRPr="002E4153" w:rsidRDefault="00B732D8" w:rsidP="00C44D60">
      <w:pPr>
        <w:pStyle w:val="p1"/>
        <w:tabs>
          <w:tab w:val="left" w:pos="540"/>
        </w:tabs>
        <w:jc w:val="both"/>
        <w:rPr>
          <w:rFonts w:ascii="Calibri" w:hAnsi="Calibri" w:cs="Arial"/>
          <w:b/>
          <w:caps/>
        </w:rPr>
      </w:pPr>
      <w:r w:rsidRPr="002E4153">
        <w:rPr>
          <w:rFonts w:ascii="Calibri" w:hAnsi="Calibri" w:cs="Arial"/>
          <w:caps/>
        </w:rPr>
        <w:t>2</w:t>
      </w:r>
      <w:r w:rsidR="00896C73" w:rsidRPr="002E4153">
        <w:rPr>
          <w:rFonts w:ascii="Calibri" w:hAnsi="Calibri" w:cs="Arial"/>
          <w:caps/>
        </w:rPr>
        <w:t>.</w:t>
      </w:r>
      <w:r w:rsidR="00896C73" w:rsidRPr="002E4153">
        <w:rPr>
          <w:rFonts w:ascii="Calibri" w:hAnsi="Calibri" w:cs="Arial"/>
          <w:b/>
          <w:caps/>
        </w:rPr>
        <w:tab/>
      </w:r>
      <w:r w:rsidR="00E5671C" w:rsidRPr="002E4153">
        <w:rPr>
          <w:rFonts w:ascii="Calibri" w:hAnsi="Calibri" w:cs="Arial"/>
          <w:b/>
          <w:caps/>
        </w:rPr>
        <w:t xml:space="preserve">wskazanie skutków zmian w strukturze jednostki gospodarczej, w tym </w:t>
      </w:r>
      <w:r w:rsidR="00896C73" w:rsidRPr="002E4153">
        <w:rPr>
          <w:rFonts w:ascii="Calibri" w:hAnsi="Calibri" w:cs="Arial"/>
          <w:b/>
          <w:caps/>
        </w:rPr>
        <w:tab/>
      </w:r>
      <w:r w:rsidR="00E5671C" w:rsidRPr="002E4153">
        <w:rPr>
          <w:rFonts w:ascii="Calibri" w:hAnsi="Calibri" w:cs="Arial"/>
          <w:b/>
          <w:caps/>
        </w:rPr>
        <w:t xml:space="preserve">w wyniku połączenia jednostek gospodarczych, przejęcia lub sprzedaży </w:t>
      </w:r>
      <w:r w:rsidR="00896C73" w:rsidRPr="002E4153">
        <w:rPr>
          <w:rFonts w:ascii="Calibri" w:hAnsi="Calibri" w:cs="Arial"/>
          <w:b/>
          <w:caps/>
        </w:rPr>
        <w:tab/>
      </w:r>
      <w:r w:rsidR="00E5671C" w:rsidRPr="002E4153">
        <w:rPr>
          <w:rFonts w:ascii="Calibri" w:hAnsi="Calibri" w:cs="Arial"/>
          <w:b/>
          <w:caps/>
        </w:rPr>
        <w:t xml:space="preserve">jednostek grupy kapitałowej emitenta, inwestycji długoterminowych, </w:t>
      </w:r>
      <w:r w:rsidR="00896C73" w:rsidRPr="002E4153">
        <w:rPr>
          <w:rFonts w:ascii="Calibri" w:hAnsi="Calibri" w:cs="Arial"/>
          <w:b/>
          <w:caps/>
        </w:rPr>
        <w:tab/>
      </w:r>
      <w:r w:rsidR="00E5671C" w:rsidRPr="002E4153">
        <w:rPr>
          <w:rFonts w:ascii="Calibri" w:hAnsi="Calibri" w:cs="Arial"/>
          <w:b/>
          <w:caps/>
        </w:rPr>
        <w:t>podziału, restrukturyz</w:t>
      </w:r>
      <w:r w:rsidR="00A44315" w:rsidRPr="002E4153">
        <w:rPr>
          <w:rFonts w:ascii="Calibri" w:hAnsi="Calibri" w:cs="Arial"/>
          <w:b/>
          <w:caps/>
        </w:rPr>
        <w:t>acji i zaniechania działalności.</w:t>
      </w:r>
    </w:p>
    <w:p w14:paraId="2719A5C3" w14:textId="77777777" w:rsidR="002E4153" w:rsidRPr="00B1209E" w:rsidRDefault="00896C73" w:rsidP="002542B2">
      <w:pPr>
        <w:pStyle w:val="p1"/>
        <w:tabs>
          <w:tab w:val="left" w:pos="540"/>
        </w:tabs>
        <w:spacing w:before="0" w:beforeAutospacing="0" w:after="0" w:afterAutospacing="0" w:line="360" w:lineRule="auto"/>
        <w:jc w:val="both"/>
        <w:rPr>
          <w:rFonts w:asciiTheme="minorHAnsi" w:eastAsiaTheme="minorHAnsi" w:hAnsiTheme="minorHAnsi" w:cstheme="minorHAnsi"/>
          <w:sz w:val="22"/>
          <w:szCs w:val="22"/>
        </w:rPr>
      </w:pPr>
      <w:r w:rsidRPr="00637CAA">
        <w:rPr>
          <w:rFonts w:ascii="Calibri" w:hAnsi="Calibri" w:cs="Arial"/>
          <w:b/>
          <w:sz w:val="22"/>
          <w:szCs w:val="22"/>
        </w:rPr>
        <w:tab/>
      </w:r>
      <w:r w:rsidR="001F7E12" w:rsidRPr="00637CAA">
        <w:rPr>
          <w:rFonts w:ascii="Calibri" w:hAnsi="Calibri" w:cs="Arial"/>
          <w:sz w:val="22"/>
          <w:szCs w:val="22"/>
        </w:rPr>
        <w:t xml:space="preserve">Zarząd Spółki, informuje, iż w badanym okresie nastąpiło </w:t>
      </w:r>
      <w:r w:rsidR="002E4153" w:rsidRPr="00B1209E">
        <w:rPr>
          <w:rFonts w:ascii="Calibri" w:hAnsi="Calibri" w:cs="Calibri"/>
          <w:sz w:val="22"/>
          <w:szCs w:val="22"/>
        </w:rPr>
        <w:t xml:space="preserve">sfinalizowano transakcje </w:t>
      </w:r>
      <w:r w:rsidR="002E4153" w:rsidRPr="00B1209E">
        <w:rPr>
          <w:rFonts w:ascii="Calibri" w:hAnsi="Calibri" w:cs="Calibri"/>
          <w:sz w:val="22"/>
          <w:szCs w:val="22"/>
        </w:rPr>
        <w:br/>
        <w:t>nabycia 100% udziałów w spółce MONEA XII Sp. z o.o.</w:t>
      </w:r>
      <w:r w:rsidR="001F7E12" w:rsidRPr="00B1209E">
        <w:rPr>
          <w:rFonts w:ascii="Calibri" w:hAnsi="Calibri" w:cs="Calibri"/>
          <w:sz w:val="22"/>
          <w:szCs w:val="22"/>
        </w:rPr>
        <w:t>.</w:t>
      </w:r>
      <w:r w:rsidR="001F7E12" w:rsidRPr="00B1209E">
        <w:rPr>
          <w:rFonts w:asciiTheme="minorHAnsi" w:eastAsiaTheme="minorHAnsi" w:hAnsiTheme="minorHAnsi" w:cstheme="minorHAnsi"/>
          <w:sz w:val="22"/>
          <w:szCs w:val="22"/>
        </w:rPr>
        <w:t xml:space="preserve"> Ponadto nie miały miejsca inne </w:t>
      </w:r>
      <w:r w:rsidR="001F7E12" w:rsidRPr="00B1209E">
        <w:rPr>
          <w:rFonts w:asciiTheme="minorHAnsi" w:eastAsiaTheme="minorHAnsi" w:hAnsiTheme="minorHAnsi" w:cstheme="minorHAnsi"/>
          <w:sz w:val="22"/>
          <w:szCs w:val="22"/>
        </w:rPr>
        <w:br/>
        <w:t xml:space="preserve">przejęcia, jak również połączenia jednostek gospodarczych czy sprzedaż jednostek Grupy </w:t>
      </w:r>
      <w:r w:rsidR="001F7E12" w:rsidRPr="00B1209E">
        <w:rPr>
          <w:rFonts w:asciiTheme="minorHAnsi" w:eastAsiaTheme="minorHAnsi" w:hAnsiTheme="minorHAnsi" w:cstheme="minorHAnsi"/>
          <w:sz w:val="22"/>
          <w:szCs w:val="22"/>
        </w:rPr>
        <w:br/>
        <w:t xml:space="preserve">Kapitałowej </w:t>
      </w:r>
      <w:r w:rsidR="002E4153" w:rsidRPr="00355BAA">
        <w:rPr>
          <w:rFonts w:asciiTheme="minorHAnsi" w:eastAsiaTheme="minorHAnsi" w:hAnsiTheme="minorHAnsi" w:cstheme="minorHAnsi"/>
          <w:sz w:val="22"/>
          <w:szCs w:val="22"/>
        </w:rPr>
        <w:t>CHEMOSERVIS-DWORY</w:t>
      </w:r>
      <w:r w:rsidR="001F7E12" w:rsidRPr="00355BAA">
        <w:rPr>
          <w:rFonts w:asciiTheme="minorHAnsi" w:eastAsiaTheme="minorHAnsi" w:hAnsiTheme="minorHAnsi" w:cstheme="minorHAnsi"/>
          <w:sz w:val="22"/>
          <w:szCs w:val="22"/>
        </w:rPr>
        <w:t>, podział, restru</w:t>
      </w:r>
      <w:r w:rsidR="001F7E12" w:rsidRPr="00B1209E">
        <w:rPr>
          <w:rFonts w:asciiTheme="minorHAnsi" w:eastAsiaTheme="minorHAnsi" w:hAnsiTheme="minorHAnsi" w:cstheme="minorHAnsi"/>
          <w:sz w:val="22"/>
          <w:szCs w:val="22"/>
        </w:rPr>
        <w:t>kturyzacja czy zaniechanie działalności.</w:t>
      </w:r>
    </w:p>
    <w:p w14:paraId="1DF8F226" w14:textId="77777777" w:rsidR="002E4153" w:rsidRDefault="002E4153">
      <w:pPr>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726E5A24" w14:textId="77777777" w:rsidR="005A712B" w:rsidRPr="001B4DB5" w:rsidRDefault="005A712B" w:rsidP="005A712B">
      <w:pPr>
        <w:pStyle w:val="p1"/>
        <w:tabs>
          <w:tab w:val="left" w:pos="540"/>
        </w:tabs>
        <w:ind w:left="540" w:hanging="540"/>
        <w:jc w:val="both"/>
        <w:rPr>
          <w:rFonts w:ascii="Calibri" w:hAnsi="Calibri" w:cs="Arial"/>
          <w:b/>
          <w:caps/>
        </w:rPr>
      </w:pPr>
      <w:r w:rsidRPr="001B4DB5">
        <w:rPr>
          <w:rFonts w:ascii="Calibri" w:hAnsi="Calibri" w:cs="Arial"/>
          <w:caps/>
        </w:rPr>
        <w:lastRenderedPageBreak/>
        <w:t>3.</w:t>
      </w:r>
      <w:r w:rsidRPr="001B4DB5">
        <w:rPr>
          <w:rFonts w:ascii="Calibri" w:hAnsi="Calibri" w:cs="Arial"/>
          <w:b/>
          <w:caps/>
        </w:rPr>
        <w:tab/>
        <w:t xml:space="preserve">stanowisko WOBEC możliwości zrealizowania wcześniej publikowanych prognoz wyników na dany rok, w świetle wyników zaprezentowanych w raporcie kwartalnym w stosunku do wyników </w:t>
      </w:r>
      <w:r w:rsidRPr="001B4DB5">
        <w:rPr>
          <w:rFonts w:ascii="Calibri" w:hAnsi="Calibri" w:cs="Arial"/>
          <w:b/>
          <w:caps/>
        </w:rPr>
        <w:tab/>
        <w:t>prognozowanych.</w:t>
      </w:r>
    </w:p>
    <w:p w14:paraId="0E851C14" w14:textId="77777777" w:rsidR="007F41FF" w:rsidRDefault="005A712B" w:rsidP="005A712B">
      <w:pPr>
        <w:widowControl w:val="0"/>
        <w:tabs>
          <w:tab w:val="left" w:pos="540"/>
          <w:tab w:val="left" w:pos="1080"/>
        </w:tabs>
        <w:spacing w:line="360" w:lineRule="auto"/>
        <w:jc w:val="both"/>
        <w:rPr>
          <w:rFonts w:ascii="Calibri" w:hAnsi="Calibri" w:cs="Arial"/>
          <w:color w:val="000000"/>
          <w:sz w:val="22"/>
          <w:szCs w:val="22"/>
        </w:rPr>
      </w:pPr>
      <w:r w:rsidRPr="001B4DB5">
        <w:rPr>
          <w:rFonts w:ascii="Calibri" w:hAnsi="Calibri" w:cs="Arial"/>
          <w:color w:val="000000"/>
          <w:sz w:val="22"/>
          <w:szCs w:val="22"/>
        </w:rPr>
        <w:tab/>
      </w:r>
      <w:r w:rsidR="002E4153">
        <w:rPr>
          <w:rFonts w:ascii="Calibri" w:hAnsi="Calibri" w:cs="Arial"/>
          <w:color w:val="000000"/>
          <w:sz w:val="22"/>
          <w:szCs w:val="22"/>
        </w:rPr>
        <w:t>CHEMOSERVIS-DWORY</w:t>
      </w:r>
      <w:r w:rsidRPr="001B4DB5">
        <w:rPr>
          <w:rFonts w:ascii="Calibri" w:hAnsi="Calibri" w:cs="Arial"/>
          <w:color w:val="000000"/>
          <w:sz w:val="22"/>
          <w:szCs w:val="22"/>
        </w:rPr>
        <w:t xml:space="preserve"> S.A. nie przekazywał do publicznej wiadomości prognoz wyników finansowych na 201</w:t>
      </w:r>
      <w:r w:rsidR="001D361F" w:rsidRPr="001B4DB5">
        <w:rPr>
          <w:rFonts w:ascii="Calibri" w:hAnsi="Calibri" w:cs="Arial"/>
          <w:color w:val="000000"/>
          <w:sz w:val="22"/>
          <w:szCs w:val="22"/>
        </w:rPr>
        <w:t>6</w:t>
      </w:r>
      <w:r w:rsidRPr="001B4DB5">
        <w:rPr>
          <w:rFonts w:ascii="Calibri" w:hAnsi="Calibri" w:cs="Arial"/>
          <w:color w:val="000000"/>
          <w:sz w:val="22"/>
          <w:szCs w:val="22"/>
        </w:rPr>
        <w:t xml:space="preserve"> rok.</w:t>
      </w:r>
    </w:p>
    <w:p w14:paraId="2392EEA1" w14:textId="77777777" w:rsidR="002E4153" w:rsidRPr="002E4153" w:rsidRDefault="002E4153" w:rsidP="005A712B">
      <w:pPr>
        <w:widowControl w:val="0"/>
        <w:tabs>
          <w:tab w:val="left" w:pos="540"/>
          <w:tab w:val="left" w:pos="1080"/>
        </w:tabs>
        <w:spacing w:line="360" w:lineRule="auto"/>
        <w:jc w:val="both"/>
        <w:rPr>
          <w:rFonts w:ascii="Calibri" w:hAnsi="Calibri" w:cs="Arial"/>
          <w:color w:val="000000"/>
          <w:sz w:val="16"/>
          <w:szCs w:val="16"/>
        </w:rPr>
      </w:pPr>
    </w:p>
    <w:p w14:paraId="56D95547" w14:textId="77777777" w:rsidR="002E4153" w:rsidRPr="001B4DB5" w:rsidRDefault="002E4153" w:rsidP="002E4153">
      <w:pPr>
        <w:widowControl w:val="0"/>
        <w:tabs>
          <w:tab w:val="left" w:pos="540"/>
          <w:tab w:val="left" w:pos="1080"/>
        </w:tabs>
        <w:ind w:left="540" w:hanging="540"/>
        <w:jc w:val="both"/>
        <w:rPr>
          <w:rFonts w:ascii="Calibri" w:hAnsi="Calibri" w:cs="Arial"/>
          <w:b/>
          <w:caps/>
        </w:rPr>
      </w:pPr>
      <w:r>
        <w:rPr>
          <w:rFonts w:ascii="Calibri" w:hAnsi="Calibri" w:cs="Arial"/>
          <w:color w:val="000000"/>
        </w:rPr>
        <w:t>4</w:t>
      </w:r>
      <w:r w:rsidRPr="001B4DB5">
        <w:rPr>
          <w:rFonts w:ascii="Calibri" w:hAnsi="Calibri" w:cs="Arial"/>
          <w:color w:val="000000"/>
        </w:rPr>
        <w:t>.</w:t>
      </w:r>
      <w:r w:rsidRPr="001B4DB5">
        <w:rPr>
          <w:rFonts w:ascii="Calibri" w:hAnsi="Calibri" w:cs="Arial"/>
          <w:color w:val="000000"/>
        </w:rPr>
        <w:tab/>
      </w:r>
      <w:r w:rsidRPr="001B4DB5">
        <w:rPr>
          <w:rFonts w:ascii="Calibri" w:hAnsi="Calibri" w:cs="Arial"/>
          <w:b/>
          <w:caps/>
        </w:rPr>
        <w:t xml:space="preserve">zestawienie stanu posiadania akcji emitenta lub uprawnień do nich przez osoby zarządzające i nadzorujące emitenta na dzień przekazania Raportu PÓŁROCZNEGO, wraz ze wskazaniem zmian w stanie posiadania, </w:t>
      </w:r>
      <w:r w:rsidRPr="001B4DB5">
        <w:rPr>
          <w:rFonts w:ascii="Calibri" w:hAnsi="Calibri" w:cs="Arial"/>
          <w:b/>
          <w:caps/>
        </w:rPr>
        <w:br/>
        <w:t>w okresie od przekazania poprzedniego raportu kwartalnego, odrębnie dla każdej z osób.</w:t>
      </w:r>
    </w:p>
    <w:p w14:paraId="6AA966DF" w14:textId="77777777" w:rsidR="002E4153" w:rsidRPr="00183773" w:rsidRDefault="002E4153" w:rsidP="002E4153">
      <w:pPr>
        <w:widowControl w:val="0"/>
        <w:tabs>
          <w:tab w:val="left" w:pos="540"/>
          <w:tab w:val="left" w:pos="1080"/>
        </w:tabs>
        <w:ind w:left="540" w:hanging="540"/>
        <w:jc w:val="both"/>
        <w:rPr>
          <w:rFonts w:ascii="Calibri" w:hAnsi="Calibri" w:cs="Arial"/>
          <w:color w:val="000000"/>
          <w:highlight w:val="green"/>
        </w:rPr>
      </w:pPr>
    </w:p>
    <w:p w14:paraId="7FDC704B" w14:textId="77777777" w:rsidR="002E4153" w:rsidRPr="001D361F" w:rsidRDefault="002E4153" w:rsidP="002E4153">
      <w:pPr>
        <w:tabs>
          <w:tab w:val="left" w:pos="540"/>
          <w:tab w:val="left" w:pos="567"/>
        </w:tabs>
        <w:spacing w:line="360" w:lineRule="auto"/>
        <w:jc w:val="both"/>
        <w:rPr>
          <w:rFonts w:ascii="Calibri" w:hAnsi="Calibri" w:cs="Arial"/>
          <w:color w:val="000000"/>
        </w:rPr>
      </w:pPr>
      <w:r w:rsidRPr="001D361F">
        <w:rPr>
          <w:rFonts w:ascii="Calibri" w:hAnsi="Calibri" w:cs="Arial"/>
        </w:rPr>
        <w:tab/>
      </w:r>
      <w:r w:rsidRPr="005B025F">
        <w:rPr>
          <w:rFonts w:ascii="Calibri" w:hAnsi="Calibri" w:cs="Arial"/>
          <w:sz w:val="22"/>
          <w:szCs w:val="22"/>
        </w:rPr>
        <w:t>O</w:t>
      </w:r>
      <w:r w:rsidRPr="005B025F">
        <w:rPr>
          <w:rFonts w:ascii="Calibri" w:hAnsi="Calibri" w:cs="Calibri"/>
          <w:sz w:val="22"/>
          <w:szCs w:val="22"/>
        </w:rPr>
        <w:t xml:space="preserve">pierając się na zawiadomieniach przekazywanych przez osoby zobowiązane, akcje Emitenta </w:t>
      </w:r>
      <w:r>
        <w:rPr>
          <w:rFonts w:ascii="Calibri" w:hAnsi="Calibri" w:cs="Calibri"/>
          <w:sz w:val="22"/>
          <w:szCs w:val="22"/>
        </w:rPr>
        <w:br/>
      </w:r>
      <w:r w:rsidRPr="005B025F">
        <w:rPr>
          <w:rFonts w:ascii="Calibri" w:hAnsi="Calibri" w:cs="Calibri"/>
          <w:sz w:val="22"/>
          <w:szCs w:val="22"/>
        </w:rPr>
        <w:t xml:space="preserve">w badanym okresie posiadał: Pan Wojciech Mazur – Prezes Zarządu - Dyrektor Naczelny </w:t>
      </w:r>
      <w:r>
        <w:rPr>
          <w:rFonts w:ascii="Calibri" w:hAnsi="Calibri" w:cs="Calibri"/>
          <w:sz w:val="22"/>
          <w:szCs w:val="22"/>
        </w:rPr>
        <w:t>CHEMOSERVIS-DWORY</w:t>
      </w:r>
      <w:r w:rsidRPr="005B025F">
        <w:rPr>
          <w:rFonts w:ascii="Calibri" w:hAnsi="Calibri" w:cs="Calibri"/>
          <w:sz w:val="22"/>
          <w:szCs w:val="22"/>
        </w:rPr>
        <w:t xml:space="preserve"> S.A. w ilości: 8</w:t>
      </w:r>
      <w:r>
        <w:rPr>
          <w:rFonts w:ascii="Calibri" w:hAnsi="Calibri" w:cs="Calibri"/>
          <w:sz w:val="22"/>
          <w:szCs w:val="22"/>
        </w:rPr>
        <w:t>8</w:t>
      </w:r>
      <w:r w:rsidRPr="005B025F">
        <w:rPr>
          <w:rFonts w:ascii="Calibri" w:hAnsi="Calibri" w:cs="Calibri"/>
          <w:sz w:val="22"/>
          <w:szCs w:val="22"/>
        </w:rPr>
        <w:t xml:space="preserve">.000 (osiemdziesiąt </w:t>
      </w:r>
      <w:r>
        <w:rPr>
          <w:rFonts w:ascii="Calibri" w:hAnsi="Calibri" w:cs="Calibri"/>
          <w:sz w:val="22"/>
          <w:szCs w:val="22"/>
        </w:rPr>
        <w:t>osiem</w:t>
      </w:r>
      <w:r w:rsidRPr="005B025F">
        <w:rPr>
          <w:rFonts w:ascii="Calibri" w:hAnsi="Calibri" w:cs="Calibri"/>
          <w:sz w:val="22"/>
          <w:szCs w:val="22"/>
        </w:rPr>
        <w:t xml:space="preserve"> tysięcy) sztuk o wartości nominalnej 0,80 zł wg stanu na dzień 1</w:t>
      </w:r>
      <w:r>
        <w:rPr>
          <w:rFonts w:ascii="Calibri" w:hAnsi="Calibri" w:cs="Calibri"/>
          <w:sz w:val="22"/>
          <w:szCs w:val="22"/>
        </w:rPr>
        <w:t>3</w:t>
      </w:r>
      <w:r w:rsidRPr="005B025F">
        <w:rPr>
          <w:rFonts w:ascii="Calibri" w:hAnsi="Calibri" w:cs="Calibri"/>
          <w:sz w:val="22"/>
          <w:szCs w:val="22"/>
        </w:rPr>
        <w:t xml:space="preserve"> maja 201</w:t>
      </w:r>
      <w:r>
        <w:rPr>
          <w:rFonts w:ascii="Calibri" w:hAnsi="Calibri" w:cs="Calibri"/>
          <w:sz w:val="22"/>
          <w:szCs w:val="22"/>
        </w:rPr>
        <w:t>6</w:t>
      </w:r>
      <w:r w:rsidRPr="005B025F">
        <w:rPr>
          <w:rFonts w:ascii="Calibri" w:hAnsi="Calibri" w:cs="Calibri"/>
          <w:sz w:val="22"/>
          <w:szCs w:val="22"/>
        </w:rPr>
        <w:t xml:space="preserve"> roku, 30 czerwca 201</w:t>
      </w:r>
      <w:r>
        <w:rPr>
          <w:rFonts w:ascii="Calibri" w:hAnsi="Calibri" w:cs="Calibri"/>
          <w:sz w:val="22"/>
          <w:szCs w:val="22"/>
        </w:rPr>
        <w:t>6</w:t>
      </w:r>
      <w:r w:rsidRPr="005B025F">
        <w:rPr>
          <w:rFonts w:ascii="Calibri" w:hAnsi="Calibri" w:cs="Calibri"/>
          <w:sz w:val="22"/>
          <w:szCs w:val="22"/>
        </w:rPr>
        <w:t xml:space="preserve"> roku oraz 2</w:t>
      </w:r>
      <w:r>
        <w:rPr>
          <w:rFonts w:ascii="Calibri" w:hAnsi="Calibri" w:cs="Calibri"/>
          <w:sz w:val="22"/>
          <w:szCs w:val="22"/>
        </w:rPr>
        <w:t>9</w:t>
      </w:r>
      <w:r w:rsidRPr="005B025F">
        <w:rPr>
          <w:rFonts w:ascii="Calibri" w:hAnsi="Calibri" w:cs="Calibri"/>
          <w:sz w:val="22"/>
          <w:szCs w:val="22"/>
        </w:rPr>
        <w:t xml:space="preserve"> sierpnia 201</w:t>
      </w:r>
      <w:r>
        <w:rPr>
          <w:rFonts w:ascii="Calibri" w:hAnsi="Calibri" w:cs="Calibri"/>
          <w:sz w:val="22"/>
          <w:szCs w:val="22"/>
        </w:rPr>
        <w:t>6 roku</w:t>
      </w:r>
      <w:r w:rsidRPr="005B025F">
        <w:rPr>
          <w:rFonts w:ascii="Calibri" w:hAnsi="Calibri" w:cs="Calibri"/>
          <w:sz w:val="22"/>
          <w:szCs w:val="22"/>
        </w:rPr>
        <w:t xml:space="preserve"> oraz Pan </w:t>
      </w:r>
      <w:r>
        <w:rPr>
          <w:rFonts w:ascii="Calibri" w:hAnsi="Calibri" w:cs="Calibri"/>
          <w:sz w:val="22"/>
          <w:szCs w:val="22"/>
        </w:rPr>
        <w:t>Tomasz Mazur</w:t>
      </w:r>
      <w:r w:rsidRPr="005B025F">
        <w:rPr>
          <w:rFonts w:ascii="Calibri" w:hAnsi="Calibri" w:cs="Calibri"/>
          <w:sz w:val="22"/>
          <w:szCs w:val="22"/>
        </w:rPr>
        <w:t xml:space="preserve"> – Członek Rady Nadzorczej </w:t>
      </w:r>
      <w:r>
        <w:rPr>
          <w:rFonts w:ascii="Calibri" w:hAnsi="Calibri" w:cs="Calibri"/>
          <w:sz w:val="22"/>
          <w:szCs w:val="22"/>
        </w:rPr>
        <w:t>CHEMOSERVIS-DWORY</w:t>
      </w:r>
      <w:r w:rsidRPr="005B025F">
        <w:rPr>
          <w:rFonts w:ascii="Calibri" w:hAnsi="Calibri" w:cs="Calibri"/>
          <w:sz w:val="22"/>
          <w:szCs w:val="22"/>
        </w:rPr>
        <w:t xml:space="preserve"> S.A., w ilości </w:t>
      </w:r>
      <w:r>
        <w:rPr>
          <w:rFonts w:ascii="Calibri" w:hAnsi="Calibri" w:cs="Calibri"/>
          <w:sz w:val="22"/>
          <w:szCs w:val="22"/>
        </w:rPr>
        <w:br/>
      </w:r>
      <w:r w:rsidRPr="005B025F">
        <w:rPr>
          <w:rFonts w:ascii="Calibri" w:hAnsi="Calibri" w:cs="Calibri"/>
          <w:sz w:val="22"/>
          <w:szCs w:val="22"/>
        </w:rPr>
        <w:t>1</w:t>
      </w:r>
      <w:r>
        <w:rPr>
          <w:rFonts w:ascii="Calibri" w:hAnsi="Calibri" w:cs="Calibri"/>
          <w:sz w:val="22"/>
          <w:szCs w:val="22"/>
        </w:rPr>
        <w:t>4</w:t>
      </w:r>
      <w:r w:rsidRPr="005B025F">
        <w:rPr>
          <w:rFonts w:ascii="Calibri" w:hAnsi="Calibri" w:cs="Calibri"/>
          <w:sz w:val="22"/>
          <w:szCs w:val="22"/>
        </w:rPr>
        <w:t>.</w:t>
      </w:r>
      <w:r>
        <w:rPr>
          <w:rFonts w:ascii="Calibri" w:hAnsi="Calibri" w:cs="Calibri"/>
          <w:sz w:val="22"/>
          <w:szCs w:val="22"/>
        </w:rPr>
        <w:t>632</w:t>
      </w:r>
      <w:r w:rsidRPr="005B025F">
        <w:rPr>
          <w:rFonts w:ascii="Calibri" w:hAnsi="Calibri" w:cs="Calibri"/>
          <w:sz w:val="22"/>
          <w:szCs w:val="22"/>
        </w:rPr>
        <w:t xml:space="preserve"> (</w:t>
      </w:r>
      <w:r>
        <w:rPr>
          <w:rFonts w:ascii="Calibri" w:hAnsi="Calibri" w:cs="Calibri"/>
          <w:sz w:val="22"/>
          <w:szCs w:val="22"/>
        </w:rPr>
        <w:t>czternaście</w:t>
      </w:r>
      <w:r w:rsidRPr="005B025F">
        <w:rPr>
          <w:rFonts w:ascii="Calibri" w:hAnsi="Calibri" w:cs="Calibri"/>
          <w:sz w:val="22"/>
          <w:szCs w:val="22"/>
        </w:rPr>
        <w:t xml:space="preserve"> tysięcy</w:t>
      </w:r>
      <w:r>
        <w:rPr>
          <w:rFonts w:ascii="Calibri" w:hAnsi="Calibri" w:cs="Calibri"/>
          <w:sz w:val="22"/>
          <w:szCs w:val="22"/>
        </w:rPr>
        <w:t xml:space="preserve"> sześćset trzydzieści dwie</w:t>
      </w:r>
      <w:r w:rsidRPr="005B025F">
        <w:rPr>
          <w:rFonts w:ascii="Calibri" w:hAnsi="Calibri" w:cs="Calibri"/>
          <w:sz w:val="22"/>
          <w:szCs w:val="22"/>
        </w:rPr>
        <w:t>) sztuk</w:t>
      </w:r>
      <w:r>
        <w:rPr>
          <w:rFonts w:ascii="Calibri" w:hAnsi="Calibri" w:cs="Calibri"/>
          <w:sz w:val="22"/>
          <w:szCs w:val="22"/>
        </w:rPr>
        <w:t>i</w:t>
      </w:r>
      <w:r w:rsidRPr="005B025F">
        <w:rPr>
          <w:rFonts w:ascii="Calibri" w:hAnsi="Calibri" w:cs="Calibri"/>
          <w:sz w:val="22"/>
          <w:szCs w:val="22"/>
        </w:rPr>
        <w:t xml:space="preserve"> o wartości nominalnej 0,80 zł wg stanu na dzień 1</w:t>
      </w:r>
      <w:r>
        <w:rPr>
          <w:rFonts w:ascii="Calibri" w:hAnsi="Calibri" w:cs="Calibri"/>
          <w:sz w:val="22"/>
          <w:szCs w:val="22"/>
        </w:rPr>
        <w:t>3</w:t>
      </w:r>
      <w:r w:rsidRPr="005B025F">
        <w:rPr>
          <w:rFonts w:ascii="Calibri" w:hAnsi="Calibri" w:cs="Calibri"/>
          <w:sz w:val="22"/>
          <w:szCs w:val="22"/>
        </w:rPr>
        <w:t xml:space="preserve"> maja 201</w:t>
      </w:r>
      <w:r>
        <w:rPr>
          <w:rFonts w:ascii="Calibri" w:hAnsi="Calibri" w:cs="Calibri"/>
          <w:sz w:val="22"/>
          <w:szCs w:val="22"/>
        </w:rPr>
        <w:t>6</w:t>
      </w:r>
      <w:r w:rsidRPr="005B025F">
        <w:rPr>
          <w:rFonts w:ascii="Calibri" w:hAnsi="Calibri" w:cs="Calibri"/>
          <w:sz w:val="22"/>
          <w:szCs w:val="22"/>
        </w:rPr>
        <w:t xml:space="preserve"> roku, 30 czerwca 201</w:t>
      </w:r>
      <w:r>
        <w:rPr>
          <w:rFonts w:ascii="Calibri" w:hAnsi="Calibri" w:cs="Calibri"/>
          <w:sz w:val="22"/>
          <w:szCs w:val="22"/>
        </w:rPr>
        <w:t>6</w:t>
      </w:r>
      <w:r w:rsidRPr="005B025F">
        <w:rPr>
          <w:rFonts w:ascii="Calibri" w:hAnsi="Calibri" w:cs="Calibri"/>
          <w:sz w:val="22"/>
          <w:szCs w:val="22"/>
        </w:rPr>
        <w:t xml:space="preserve"> roku oraz 2</w:t>
      </w:r>
      <w:r>
        <w:rPr>
          <w:rFonts w:ascii="Calibri" w:hAnsi="Calibri" w:cs="Calibri"/>
          <w:sz w:val="22"/>
          <w:szCs w:val="22"/>
        </w:rPr>
        <w:t>9</w:t>
      </w:r>
      <w:r w:rsidRPr="005B025F">
        <w:rPr>
          <w:rFonts w:ascii="Calibri" w:hAnsi="Calibri" w:cs="Calibri"/>
          <w:sz w:val="22"/>
          <w:szCs w:val="22"/>
        </w:rPr>
        <w:t xml:space="preserve"> sierpnia 201</w:t>
      </w:r>
      <w:r>
        <w:rPr>
          <w:rFonts w:ascii="Calibri" w:hAnsi="Calibri" w:cs="Calibri"/>
          <w:sz w:val="22"/>
          <w:szCs w:val="22"/>
        </w:rPr>
        <w:t>6</w:t>
      </w:r>
      <w:r w:rsidRPr="005B025F">
        <w:rPr>
          <w:rFonts w:ascii="Calibri" w:hAnsi="Calibri" w:cs="Calibri"/>
          <w:sz w:val="22"/>
          <w:szCs w:val="22"/>
        </w:rPr>
        <w:t xml:space="preserve"> roku. Żadna z pozostałych osób na ten czas zasiadających w organie zarządzającym oraz nadzorczym Spółki, wg wiedzy Emitenta na bazie zawiadomień, nie posiadała papierów wartościowych </w:t>
      </w:r>
      <w:r>
        <w:rPr>
          <w:rFonts w:ascii="Calibri" w:hAnsi="Calibri" w:cs="Calibri"/>
          <w:sz w:val="22"/>
          <w:szCs w:val="22"/>
        </w:rPr>
        <w:t>Emitenta</w:t>
      </w:r>
      <w:r w:rsidRPr="005B025F">
        <w:rPr>
          <w:rFonts w:ascii="Calibri" w:hAnsi="Calibri" w:cs="Calibri"/>
          <w:sz w:val="22"/>
          <w:szCs w:val="22"/>
        </w:rPr>
        <w:t>.</w:t>
      </w:r>
      <w:r w:rsidRPr="001D361F">
        <w:rPr>
          <w:rFonts w:ascii="Calibri" w:hAnsi="Calibri" w:cs="Arial"/>
          <w:color w:val="000000"/>
        </w:rPr>
        <w:t xml:space="preserve"> </w:t>
      </w:r>
    </w:p>
    <w:p w14:paraId="46CCF40B" w14:textId="77777777" w:rsidR="001F7E12" w:rsidRPr="00183773" w:rsidRDefault="001F7E12">
      <w:pPr>
        <w:rPr>
          <w:rFonts w:ascii="Calibri" w:hAnsi="Calibri" w:cs="Arial"/>
          <w:color w:val="000000"/>
          <w:highlight w:val="green"/>
        </w:rPr>
      </w:pPr>
    </w:p>
    <w:p w14:paraId="3FBB1B25" w14:textId="77777777" w:rsidR="001F7E12" w:rsidRPr="001B4DB5" w:rsidRDefault="002E4153" w:rsidP="001F7E12">
      <w:pPr>
        <w:widowControl w:val="0"/>
        <w:tabs>
          <w:tab w:val="left" w:pos="540"/>
          <w:tab w:val="left" w:pos="1080"/>
        </w:tabs>
        <w:ind w:left="540" w:hanging="540"/>
        <w:jc w:val="both"/>
        <w:rPr>
          <w:rFonts w:ascii="Calibri" w:hAnsi="Calibri" w:cs="Arial"/>
          <w:b/>
          <w:caps/>
        </w:rPr>
      </w:pPr>
      <w:r>
        <w:rPr>
          <w:rFonts w:ascii="Calibri" w:hAnsi="Calibri" w:cs="Arial"/>
          <w:caps/>
        </w:rPr>
        <w:t>5</w:t>
      </w:r>
      <w:r w:rsidR="001F7E12" w:rsidRPr="001B4DB5">
        <w:rPr>
          <w:rFonts w:ascii="Calibri" w:hAnsi="Calibri" w:cs="Arial"/>
          <w:caps/>
        </w:rPr>
        <w:t>.</w:t>
      </w:r>
      <w:r w:rsidR="001F7E12" w:rsidRPr="001B4DB5">
        <w:rPr>
          <w:rFonts w:ascii="Calibri" w:hAnsi="Calibri" w:cs="Arial"/>
          <w:b/>
          <w:caps/>
        </w:rPr>
        <w:tab/>
        <w:t xml:space="preserve">wskazanie akcjonariuszy JEDNOSTKI DOMINUJĄCEJ posiadających bezpośrednio lub pośrednio przez podmioty zależne, </w:t>
      </w:r>
      <w:r w:rsidR="001F7E12" w:rsidRPr="001B4DB5">
        <w:rPr>
          <w:rStyle w:val="t418-3"/>
          <w:rFonts w:ascii="Calibri" w:hAnsi="Calibri" w:cs="Arial"/>
          <w:b/>
          <w:caps/>
        </w:rPr>
        <w:t>co</w:t>
      </w:r>
      <w:r w:rsidR="001F7E12" w:rsidRPr="001B4DB5">
        <w:rPr>
          <w:rFonts w:ascii="Calibri" w:hAnsi="Calibri" w:cs="Arial"/>
          <w:b/>
          <w:caps/>
        </w:rPr>
        <w:t xml:space="preserve"> najmniej 5 % ogólnej liczby głosów na walnym zgromadzeniu emitenta na dzień przekazania raportu półrocznego.</w:t>
      </w:r>
    </w:p>
    <w:p w14:paraId="080D296B" w14:textId="77777777" w:rsidR="001F7E12" w:rsidRPr="001D361F" w:rsidRDefault="001F7E12" w:rsidP="001F7E12">
      <w:pPr>
        <w:pStyle w:val="Tekstpodstawowy21"/>
        <w:ind w:left="540"/>
        <w:rPr>
          <w:rFonts w:ascii="Calibri" w:hAnsi="Calibri"/>
          <w:b/>
          <w:bCs/>
          <w:i/>
          <w:iCs/>
          <w:sz w:val="22"/>
          <w:szCs w:val="22"/>
        </w:rPr>
      </w:pPr>
    </w:p>
    <w:p w14:paraId="7698077C" w14:textId="77777777" w:rsidR="001F4E2B" w:rsidRPr="00BF2319" w:rsidRDefault="001F4E2B" w:rsidP="001F4E2B">
      <w:pPr>
        <w:tabs>
          <w:tab w:val="left" w:pos="540"/>
          <w:tab w:val="left" w:pos="720"/>
          <w:tab w:val="left" w:pos="1080"/>
        </w:tabs>
        <w:ind w:left="539"/>
        <w:jc w:val="both"/>
        <w:rPr>
          <w:rFonts w:ascii="Calibri" w:hAnsi="Calibri"/>
          <w:b/>
          <w:i/>
          <w:sz w:val="22"/>
          <w:szCs w:val="22"/>
        </w:rPr>
      </w:pPr>
      <w:r w:rsidRPr="00BF2319">
        <w:rPr>
          <w:rFonts w:ascii="Calibri" w:hAnsi="Calibri"/>
          <w:b/>
          <w:i/>
          <w:sz w:val="22"/>
          <w:szCs w:val="22"/>
        </w:rPr>
        <w:t xml:space="preserve">Struktura akcjonariatu </w:t>
      </w:r>
      <w:r>
        <w:rPr>
          <w:rFonts w:ascii="Calibri" w:hAnsi="Calibri"/>
          <w:b/>
          <w:i/>
          <w:sz w:val="22"/>
          <w:szCs w:val="22"/>
        </w:rPr>
        <w:t>CHEMOSERVIS-DWORY</w:t>
      </w:r>
      <w:r w:rsidRPr="00BF2319">
        <w:rPr>
          <w:rFonts w:ascii="Calibri" w:hAnsi="Calibri"/>
          <w:b/>
          <w:i/>
          <w:sz w:val="22"/>
          <w:szCs w:val="22"/>
        </w:rPr>
        <w:t xml:space="preserve"> S.A. na dzień </w:t>
      </w:r>
      <w:r>
        <w:rPr>
          <w:rFonts w:ascii="Calibri" w:hAnsi="Calibri"/>
          <w:b/>
          <w:i/>
          <w:sz w:val="22"/>
          <w:szCs w:val="22"/>
        </w:rPr>
        <w:t>13</w:t>
      </w:r>
      <w:r w:rsidRPr="00BF2319">
        <w:rPr>
          <w:rFonts w:ascii="Calibri" w:hAnsi="Calibri"/>
          <w:b/>
          <w:i/>
          <w:sz w:val="22"/>
          <w:szCs w:val="22"/>
        </w:rPr>
        <w:t xml:space="preserve"> </w:t>
      </w:r>
      <w:r>
        <w:rPr>
          <w:rFonts w:ascii="Calibri" w:hAnsi="Calibri"/>
          <w:b/>
          <w:i/>
          <w:sz w:val="22"/>
          <w:szCs w:val="22"/>
        </w:rPr>
        <w:t xml:space="preserve">maja </w:t>
      </w:r>
      <w:r w:rsidRPr="00BF2319">
        <w:rPr>
          <w:rFonts w:ascii="Calibri" w:hAnsi="Calibri"/>
          <w:b/>
          <w:i/>
          <w:sz w:val="22"/>
          <w:szCs w:val="22"/>
        </w:rPr>
        <w:t>201</w:t>
      </w:r>
      <w:r>
        <w:rPr>
          <w:rFonts w:ascii="Calibri" w:hAnsi="Calibri"/>
          <w:b/>
          <w:i/>
          <w:sz w:val="22"/>
          <w:szCs w:val="22"/>
        </w:rPr>
        <w:t>6</w:t>
      </w:r>
      <w:r w:rsidRPr="00BF2319">
        <w:rPr>
          <w:rFonts w:ascii="Calibri" w:hAnsi="Calibri"/>
          <w:b/>
          <w:i/>
          <w:sz w:val="22"/>
          <w:szCs w:val="22"/>
        </w:rPr>
        <w:t xml:space="preserve"> roku (wg stanu zgłoszonego zawiadomieniami przez akcjonariuszy):</w:t>
      </w:r>
    </w:p>
    <w:p w14:paraId="4164298A" w14:textId="77777777" w:rsidR="001F4E2B" w:rsidRPr="00BF2319" w:rsidRDefault="001F4E2B" w:rsidP="001F4E2B">
      <w:pPr>
        <w:tabs>
          <w:tab w:val="left" w:pos="567"/>
        </w:tabs>
        <w:spacing w:line="276" w:lineRule="auto"/>
        <w:ind w:left="567"/>
        <w:contextualSpacing/>
        <w:jc w:val="center"/>
        <w:rPr>
          <w:rFonts w:ascii="Calibri" w:eastAsia="Calibri" w:hAnsi="Calibri" w:cs="Arial"/>
          <w:lang w:eastAsia="en-US"/>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309"/>
        <w:gridCol w:w="1913"/>
        <w:gridCol w:w="1989"/>
      </w:tblGrid>
      <w:tr w:rsidR="001F4E2B" w:rsidRPr="00BF2319" w14:paraId="1081848F" w14:textId="77777777" w:rsidTr="001F4E2B">
        <w:trPr>
          <w:jc w:val="center"/>
        </w:trPr>
        <w:tc>
          <w:tcPr>
            <w:tcW w:w="2127" w:type="dxa"/>
            <w:shd w:val="clear" w:color="auto" w:fill="BFBFBF" w:themeFill="background1" w:themeFillShade="BF"/>
            <w:vAlign w:val="center"/>
          </w:tcPr>
          <w:p w14:paraId="3A9A78F6"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Akcjonariusz</w:t>
            </w:r>
          </w:p>
        </w:tc>
        <w:tc>
          <w:tcPr>
            <w:tcW w:w="1309" w:type="dxa"/>
            <w:shd w:val="clear" w:color="auto" w:fill="BFBFBF" w:themeFill="background1" w:themeFillShade="BF"/>
            <w:vAlign w:val="center"/>
          </w:tcPr>
          <w:p w14:paraId="531F4970"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Rodzaj akcji</w:t>
            </w:r>
          </w:p>
        </w:tc>
        <w:tc>
          <w:tcPr>
            <w:tcW w:w="1913" w:type="dxa"/>
            <w:shd w:val="clear" w:color="auto" w:fill="BFBFBF" w:themeFill="background1" w:themeFillShade="BF"/>
            <w:vAlign w:val="center"/>
          </w:tcPr>
          <w:p w14:paraId="72511FE2"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Liczba akcji /  głosów na WZ</w:t>
            </w:r>
          </w:p>
        </w:tc>
        <w:tc>
          <w:tcPr>
            <w:tcW w:w="1989" w:type="dxa"/>
            <w:shd w:val="clear" w:color="auto" w:fill="BFBFBF" w:themeFill="background1" w:themeFillShade="BF"/>
            <w:vAlign w:val="center"/>
          </w:tcPr>
          <w:p w14:paraId="2D4104E8"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 xml:space="preserve">Udział </w:t>
            </w:r>
            <w:r w:rsidRPr="00BF2319">
              <w:rPr>
                <w:rFonts w:ascii="Calibri" w:hAnsi="Calibri" w:cs="Arial"/>
                <w:b/>
                <w:sz w:val="20"/>
                <w:szCs w:val="20"/>
              </w:rPr>
              <w:br/>
              <w:t>w kapitale zakładowym/</w:t>
            </w:r>
          </w:p>
          <w:p w14:paraId="32661006"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 xml:space="preserve">w ogólnej liczbie głosów na WZ </w:t>
            </w:r>
          </w:p>
        </w:tc>
      </w:tr>
      <w:tr w:rsidR="001F4E2B" w:rsidRPr="00BF2319" w14:paraId="3E423880" w14:textId="77777777" w:rsidTr="001F4E2B">
        <w:trPr>
          <w:jc w:val="center"/>
        </w:trPr>
        <w:tc>
          <w:tcPr>
            <w:tcW w:w="2127" w:type="dxa"/>
            <w:vAlign w:val="center"/>
          </w:tcPr>
          <w:p w14:paraId="53C71546" w14:textId="77777777" w:rsidR="001F4E2B" w:rsidRDefault="001F4E2B" w:rsidP="001F4E2B">
            <w:pPr>
              <w:jc w:val="center"/>
              <w:rPr>
                <w:rFonts w:ascii="Calibri" w:hAnsi="Calibri" w:cs="Arial"/>
                <w:b/>
                <w:sz w:val="20"/>
                <w:szCs w:val="20"/>
              </w:rPr>
            </w:pPr>
          </w:p>
          <w:p w14:paraId="17880888" w14:textId="77777777" w:rsidR="001F4E2B" w:rsidRDefault="001F4E2B" w:rsidP="001F4E2B">
            <w:pPr>
              <w:jc w:val="center"/>
              <w:rPr>
                <w:rFonts w:ascii="Calibri" w:hAnsi="Calibri" w:cs="Arial"/>
                <w:b/>
                <w:sz w:val="20"/>
                <w:szCs w:val="20"/>
              </w:rPr>
            </w:pPr>
            <w:r>
              <w:rPr>
                <w:rFonts w:ascii="Calibri" w:hAnsi="Calibri" w:cs="Arial"/>
                <w:b/>
                <w:sz w:val="20"/>
                <w:szCs w:val="20"/>
              </w:rPr>
              <w:t>REVICO</w:t>
            </w:r>
          </w:p>
          <w:p w14:paraId="58BC04AC" w14:textId="77777777" w:rsidR="001F4E2B" w:rsidRDefault="001F4E2B" w:rsidP="001F4E2B">
            <w:pPr>
              <w:jc w:val="center"/>
              <w:rPr>
                <w:rFonts w:ascii="Calibri" w:hAnsi="Calibri" w:cs="Arial"/>
                <w:b/>
                <w:sz w:val="20"/>
                <w:szCs w:val="20"/>
              </w:rPr>
            </w:pPr>
            <w:r>
              <w:rPr>
                <w:rFonts w:ascii="Calibri" w:hAnsi="Calibri" w:cs="Arial"/>
                <w:b/>
                <w:sz w:val="20"/>
                <w:szCs w:val="20"/>
              </w:rPr>
              <w:t>S.A.</w:t>
            </w:r>
          </w:p>
          <w:p w14:paraId="400C2E53" w14:textId="77777777" w:rsidR="001F4E2B" w:rsidRPr="00033F0C" w:rsidRDefault="001F4E2B" w:rsidP="001F4E2B">
            <w:pPr>
              <w:jc w:val="center"/>
              <w:rPr>
                <w:rFonts w:ascii="Calibri" w:hAnsi="Calibri" w:cs="Arial"/>
                <w:b/>
                <w:sz w:val="20"/>
                <w:szCs w:val="20"/>
              </w:rPr>
            </w:pPr>
          </w:p>
        </w:tc>
        <w:tc>
          <w:tcPr>
            <w:tcW w:w="1309" w:type="dxa"/>
            <w:vAlign w:val="center"/>
          </w:tcPr>
          <w:p w14:paraId="2E59F8F3" w14:textId="77777777" w:rsidR="001F4E2B" w:rsidRPr="00445D42" w:rsidRDefault="001F4E2B" w:rsidP="001F4E2B">
            <w:pPr>
              <w:jc w:val="center"/>
              <w:rPr>
                <w:rFonts w:ascii="Calibri" w:hAnsi="Calibri" w:cs="Arial"/>
                <w:sz w:val="20"/>
                <w:szCs w:val="20"/>
              </w:rPr>
            </w:pPr>
            <w:r w:rsidRPr="00445D42">
              <w:rPr>
                <w:rFonts w:ascii="Calibri" w:hAnsi="Calibri" w:cs="Arial"/>
                <w:sz w:val="20"/>
                <w:szCs w:val="20"/>
              </w:rPr>
              <w:t>Zwykłe na okaziciela</w:t>
            </w:r>
          </w:p>
        </w:tc>
        <w:tc>
          <w:tcPr>
            <w:tcW w:w="1913" w:type="dxa"/>
            <w:vAlign w:val="center"/>
          </w:tcPr>
          <w:p w14:paraId="4CB0511A" w14:textId="77777777" w:rsidR="001F4E2B" w:rsidRPr="00583E31" w:rsidRDefault="001F4E2B" w:rsidP="001F4E2B">
            <w:pPr>
              <w:jc w:val="center"/>
              <w:rPr>
                <w:rFonts w:ascii="Calibri" w:hAnsi="Calibri" w:cs="Arial"/>
              </w:rPr>
            </w:pPr>
            <w:r w:rsidRPr="00583E31">
              <w:rPr>
                <w:rFonts w:ascii="Calibri" w:hAnsi="Calibri"/>
                <w:sz w:val="22"/>
                <w:szCs w:val="22"/>
              </w:rPr>
              <w:t>7.</w:t>
            </w:r>
            <w:r>
              <w:rPr>
                <w:rFonts w:ascii="Calibri" w:hAnsi="Calibri"/>
                <w:sz w:val="22"/>
                <w:szCs w:val="22"/>
              </w:rPr>
              <w:t>738</w:t>
            </w:r>
            <w:r w:rsidRPr="00583E31">
              <w:rPr>
                <w:rFonts w:ascii="Calibri" w:hAnsi="Calibri"/>
                <w:sz w:val="22"/>
                <w:szCs w:val="22"/>
              </w:rPr>
              <w:t>.</w:t>
            </w:r>
            <w:r>
              <w:rPr>
                <w:rFonts w:ascii="Calibri" w:hAnsi="Calibri"/>
                <w:sz w:val="22"/>
                <w:szCs w:val="22"/>
              </w:rPr>
              <w:t>418</w:t>
            </w:r>
          </w:p>
        </w:tc>
        <w:tc>
          <w:tcPr>
            <w:tcW w:w="1989" w:type="dxa"/>
            <w:vAlign w:val="center"/>
          </w:tcPr>
          <w:p w14:paraId="23242F95" w14:textId="77777777" w:rsidR="001F4E2B" w:rsidRPr="00583E31" w:rsidRDefault="001F4E2B" w:rsidP="001F4E2B">
            <w:pPr>
              <w:jc w:val="center"/>
              <w:rPr>
                <w:rFonts w:ascii="Calibri" w:hAnsi="Calibri" w:cs="Arial"/>
              </w:rPr>
            </w:pPr>
            <w:r w:rsidRPr="00583E31">
              <w:rPr>
                <w:rFonts w:ascii="Calibri" w:hAnsi="Calibri"/>
                <w:sz w:val="22"/>
                <w:szCs w:val="22"/>
              </w:rPr>
              <w:t>30,</w:t>
            </w:r>
            <w:r>
              <w:rPr>
                <w:rFonts w:ascii="Calibri" w:hAnsi="Calibri"/>
                <w:sz w:val="22"/>
                <w:szCs w:val="22"/>
              </w:rPr>
              <w:t>94</w:t>
            </w:r>
            <w:r w:rsidRPr="00583E31">
              <w:rPr>
                <w:rFonts w:ascii="Calibri" w:hAnsi="Calibri"/>
                <w:sz w:val="22"/>
                <w:szCs w:val="22"/>
              </w:rPr>
              <w:t>%</w:t>
            </w:r>
          </w:p>
        </w:tc>
      </w:tr>
      <w:tr w:rsidR="001F4E2B" w:rsidRPr="00BF2319" w14:paraId="59BD713D" w14:textId="77777777" w:rsidTr="001F4E2B">
        <w:trPr>
          <w:jc w:val="center"/>
        </w:trPr>
        <w:tc>
          <w:tcPr>
            <w:tcW w:w="2127" w:type="dxa"/>
            <w:vAlign w:val="center"/>
          </w:tcPr>
          <w:p w14:paraId="0D7E6A62" w14:textId="77777777" w:rsidR="001F4E2B" w:rsidRDefault="001F4E2B" w:rsidP="001F4E2B">
            <w:pPr>
              <w:jc w:val="center"/>
              <w:rPr>
                <w:rFonts w:ascii="Calibri" w:hAnsi="Calibri" w:cs="Arial"/>
                <w:b/>
                <w:sz w:val="20"/>
                <w:szCs w:val="20"/>
              </w:rPr>
            </w:pPr>
          </w:p>
          <w:p w14:paraId="45C3E9F3" w14:textId="77777777" w:rsidR="001F4E2B" w:rsidRPr="00033F0C" w:rsidRDefault="001F4E2B" w:rsidP="001F4E2B">
            <w:pPr>
              <w:jc w:val="center"/>
              <w:rPr>
                <w:rFonts w:ascii="Calibri" w:hAnsi="Calibri" w:cs="Arial"/>
                <w:b/>
                <w:sz w:val="20"/>
                <w:szCs w:val="20"/>
              </w:rPr>
            </w:pPr>
            <w:r>
              <w:rPr>
                <w:rFonts w:ascii="Calibri" w:hAnsi="Calibri" w:cs="Arial"/>
                <w:b/>
                <w:sz w:val="20"/>
                <w:szCs w:val="20"/>
              </w:rPr>
              <w:t>PETRO</w:t>
            </w:r>
            <w:r w:rsidRPr="00033F0C">
              <w:rPr>
                <w:rFonts w:ascii="Calibri" w:hAnsi="Calibri" w:cs="Arial"/>
                <w:b/>
                <w:sz w:val="20"/>
                <w:szCs w:val="20"/>
              </w:rPr>
              <w:t xml:space="preserve"> Mechanika </w:t>
            </w:r>
          </w:p>
          <w:p w14:paraId="07F2D989" w14:textId="77777777" w:rsidR="001F4E2B" w:rsidRDefault="001F4E2B" w:rsidP="001F4E2B">
            <w:pPr>
              <w:jc w:val="center"/>
              <w:rPr>
                <w:rFonts w:ascii="Calibri" w:hAnsi="Calibri" w:cs="Arial"/>
                <w:b/>
                <w:sz w:val="20"/>
                <w:szCs w:val="20"/>
              </w:rPr>
            </w:pPr>
            <w:r w:rsidRPr="00033F0C">
              <w:rPr>
                <w:rFonts w:ascii="Calibri" w:hAnsi="Calibri" w:cs="Arial"/>
                <w:b/>
                <w:sz w:val="20"/>
                <w:szCs w:val="20"/>
              </w:rPr>
              <w:t>S.A</w:t>
            </w:r>
            <w:r>
              <w:rPr>
                <w:rFonts w:ascii="Calibri" w:hAnsi="Calibri" w:cs="Arial"/>
                <w:b/>
                <w:sz w:val="20"/>
                <w:szCs w:val="20"/>
              </w:rPr>
              <w:t>. w upadłości</w:t>
            </w:r>
          </w:p>
          <w:p w14:paraId="0A901079" w14:textId="77777777" w:rsidR="001F4E2B" w:rsidRPr="00033F0C" w:rsidRDefault="001F4E2B" w:rsidP="001F4E2B">
            <w:pPr>
              <w:jc w:val="center"/>
              <w:rPr>
                <w:rFonts w:ascii="Calibri" w:hAnsi="Calibri" w:cs="Arial"/>
                <w:b/>
                <w:sz w:val="20"/>
                <w:szCs w:val="20"/>
              </w:rPr>
            </w:pPr>
          </w:p>
        </w:tc>
        <w:tc>
          <w:tcPr>
            <w:tcW w:w="1309" w:type="dxa"/>
            <w:vAlign w:val="center"/>
          </w:tcPr>
          <w:p w14:paraId="53D4B22B" w14:textId="77777777" w:rsidR="001F4E2B" w:rsidRPr="00445D42" w:rsidRDefault="001F4E2B" w:rsidP="001F4E2B">
            <w:pPr>
              <w:jc w:val="center"/>
              <w:rPr>
                <w:rFonts w:ascii="Calibri" w:hAnsi="Calibri" w:cs="Arial"/>
                <w:sz w:val="20"/>
                <w:szCs w:val="20"/>
              </w:rPr>
            </w:pPr>
            <w:r w:rsidRPr="00445D42">
              <w:rPr>
                <w:rFonts w:ascii="Calibri" w:hAnsi="Calibri" w:cs="Arial"/>
                <w:sz w:val="20"/>
                <w:szCs w:val="20"/>
              </w:rPr>
              <w:t>Zwykłe na okaziciela</w:t>
            </w:r>
          </w:p>
        </w:tc>
        <w:tc>
          <w:tcPr>
            <w:tcW w:w="1913" w:type="dxa"/>
            <w:vAlign w:val="center"/>
          </w:tcPr>
          <w:p w14:paraId="21C40F03" w14:textId="77777777" w:rsidR="001F4E2B" w:rsidRPr="003416C3" w:rsidRDefault="001F4E2B" w:rsidP="001F4E2B">
            <w:pPr>
              <w:jc w:val="center"/>
              <w:rPr>
                <w:rFonts w:ascii="Calibri" w:hAnsi="Calibri" w:cs="Arial"/>
              </w:rPr>
            </w:pPr>
            <w:r>
              <w:rPr>
                <w:rFonts w:ascii="Calibri" w:hAnsi="Calibri"/>
                <w:sz w:val="22"/>
                <w:szCs w:val="22"/>
              </w:rPr>
              <w:t>3.220.569</w:t>
            </w:r>
          </w:p>
        </w:tc>
        <w:tc>
          <w:tcPr>
            <w:tcW w:w="1989" w:type="dxa"/>
            <w:vAlign w:val="center"/>
          </w:tcPr>
          <w:p w14:paraId="7980B570" w14:textId="77777777" w:rsidR="001F4E2B" w:rsidRPr="003416C3" w:rsidRDefault="001F4E2B" w:rsidP="001F4E2B">
            <w:pPr>
              <w:jc w:val="center"/>
              <w:rPr>
                <w:rFonts w:ascii="Calibri" w:hAnsi="Calibri" w:cs="Arial"/>
              </w:rPr>
            </w:pPr>
            <w:r>
              <w:rPr>
                <w:rFonts w:ascii="Calibri" w:hAnsi="Calibri"/>
                <w:sz w:val="22"/>
                <w:szCs w:val="22"/>
              </w:rPr>
              <w:t>12</w:t>
            </w:r>
            <w:r w:rsidRPr="003416C3">
              <w:rPr>
                <w:rFonts w:ascii="Calibri" w:hAnsi="Calibri"/>
                <w:sz w:val="22"/>
                <w:szCs w:val="22"/>
              </w:rPr>
              <w:t>,</w:t>
            </w:r>
            <w:r>
              <w:rPr>
                <w:rFonts w:ascii="Calibri" w:hAnsi="Calibri"/>
                <w:sz w:val="22"/>
                <w:szCs w:val="22"/>
              </w:rPr>
              <w:t>88</w:t>
            </w:r>
            <w:r w:rsidRPr="003416C3">
              <w:rPr>
                <w:rFonts w:ascii="Calibri" w:hAnsi="Calibri"/>
                <w:sz w:val="22"/>
                <w:szCs w:val="22"/>
              </w:rPr>
              <w:t>%</w:t>
            </w:r>
          </w:p>
        </w:tc>
      </w:tr>
      <w:tr w:rsidR="001F4E2B" w:rsidRPr="003416C3" w14:paraId="40960C31" w14:textId="77777777" w:rsidTr="001F4E2B">
        <w:trPr>
          <w:jc w:val="center"/>
        </w:trPr>
        <w:tc>
          <w:tcPr>
            <w:tcW w:w="2127" w:type="dxa"/>
            <w:vAlign w:val="center"/>
          </w:tcPr>
          <w:p w14:paraId="5716CE9A" w14:textId="77777777" w:rsidR="001F4E2B" w:rsidRDefault="001F4E2B" w:rsidP="001F4E2B">
            <w:pPr>
              <w:jc w:val="center"/>
              <w:rPr>
                <w:rFonts w:ascii="Calibri" w:hAnsi="Calibri" w:cs="Arial"/>
                <w:b/>
                <w:sz w:val="20"/>
                <w:szCs w:val="20"/>
              </w:rPr>
            </w:pPr>
          </w:p>
          <w:p w14:paraId="2100CE20" w14:textId="77777777" w:rsidR="001F4E2B" w:rsidRDefault="001F4E2B" w:rsidP="001F4E2B">
            <w:pPr>
              <w:jc w:val="center"/>
              <w:rPr>
                <w:rFonts w:ascii="Calibri" w:hAnsi="Calibri" w:cs="Arial"/>
                <w:b/>
                <w:sz w:val="20"/>
                <w:szCs w:val="20"/>
              </w:rPr>
            </w:pPr>
            <w:r>
              <w:rPr>
                <w:rFonts w:ascii="Calibri" w:hAnsi="Calibri" w:cs="Arial"/>
                <w:b/>
                <w:sz w:val="20"/>
                <w:szCs w:val="20"/>
              </w:rPr>
              <w:t>PKO Bank Polski</w:t>
            </w:r>
          </w:p>
          <w:p w14:paraId="36F075D8" w14:textId="77777777" w:rsidR="001F4E2B" w:rsidRDefault="001F4E2B" w:rsidP="001F4E2B">
            <w:pPr>
              <w:jc w:val="center"/>
              <w:rPr>
                <w:rFonts w:ascii="Calibri" w:hAnsi="Calibri" w:cs="Arial"/>
                <w:b/>
                <w:sz w:val="20"/>
                <w:szCs w:val="20"/>
              </w:rPr>
            </w:pPr>
            <w:r>
              <w:rPr>
                <w:rFonts w:ascii="Calibri" w:hAnsi="Calibri" w:cs="Arial"/>
                <w:b/>
                <w:sz w:val="20"/>
                <w:szCs w:val="20"/>
              </w:rPr>
              <w:t>S.A.</w:t>
            </w:r>
          </w:p>
          <w:p w14:paraId="41E5BF9A" w14:textId="77777777" w:rsidR="001F4E2B" w:rsidRPr="00033F0C" w:rsidRDefault="001F4E2B" w:rsidP="001F4E2B">
            <w:pPr>
              <w:jc w:val="center"/>
              <w:rPr>
                <w:rFonts w:ascii="Calibri" w:hAnsi="Calibri" w:cs="Arial"/>
                <w:b/>
                <w:sz w:val="20"/>
                <w:szCs w:val="20"/>
              </w:rPr>
            </w:pPr>
          </w:p>
        </w:tc>
        <w:tc>
          <w:tcPr>
            <w:tcW w:w="1309" w:type="dxa"/>
            <w:vAlign w:val="center"/>
          </w:tcPr>
          <w:p w14:paraId="25F45282" w14:textId="77777777" w:rsidR="001F4E2B" w:rsidRPr="00445D42" w:rsidRDefault="001F4E2B" w:rsidP="001F4E2B">
            <w:pPr>
              <w:jc w:val="center"/>
              <w:rPr>
                <w:rFonts w:ascii="Calibri" w:hAnsi="Calibri" w:cs="Arial"/>
                <w:sz w:val="20"/>
                <w:szCs w:val="20"/>
              </w:rPr>
            </w:pPr>
            <w:r w:rsidRPr="00445D42">
              <w:rPr>
                <w:rFonts w:ascii="Calibri" w:hAnsi="Calibri" w:cs="Arial"/>
                <w:sz w:val="20"/>
                <w:szCs w:val="20"/>
              </w:rPr>
              <w:t>Zwykłe na okaziciela</w:t>
            </w:r>
          </w:p>
        </w:tc>
        <w:tc>
          <w:tcPr>
            <w:tcW w:w="1913" w:type="dxa"/>
            <w:vAlign w:val="center"/>
          </w:tcPr>
          <w:p w14:paraId="290E1DB8" w14:textId="77777777" w:rsidR="001F4E2B" w:rsidRPr="003416C3" w:rsidRDefault="001F4E2B" w:rsidP="001F4E2B">
            <w:pPr>
              <w:jc w:val="center"/>
              <w:rPr>
                <w:rFonts w:ascii="Calibri" w:hAnsi="Calibri" w:cs="Arial"/>
              </w:rPr>
            </w:pPr>
            <w:r>
              <w:rPr>
                <w:rFonts w:ascii="Calibri" w:hAnsi="Calibri"/>
                <w:sz w:val="22"/>
                <w:szCs w:val="22"/>
              </w:rPr>
              <w:t>2.476.781</w:t>
            </w:r>
          </w:p>
        </w:tc>
        <w:tc>
          <w:tcPr>
            <w:tcW w:w="1989" w:type="dxa"/>
            <w:vAlign w:val="center"/>
          </w:tcPr>
          <w:p w14:paraId="1D96E32E" w14:textId="77777777" w:rsidR="001F4E2B" w:rsidRPr="003416C3" w:rsidRDefault="001F4E2B" w:rsidP="001F4E2B">
            <w:pPr>
              <w:jc w:val="center"/>
              <w:rPr>
                <w:rFonts w:ascii="Calibri" w:hAnsi="Calibri" w:cs="Arial"/>
              </w:rPr>
            </w:pPr>
            <w:r>
              <w:rPr>
                <w:rFonts w:ascii="Calibri" w:hAnsi="Calibri"/>
                <w:sz w:val="22"/>
                <w:szCs w:val="22"/>
              </w:rPr>
              <w:t>9</w:t>
            </w:r>
            <w:r w:rsidRPr="003416C3">
              <w:rPr>
                <w:rFonts w:ascii="Calibri" w:hAnsi="Calibri"/>
                <w:sz w:val="22"/>
                <w:szCs w:val="22"/>
              </w:rPr>
              <w:t>,</w:t>
            </w:r>
            <w:r>
              <w:rPr>
                <w:rFonts w:ascii="Calibri" w:hAnsi="Calibri"/>
                <w:sz w:val="22"/>
                <w:szCs w:val="22"/>
              </w:rPr>
              <w:t>90</w:t>
            </w:r>
            <w:r w:rsidRPr="003416C3">
              <w:rPr>
                <w:rFonts w:ascii="Calibri" w:hAnsi="Calibri"/>
                <w:sz w:val="22"/>
                <w:szCs w:val="22"/>
              </w:rPr>
              <w:t>%</w:t>
            </w:r>
          </w:p>
        </w:tc>
      </w:tr>
      <w:tr w:rsidR="001F4E2B" w:rsidRPr="003416C3" w14:paraId="7266E9B2" w14:textId="77777777" w:rsidTr="001F4E2B">
        <w:trPr>
          <w:jc w:val="center"/>
        </w:trPr>
        <w:tc>
          <w:tcPr>
            <w:tcW w:w="2127" w:type="dxa"/>
            <w:vAlign w:val="center"/>
          </w:tcPr>
          <w:p w14:paraId="575E7B48" w14:textId="77777777" w:rsidR="001F4E2B" w:rsidRDefault="001F4E2B" w:rsidP="001F4E2B">
            <w:pPr>
              <w:jc w:val="center"/>
              <w:rPr>
                <w:rFonts w:ascii="Calibri" w:hAnsi="Calibri" w:cs="Arial"/>
                <w:b/>
                <w:sz w:val="20"/>
                <w:szCs w:val="20"/>
              </w:rPr>
            </w:pPr>
          </w:p>
          <w:p w14:paraId="5EAC5DEF" w14:textId="77777777" w:rsidR="001F4E2B" w:rsidRDefault="001F4E2B" w:rsidP="001F4E2B">
            <w:pPr>
              <w:jc w:val="center"/>
              <w:rPr>
                <w:rFonts w:ascii="Calibri" w:hAnsi="Calibri" w:cs="Arial"/>
                <w:b/>
                <w:sz w:val="20"/>
                <w:szCs w:val="20"/>
              </w:rPr>
            </w:pPr>
            <w:r>
              <w:rPr>
                <w:rFonts w:ascii="Calibri" w:hAnsi="Calibri" w:cs="Arial"/>
                <w:b/>
                <w:sz w:val="20"/>
                <w:szCs w:val="20"/>
              </w:rPr>
              <w:t>ALTUS TFI</w:t>
            </w:r>
          </w:p>
          <w:p w14:paraId="159C7F6E" w14:textId="77777777" w:rsidR="001F4E2B" w:rsidRDefault="001F4E2B" w:rsidP="001F4E2B">
            <w:pPr>
              <w:jc w:val="center"/>
              <w:rPr>
                <w:rFonts w:ascii="Calibri" w:hAnsi="Calibri" w:cs="Arial"/>
                <w:b/>
                <w:sz w:val="20"/>
                <w:szCs w:val="20"/>
              </w:rPr>
            </w:pPr>
            <w:r>
              <w:rPr>
                <w:rFonts w:ascii="Calibri" w:hAnsi="Calibri" w:cs="Arial"/>
                <w:b/>
                <w:sz w:val="20"/>
                <w:szCs w:val="20"/>
              </w:rPr>
              <w:t>S.A.</w:t>
            </w:r>
          </w:p>
          <w:p w14:paraId="2FD15E20" w14:textId="77777777" w:rsidR="001F4E2B" w:rsidRPr="00033F0C" w:rsidRDefault="001F4E2B" w:rsidP="001F4E2B">
            <w:pPr>
              <w:jc w:val="center"/>
              <w:rPr>
                <w:rFonts w:ascii="Calibri" w:hAnsi="Calibri" w:cs="Arial"/>
                <w:b/>
                <w:sz w:val="20"/>
                <w:szCs w:val="20"/>
              </w:rPr>
            </w:pPr>
          </w:p>
        </w:tc>
        <w:tc>
          <w:tcPr>
            <w:tcW w:w="1309" w:type="dxa"/>
            <w:vAlign w:val="center"/>
          </w:tcPr>
          <w:p w14:paraId="0E14D030" w14:textId="77777777" w:rsidR="001F4E2B" w:rsidRPr="00445D42" w:rsidRDefault="001F4E2B" w:rsidP="001F4E2B">
            <w:pPr>
              <w:jc w:val="center"/>
              <w:rPr>
                <w:rFonts w:ascii="Calibri" w:hAnsi="Calibri" w:cs="Arial"/>
                <w:sz w:val="20"/>
                <w:szCs w:val="20"/>
              </w:rPr>
            </w:pPr>
            <w:r w:rsidRPr="00445D42">
              <w:rPr>
                <w:rFonts w:ascii="Calibri" w:hAnsi="Calibri" w:cs="Arial"/>
                <w:sz w:val="20"/>
                <w:szCs w:val="20"/>
              </w:rPr>
              <w:t>Zwykłe na okaziciela</w:t>
            </w:r>
          </w:p>
        </w:tc>
        <w:tc>
          <w:tcPr>
            <w:tcW w:w="1913" w:type="dxa"/>
            <w:vAlign w:val="center"/>
          </w:tcPr>
          <w:p w14:paraId="4F837DC1" w14:textId="77777777" w:rsidR="001F4E2B" w:rsidRPr="003416C3" w:rsidRDefault="001F4E2B" w:rsidP="001F4E2B">
            <w:pPr>
              <w:jc w:val="center"/>
              <w:rPr>
                <w:rFonts w:ascii="Calibri" w:hAnsi="Calibri" w:cs="Arial"/>
              </w:rPr>
            </w:pPr>
            <w:r>
              <w:rPr>
                <w:rFonts w:ascii="Calibri" w:hAnsi="Calibri"/>
                <w:sz w:val="22"/>
                <w:szCs w:val="22"/>
              </w:rPr>
              <w:t>1.596.599</w:t>
            </w:r>
          </w:p>
        </w:tc>
        <w:tc>
          <w:tcPr>
            <w:tcW w:w="1989" w:type="dxa"/>
            <w:vAlign w:val="center"/>
          </w:tcPr>
          <w:p w14:paraId="027C376C" w14:textId="77777777" w:rsidR="001F4E2B" w:rsidRPr="003416C3" w:rsidRDefault="001F4E2B" w:rsidP="001F4E2B">
            <w:pPr>
              <w:jc w:val="center"/>
              <w:rPr>
                <w:rFonts w:ascii="Calibri" w:hAnsi="Calibri" w:cs="Arial"/>
              </w:rPr>
            </w:pPr>
            <w:r>
              <w:rPr>
                <w:rFonts w:ascii="Calibri" w:hAnsi="Calibri"/>
                <w:sz w:val="22"/>
                <w:szCs w:val="22"/>
              </w:rPr>
              <w:t>6,38</w:t>
            </w:r>
            <w:r w:rsidRPr="003416C3">
              <w:rPr>
                <w:rFonts w:ascii="Calibri" w:hAnsi="Calibri"/>
                <w:sz w:val="22"/>
                <w:szCs w:val="22"/>
              </w:rPr>
              <w:t>%</w:t>
            </w:r>
          </w:p>
        </w:tc>
      </w:tr>
    </w:tbl>
    <w:p w14:paraId="71204C19" w14:textId="77777777" w:rsidR="001F4E2B" w:rsidRPr="00BF2319" w:rsidRDefault="001F4E2B" w:rsidP="001F4E2B">
      <w:pPr>
        <w:tabs>
          <w:tab w:val="left" w:pos="540"/>
          <w:tab w:val="left" w:pos="720"/>
          <w:tab w:val="left" w:pos="1080"/>
        </w:tabs>
        <w:ind w:left="539"/>
        <w:jc w:val="both"/>
        <w:rPr>
          <w:rFonts w:ascii="Calibri" w:hAnsi="Calibri"/>
          <w:i/>
          <w:sz w:val="22"/>
          <w:szCs w:val="22"/>
        </w:rPr>
      </w:pPr>
    </w:p>
    <w:p w14:paraId="7F14445A" w14:textId="77777777" w:rsidR="001F4E2B" w:rsidRPr="00BF2319" w:rsidRDefault="001F4E2B" w:rsidP="001F4E2B">
      <w:pPr>
        <w:tabs>
          <w:tab w:val="left" w:pos="540"/>
          <w:tab w:val="left" w:pos="720"/>
          <w:tab w:val="left" w:pos="1080"/>
        </w:tabs>
        <w:ind w:left="539"/>
        <w:jc w:val="both"/>
        <w:rPr>
          <w:rFonts w:ascii="Calibri" w:hAnsi="Calibri"/>
          <w:b/>
          <w:i/>
          <w:sz w:val="22"/>
          <w:szCs w:val="22"/>
        </w:rPr>
      </w:pPr>
      <w:r w:rsidRPr="00BF2319">
        <w:rPr>
          <w:rFonts w:ascii="Calibri" w:hAnsi="Calibri"/>
          <w:b/>
          <w:i/>
          <w:sz w:val="22"/>
          <w:szCs w:val="22"/>
        </w:rPr>
        <w:t xml:space="preserve">Struktura akcjonariatu </w:t>
      </w:r>
      <w:r>
        <w:rPr>
          <w:rFonts w:ascii="Calibri" w:hAnsi="Calibri"/>
          <w:b/>
          <w:i/>
          <w:sz w:val="22"/>
          <w:szCs w:val="22"/>
        </w:rPr>
        <w:t>CHEMOSERVIS-DWORY</w:t>
      </w:r>
      <w:r w:rsidRPr="00BF2319">
        <w:rPr>
          <w:rFonts w:ascii="Calibri" w:hAnsi="Calibri"/>
          <w:b/>
          <w:i/>
          <w:sz w:val="22"/>
          <w:szCs w:val="22"/>
        </w:rPr>
        <w:t xml:space="preserve"> S.A. na dzień </w:t>
      </w:r>
      <w:r>
        <w:rPr>
          <w:rFonts w:ascii="Calibri" w:hAnsi="Calibri"/>
          <w:b/>
          <w:i/>
          <w:sz w:val="22"/>
          <w:szCs w:val="22"/>
        </w:rPr>
        <w:t>30 czerwca</w:t>
      </w:r>
      <w:r w:rsidRPr="00BF2319">
        <w:rPr>
          <w:rFonts w:ascii="Calibri" w:hAnsi="Calibri"/>
          <w:b/>
          <w:i/>
          <w:sz w:val="22"/>
          <w:szCs w:val="22"/>
        </w:rPr>
        <w:t xml:space="preserve"> 201</w:t>
      </w:r>
      <w:r>
        <w:rPr>
          <w:rFonts w:ascii="Calibri" w:hAnsi="Calibri"/>
          <w:b/>
          <w:i/>
          <w:sz w:val="22"/>
          <w:szCs w:val="22"/>
        </w:rPr>
        <w:t>6</w:t>
      </w:r>
      <w:r w:rsidRPr="00BF2319">
        <w:rPr>
          <w:rFonts w:ascii="Calibri" w:hAnsi="Calibri"/>
          <w:b/>
          <w:i/>
          <w:sz w:val="22"/>
          <w:szCs w:val="22"/>
        </w:rPr>
        <w:t xml:space="preserve"> (wg stanu </w:t>
      </w:r>
      <w:r w:rsidRPr="00BF2319">
        <w:rPr>
          <w:rFonts w:ascii="Calibri" w:hAnsi="Calibri"/>
          <w:b/>
          <w:i/>
          <w:sz w:val="22"/>
          <w:szCs w:val="22"/>
        </w:rPr>
        <w:br/>
        <w:t>zgłoszonego zawiadomieniami przez akcjonariuszy):</w:t>
      </w:r>
    </w:p>
    <w:p w14:paraId="478F38D7" w14:textId="77777777" w:rsidR="001F4E2B" w:rsidRPr="00BF2319" w:rsidRDefault="001F4E2B" w:rsidP="001F4E2B">
      <w:pPr>
        <w:tabs>
          <w:tab w:val="left" w:pos="567"/>
        </w:tabs>
        <w:spacing w:line="276" w:lineRule="auto"/>
        <w:ind w:left="567"/>
        <w:contextualSpacing/>
        <w:jc w:val="center"/>
        <w:rPr>
          <w:rFonts w:ascii="Calibri" w:eastAsia="Calibri" w:hAnsi="Calibri" w:cs="Arial"/>
          <w:lang w:eastAsia="en-US"/>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309"/>
        <w:gridCol w:w="1913"/>
        <w:gridCol w:w="1989"/>
      </w:tblGrid>
      <w:tr w:rsidR="001F4E2B" w:rsidRPr="00BF2319" w14:paraId="6F0B41B9" w14:textId="77777777" w:rsidTr="001F4E2B">
        <w:trPr>
          <w:jc w:val="center"/>
        </w:trPr>
        <w:tc>
          <w:tcPr>
            <w:tcW w:w="2127" w:type="dxa"/>
            <w:shd w:val="clear" w:color="auto" w:fill="BFBFBF" w:themeFill="background1" w:themeFillShade="BF"/>
            <w:vAlign w:val="center"/>
          </w:tcPr>
          <w:p w14:paraId="5C846B97"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Akcjonariusz</w:t>
            </w:r>
          </w:p>
        </w:tc>
        <w:tc>
          <w:tcPr>
            <w:tcW w:w="1309" w:type="dxa"/>
            <w:shd w:val="clear" w:color="auto" w:fill="BFBFBF" w:themeFill="background1" w:themeFillShade="BF"/>
            <w:vAlign w:val="center"/>
          </w:tcPr>
          <w:p w14:paraId="5F2077BD"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Rodzaj akcji</w:t>
            </w:r>
          </w:p>
        </w:tc>
        <w:tc>
          <w:tcPr>
            <w:tcW w:w="1913" w:type="dxa"/>
            <w:shd w:val="clear" w:color="auto" w:fill="BFBFBF" w:themeFill="background1" w:themeFillShade="BF"/>
            <w:vAlign w:val="center"/>
          </w:tcPr>
          <w:p w14:paraId="7B9E7F79"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Liczba akcji /  głosów na WZ</w:t>
            </w:r>
          </w:p>
        </w:tc>
        <w:tc>
          <w:tcPr>
            <w:tcW w:w="1989" w:type="dxa"/>
            <w:shd w:val="clear" w:color="auto" w:fill="BFBFBF" w:themeFill="background1" w:themeFillShade="BF"/>
            <w:vAlign w:val="center"/>
          </w:tcPr>
          <w:p w14:paraId="0A8D41CB"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 xml:space="preserve">Udział </w:t>
            </w:r>
            <w:r w:rsidRPr="00BF2319">
              <w:rPr>
                <w:rFonts w:ascii="Calibri" w:hAnsi="Calibri" w:cs="Arial"/>
                <w:b/>
                <w:sz w:val="20"/>
                <w:szCs w:val="20"/>
              </w:rPr>
              <w:br/>
              <w:t>w kapitale zakładowym/</w:t>
            </w:r>
          </w:p>
          <w:p w14:paraId="6821AD89"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 xml:space="preserve">w ogólnej liczbie głosów na WZ </w:t>
            </w:r>
          </w:p>
        </w:tc>
      </w:tr>
      <w:tr w:rsidR="001F4E2B" w:rsidRPr="00BF2319" w14:paraId="6A22DF9F" w14:textId="77777777" w:rsidTr="001F4E2B">
        <w:trPr>
          <w:jc w:val="center"/>
        </w:trPr>
        <w:tc>
          <w:tcPr>
            <w:tcW w:w="2127" w:type="dxa"/>
            <w:vAlign w:val="center"/>
          </w:tcPr>
          <w:p w14:paraId="1DE5580F" w14:textId="77777777" w:rsidR="001F4E2B" w:rsidRPr="0099522C" w:rsidRDefault="001F4E2B" w:rsidP="001F4E2B">
            <w:pPr>
              <w:jc w:val="center"/>
              <w:rPr>
                <w:rFonts w:ascii="Calibri" w:hAnsi="Calibri" w:cs="Arial"/>
                <w:b/>
                <w:sz w:val="20"/>
                <w:szCs w:val="20"/>
              </w:rPr>
            </w:pPr>
          </w:p>
          <w:p w14:paraId="0270090D" w14:textId="77777777" w:rsidR="001F4E2B" w:rsidRPr="0099522C" w:rsidRDefault="001F4E2B" w:rsidP="001F4E2B">
            <w:pPr>
              <w:jc w:val="center"/>
              <w:rPr>
                <w:rFonts w:ascii="Calibri" w:hAnsi="Calibri" w:cs="Arial"/>
                <w:b/>
                <w:sz w:val="20"/>
                <w:szCs w:val="20"/>
              </w:rPr>
            </w:pPr>
            <w:r w:rsidRPr="0099522C">
              <w:rPr>
                <w:rFonts w:ascii="Calibri" w:hAnsi="Calibri" w:cs="Arial"/>
                <w:b/>
                <w:sz w:val="20"/>
                <w:szCs w:val="20"/>
              </w:rPr>
              <w:t>REVICO</w:t>
            </w:r>
          </w:p>
          <w:p w14:paraId="1F17E3C8" w14:textId="77777777" w:rsidR="001F4E2B" w:rsidRPr="0099522C" w:rsidRDefault="001F4E2B" w:rsidP="001F4E2B">
            <w:pPr>
              <w:jc w:val="center"/>
              <w:rPr>
                <w:rFonts w:ascii="Calibri" w:hAnsi="Calibri" w:cs="Arial"/>
                <w:b/>
                <w:sz w:val="20"/>
                <w:szCs w:val="20"/>
              </w:rPr>
            </w:pPr>
            <w:r w:rsidRPr="0099522C">
              <w:rPr>
                <w:rFonts w:ascii="Calibri" w:hAnsi="Calibri" w:cs="Arial"/>
                <w:b/>
                <w:sz w:val="20"/>
                <w:szCs w:val="20"/>
              </w:rPr>
              <w:t>S.A.</w:t>
            </w:r>
          </w:p>
          <w:p w14:paraId="728A4201" w14:textId="77777777" w:rsidR="001F4E2B" w:rsidRPr="0099522C" w:rsidRDefault="001F4E2B" w:rsidP="001F4E2B">
            <w:pPr>
              <w:jc w:val="center"/>
              <w:rPr>
                <w:rFonts w:ascii="Calibri" w:hAnsi="Calibri" w:cs="Arial"/>
                <w:b/>
                <w:sz w:val="20"/>
                <w:szCs w:val="20"/>
              </w:rPr>
            </w:pPr>
          </w:p>
        </w:tc>
        <w:tc>
          <w:tcPr>
            <w:tcW w:w="1309" w:type="dxa"/>
            <w:vAlign w:val="center"/>
          </w:tcPr>
          <w:p w14:paraId="3D1302BF" w14:textId="77777777" w:rsidR="001F4E2B" w:rsidRPr="0099522C" w:rsidRDefault="001F4E2B" w:rsidP="001F4E2B">
            <w:pPr>
              <w:jc w:val="center"/>
              <w:rPr>
                <w:rFonts w:ascii="Calibri" w:hAnsi="Calibri" w:cs="Arial"/>
                <w:b/>
                <w:sz w:val="20"/>
                <w:szCs w:val="20"/>
              </w:rPr>
            </w:pPr>
            <w:r w:rsidRPr="0099522C">
              <w:rPr>
                <w:rFonts w:ascii="Calibri" w:hAnsi="Calibri" w:cs="Arial"/>
                <w:b/>
                <w:sz w:val="20"/>
                <w:szCs w:val="20"/>
              </w:rPr>
              <w:t>Zwykłe na okaziciela</w:t>
            </w:r>
          </w:p>
        </w:tc>
        <w:tc>
          <w:tcPr>
            <w:tcW w:w="1913" w:type="dxa"/>
            <w:vAlign w:val="center"/>
          </w:tcPr>
          <w:p w14:paraId="1D5D1FE6" w14:textId="77777777" w:rsidR="001F4E2B" w:rsidRPr="0099522C" w:rsidRDefault="001F4E2B" w:rsidP="001F4E2B">
            <w:pPr>
              <w:jc w:val="center"/>
              <w:rPr>
                <w:rFonts w:ascii="Calibri" w:hAnsi="Calibri" w:cs="Arial"/>
                <w:b/>
              </w:rPr>
            </w:pPr>
            <w:r w:rsidRPr="0099522C">
              <w:rPr>
                <w:rFonts w:ascii="Calibri" w:hAnsi="Calibri"/>
                <w:b/>
                <w:sz w:val="22"/>
                <w:szCs w:val="22"/>
              </w:rPr>
              <w:t>7.738.418</w:t>
            </w:r>
            <w:r>
              <w:rPr>
                <w:rFonts w:ascii="Calibri" w:hAnsi="Calibri"/>
                <w:b/>
                <w:sz w:val="22"/>
                <w:szCs w:val="22"/>
              </w:rPr>
              <w:t>*</w:t>
            </w:r>
          </w:p>
        </w:tc>
        <w:tc>
          <w:tcPr>
            <w:tcW w:w="1989" w:type="dxa"/>
            <w:vAlign w:val="center"/>
          </w:tcPr>
          <w:p w14:paraId="189D6B1C" w14:textId="77777777" w:rsidR="001F4E2B" w:rsidRPr="0099522C" w:rsidRDefault="001F4E2B" w:rsidP="001F4E2B">
            <w:pPr>
              <w:jc w:val="center"/>
              <w:rPr>
                <w:rFonts w:ascii="Calibri" w:hAnsi="Calibri" w:cs="Arial"/>
                <w:b/>
              </w:rPr>
            </w:pPr>
            <w:r w:rsidRPr="0099522C">
              <w:rPr>
                <w:rFonts w:ascii="Calibri" w:hAnsi="Calibri"/>
                <w:b/>
                <w:sz w:val="22"/>
                <w:szCs w:val="22"/>
              </w:rPr>
              <w:t>30,94%</w:t>
            </w:r>
          </w:p>
        </w:tc>
      </w:tr>
      <w:tr w:rsidR="001F4E2B" w:rsidRPr="00BF2319" w14:paraId="3E2DA80B" w14:textId="77777777" w:rsidTr="001F4E2B">
        <w:trPr>
          <w:jc w:val="center"/>
        </w:trPr>
        <w:tc>
          <w:tcPr>
            <w:tcW w:w="2127" w:type="dxa"/>
            <w:vAlign w:val="center"/>
          </w:tcPr>
          <w:p w14:paraId="56E9B76B" w14:textId="77777777" w:rsidR="001F4E2B" w:rsidRPr="007470C0" w:rsidRDefault="001F4E2B" w:rsidP="001F4E2B">
            <w:pPr>
              <w:jc w:val="center"/>
              <w:rPr>
                <w:rFonts w:ascii="Calibri" w:hAnsi="Calibri" w:cs="Arial"/>
                <w:b/>
                <w:sz w:val="20"/>
                <w:szCs w:val="20"/>
              </w:rPr>
            </w:pPr>
          </w:p>
          <w:p w14:paraId="5F2E69D9" w14:textId="77777777" w:rsidR="001F4E2B" w:rsidRPr="007470C0" w:rsidRDefault="001F4E2B" w:rsidP="001F4E2B">
            <w:pPr>
              <w:jc w:val="center"/>
              <w:rPr>
                <w:rFonts w:ascii="Calibri" w:hAnsi="Calibri" w:cs="Arial"/>
                <w:b/>
                <w:sz w:val="20"/>
                <w:szCs w:val="20"/>
              </w:rPr>
            </w:pPr>
            <w:r w:rsidRPr="007470C0">
              <w:rPr>
                <w:rFonts w:ascii="Calibri" w:hAnsi="Calibri" w:cs="Arial"/>
                <w:b/>
                <w:sz w:val="20"/>
                <w:szCs w:val="20"/>
              </w:rPr>
              <w:t xml:space="preserve">PETRO Mechanika </w:t>
            </w:r>
          </w:p>
          <w:p w14:paraId="129F8BD7" w14:textId="77777777" w:rsidR="001F4E2B" w:rsidRPr="007470C0" w:rsidRDefault="001F4E2B" w:rsidP="001F4E2B">
            <w:pPr>
              <w:jc w:val="center"/>
              <w:rPr>
                <w:rFonts w:ascii="Calibri" w:hAnsi="Calibri" w:cs="Arial"/>
                <w:b/>
                <w:sz w:val="20"/>
                <w:szCs w:val="20"/>
              </w:rPr>
            </w:pPr>
            <w:r w:rsidRPr="007470C0">
              <w:rPr>
                <w:rFonts w:ascii="Calibri" w:hAnsi="Calibri" w:cs="Arial"/>
                <w:b/>
                <w:sz w:val="20"/>
                <w:szCs w:val="20"/>
              </w:rPr>
              <w:t>S.A. w upadłości</w:t>
            </w:r>
          </w:p>
          <w:p w14:paraId="0DC48110" w14:textId="77777777" w:rsidR="001F4E2B" w:rsidRPr="007470C0" w:rsidRDefault="001F4E2B" w:rsidP="001F4E2B">
            <w:pPr>
              <w:jc w:val="center"/>
              <w:rPr>
                <w:rFonts w:ascii="Calibri" w:hAnsi="Calibri" w:cs="Arial"/>
                <w:b/>
                <w:sz w:val="20"/>
                <w:szCs w:val="20"/>
              </w:rPr>
            </w:pPr>
          </w:p>
        </w:tc>
        <w:tc>
          <w:tcPr>
            <w:tcW w:w="1309" w:type="dxa"/>
            <w:vAlign w:val="center"/>
          </w:tcPr>
          <w:p w14:paraId="46980101" w14:textId="77777777" w:rsidR="001F4E2B" w:rsidRPr="007470C0" w:rsidRDefault="001F4E2B" w:rsidP="001F4E2B">
            <w:pPr>
              <w:jc w:val="center"/>
              <w:rPr>
                <w:rFonts w:ascii="Calibri" w:hAnsi="Calibri" w:cs="Arial"/>
                <w:b/>
                <w:sz w:val="20"/>
                <w:szCs w:val="20"/>
              </w:rPr>
            </w:pPr>
            <w:r w:rsidRPr="007470C0">
              <w:rPr>
                <w:rFonts w:ascii="Calibri" w:hAnsi="Calibri" w:cs="Arial"/>
                <w:b/>
                <w:sz w:val="20"/>
                <w:szCs w:val="20"/>
              </w:rPr>
              <w:t>Zwykłe na okaziciela</w:t>
            </w:r>
          </w:p>
        </w:tc>
        <w:tc>
          <w:tcPr>
            <w:tcW w:w="1913" w:type="dxa"/>
            <w:vAlign w:val="center"/>
          </w:tcPr>
          <w:p w14:paraId="506B540F" w14:textId="77777777" w:rsidR="001F4E2B" w:rsidRPr="007470C0" w:rsidRDefault="001F4E2B" w:rsidP="001F4E2B">
            <w:pPr>
              <w:jc w:val="center"/>
              <w:rPr>
                <w:rFonts w:ascii="Calibri" w:hAnsi="Calibri" w:cs="Arial"/>
                <w:b/>
              </w:rPr>
            </w:pPr>
            <w:r w:rsidRPr="007470C0">
              <w:rPr>
                <w:rFonts w:ascii="Calibri" w:hAnsi="Calibri"/>
                <w:b/>
                <w:sz w:val="22"/>
                <w:szCs w:val="22"/>
              </w:rPr>
              <w:t>3.220.569</w:t>
            </w:r>
          </w:p>
        </w:tc>
        <w:tc>
          <w:tcPr>
            <w:tcW w:w="1989" w:type="dxa"/>
            <w:vAlign w:val="center"/>
          </w:tcPr>
          <w:p w14:paraId="4084B557" w14:textId="77777777" w:rsidR="001F4E2B" w:rsidRPr="007470C0" w:rsidRDefault="001F4E2B" w:rsidP="001F4E2B">
            <w:pPr>
              <w:jc w:val="center"/>
              <w:rPr>
                <w:rFonts w:ascii="Calibri" w:hAnsi="Calibri" w:cs="Arial"/>
                <w:b/>
              </w:rPr>
            </w:pPr>
            <w:r w:rsidRPr="007470C0">
              <w:rPr>
                <w:rFonts w:ascii="Calibri" w:hAnsi="Calibri"/>
                <w:b/>
                <w:sz w:val="22"/>
                <w:szCs w:val="22"/>
              </w:rPr>
              <w:t>12,88%</w:t>
            </w:r>
          </w:p>
        </w:tc>
      </w:tr>
      <w:tr w:rsidR="001F4E2B" w:rsidRPr="00BF2319" w14:paraId="659390B0" w14:textId="77777777" w:rsidTr="001F4E2B">
        <w:trPr>
          <w:jc w:val="center"/>
        </w:trPr>
        <w:tc>
          <w:tcPr>
            <w:tcW w:w="2127" w:type="dxa"/>
            <w:vAlign w:val="center"/>
          </w:tcPr>
          <w:p w14:paraId="789474E0" w14:textId="77777777" w:rsidR="001F4E2B" w:rsidRDefault="001F4E2B" w:rsidP="001F4E2B">
            <w:pPr>
              <w:jc w:val="center"/>
              <w:rPr>
                <w:rFonts w:ascii="Calibri" w:hAnsi="Calibri" w:cs="Arial"/>
                <w:b/>
                <w:sz w:val="20"/>
                <w:szCs w:val="20"/>
              </w:rPr>
            </w:pPr>
          </w:p>
          <w:p w14:paraId="7254AF21" w14:textId="77777777" w:rsidR="001F4E2B" w:rsidRDefault="001F4E2B" w:rsidP="001F4E2B">
            <w:pPr>
              <w:jc w:val="center"/>
              <w:rPr>
                <w:rFonts w:ascii="Calibri" w:hAnsi="Calibri" w:cs="Arial"/>
                <w:b/>
                <w:sz w:val="20"/>
                <w:szCs w:val="20"/>
              </w:rPr>
            </w:pPr>
            <w:r>
              <w:rPr>
                <w:rFonts w:ascii="Calibri" w:hAnsi="Calibri" w:cs="Arial"/>
                <w:b/>
                <w:sz w:val="20"/>
                <w:szCs w:val="20"/>
              </w:rPr>
              <w:t>ALTUS TFI</w:t>
            </w:r>
          </w:p>
          <w:p w14:paraId="35CF8BA3" w14:textId="77777777" w:rsidR="001F4E2B" w:rsidRDefault="001F4E2B" w:rsidP="001F4E2B">
            <w:pPr>
              <w:jc w:val="center"/>
              <w:rPr>
                <w:rFonts w:ascii="Calibri" w:hAnsi="Calibri" w:cs="Arial"/>
                <w:b/>
                <w:sz w:val="20"/>
                <w:szCs w:val="20"/>
              </w:rPr>
            </w:pPr>
            <w:r>
              <w:rPr>
                <w:rFonts w:ascii="Calibri" w:hAnsi="Calibri" w:cs="Arial"/>
                <w:b/>
                <w:sz w:val="20"/>
                <w:szCs w:val="20"/>
              </w:rPr>
              <w:t>S.A.</w:t>
            </w:r>
          </w:p>
          <w:p w14:paraId="762CAF6C" w14:textId="77777777" w:rsidR="001F4E2B" w:rsidRPr="00033F0C" w:rsidRDefault="001F4E2B" w:rsidP="001F4E2B">
            <w:pPr>
              <w:jc w:val="center"/>
              <w:rPr>
                <w:rFonts w:ascii="Calibri" w:hAnsi="Calibri" w:cs="Arial"/>
                <w:b/>
                <w:sz w:val="20"/>
                <w:szCs w:val="20"/>
              </w:rPr>
            </w:pPr>
          </w:p>
        </w:tc>
        <w:tc>
          <w:tcPr>
            <w:tcW w:w="1309" w:type="dxa"/>
            <w:vAlign w:val="center"/>
          </w:tcPr>
          <w:p w14:paraId="2B52BFD1" w14:textId="77777777" w:rsidR="001F4E2B" w:rsidRPr="00537561" w:rsidRDefault="001F4E2B" w:rsidP="001F4E2B">
            <w:pPr>
              <w:jc w:val="center"/>
              <w:rPr>
                <w:rFonts w:ascii="Calibri" w:hAnsi="Calibri" w:cs="Arial"/>
                <w:b/>
                <w:sz w:val="20"/>
                <w:szCs w:val="20"/>
              </w:rPr>
            </w:pPr>
            <w:r w:rsidRPr="00537561">
              <w:rPr>
                <w:rFonts w:ascii="Calibri" w:hAnsi="Calibri" w:cs="Arial"/>
                <w:b/>
                <w:sz w:val="20"/>
                <w:szCs w:val="20"/>
              </w:rPr>
              <w:t>Zwykłe na okaziciela</w:t>
            </w:r>
          </w:p>
        </w:tc>
        <w:tc>
          <w:tcPr>
            <w:tcW w:w="1913" w:type="dxa"/>
            <w:vAlign w:val="center"/>
          </w:tcPr>
          <w:p w14:paraId="209578E3" w14:textId="77777777" w:rsidR="001F4E2B" w:rsidRPr="00537561" w:rsidRDefault="001F4E2B" w:rsidP="001F4E2B">
            <w:pPr>
              <w:jc w:val="center"/>
              <w:rPr>
                <w:rFonts w:ascii="Calibri" w:hAnsi="Calibri" w:cs="Arial"/>
                <w:b/>
              </w:rPr>
            </w:pPr>
            <w:r w:rsidRPr="00537561">
              <w:rPr>
                <w:rFonts w:ascii="Calibri" w:hAnsi="Calibri"/>
                <w:b/>
                <w:sz w:val="22"/>
                <w:szCs w:val="22"/>
              </w:rPr>
              <w:t>2.286.546</w:t>
            </w:r>
          </w:p>
        </w:tc>
        <w:tc>
          <w:tcPr>
            <w:tcW w:w="1989" w:type="dxa"/>
            <w:vAlign w:val="center"/>
          </w:tcPr>
          <w:p w14:paraId="214B6CA4" w14:textId="77777777" w:rsidR="001F4E2B" w:rsidRPr="00537561" w:rsidRDefault="001F4E2B" w:rsidP="001F4E2B">
            <w:pPr>
              <w:jc w:val="center"/>
              <w:rPr>
                <w:rFonts w:ascii="Calibri" w:hAnsi="Calibri" w:cs="Arial"/>
                <w:b/>
              </w:rPr>
            </w:pPr>
            <w:r w:rsidRPr="00537561">
              <w:rPr>
                <w:rFonts w:ascii="Calibri" w:hAnsi="Calibri"/>
                <w:b/>
                <w:sz w:val="22"/>
                <w:szCs w:val="22"/>
              </w:rPr>
              <w:t>9,14%</w:t>
            </w:r>
          </w:p>
        </w:tc>
      </w:tr>
    </w:tbl>
    <w:p w14:paraId="6922AA38" w14:textId="77777777" w:rsidR="001F4E2B" w:rsidRPr="00165924" w:rsidRDefault="001F4E2B" w:rsidP="001F4E2B">
      <w:pPr>
        <w:ind w:left="851"/>
        <w:jc w:val="both"/>
        <w:rPr>
          <w:rFonts w:ascii="Calibri" w:hAnsi="Calibri"/>
          <w:i/>
          <w:sz w:val="10"/>
          <w:szCs w:val="10"/>
        </w:rPr>
      </w:pPr>
    </w:p>
    <w:p w14:paraId="71E910F7" w14:textId="77777777" w:rsidR="001F4E2B" w:rsidRPr="00165924" w:rsidRDefault="001F4E2B" w:rsidP="001F4E2B">
      <w:pPr>
        <w:ind w:left="851"/>
        <w:jc w:val="both"/>
        <w:rPr>
          <w:rFonts w:ascii="Calibri" w:hAnsi="Calibri"/>
          <w:i/>
          <w:sz w:val="18"/>
          <w:szCs w:val="18"/>
        </w:rPr>
      </w:pPr>
      <w:r w:rsidRPr="00165924">
        <w:rPr>
          <w:rFonts w:ascii="Calibri" w:hAnsi="Calibri"/>
          <w:i/>
          <w:sz w:val="18"/>
          <w:szCs w:val="18"/>
        </w:rPr>
        <w:t>*</w:t>
      </w:r>
      <w:r>
        <w:rPr>
          <w:rFonts w:ascii="Calibri" w:hAnsi="Calibri"/>
          <w:i/>
          <w:sz w:val="18"/>
          <w:szCs w:val="18"/>
        </w:rPr>
        <w:t xml:space="preserve"> brak informacji od akcjonariusza</w:t>
      </w:r>
      <w:r w:rsidRPr="00165924">
        <w:rPr>
          <w:rFonts w:ascii="Calibri" w:hAnsi="Calibri"/>
          <w:i/>
          <w:sz w:val="18"/>
          <w:szCs w:val="18"/>
        </w:rPr>
        <w:t xml:space="preserve"> </w:t>
      </w:r>
    </w:p>
    <w:p w14:paraId="153CBFC8" w14:textId="77777777" w:rsidR="001F4E2B" w:rsidRDefault="001F4E2B" w:rsidP="001F4E2B">
      <w:pPr>
        <w:tabs>
          <w:tab w:val="left" w:pos="540"/>
          <w:tab w:val="left" w:pos="720"/>
          <w:tab w:val="left" w:pos="1080"/>
        </w:tabs>
        <w:ind w:left="539"/>
        <w:jc w:val="both"/>
        <w:rPr>
          <w:rFonts w:ascii="Calibri" w:hAnsi="Calibri"/>
          <w:i/>
          <w:sz w:val="22"/>
          <w:szCs w:val="22"/>
        </w:rPr>
      </w:pPr>
    </w:p>
    <w:p w14:paraId="56960C6F" w14:textId="77777777" w:rsidR="001F4E2B" w:rsidRPr="00BF2319" w:rsidRDefault="001F4E2B" w:rsidP="001F4E2B">
      <w:pPr>
        <w:tabs>
          <w:tab w:val="left" w:pos="540"/>
          <w:tab w:val="left" w:pos="720"/>
          <w:tab w:val="left" w:pos="1080"/>
        </w:tabs>
        <w:ind w:left="539"/>
        <w:jc w:val="both"/>
        <w:rPr>
          <w:rFonts w:ascii="Calibri" w:hAnsi="Calibri"/>
          <w:b/>
          <w:i/>
          <w:sz w:val="22"/>
          <w:szCs w:val="22"/>
        </w:rPr>
      </w:pPr>
      <w:r w:rsidRPr="00BF2319">
        <w:rPr>
          <w:rFonts w:ascii="Calibri" w:hAnsi="Calibri"/>
          <w:b/>
          <w:i/>
          <w:sz w:val="22"/>
          <w:szCs w:val="22"/>
        </w:rPr>
        <w:t xml:space="preserve">Struktura akcjonariatu </w:t>
      </w:r>
      <w:r>
        <w:rPr>
          <w:rFonts w:ascii="Calibri" w:hAnsi="Calibri"/>
          <w:b/>
          <w:i/>
          <w:sz w:val="22"/>
          <w:szCs w:val="22"/>
        </w:rPr>
        <w:t>CHEMOSERVIS-DWORY</w:t>
      </w:r>
      <w:r w:rsidRPr="00BF2319">
        <w:rPr>
          <w:rFonts w:ascii="Calibri" w:hAnsi="Calibri"/>
          <w:b/>
          <w:i/>
          <w:sz w:val="22"/>
          <w:szCs w:val="22"/>
        </w:rPr>
        <w:t xml:space="preserve"> S.A. na dzień </w:t>
      </w:r>
      <w:r w:rsidRPr="008B2791">
        <w:rPr>
          <w:rFonts w:ascii="Calibri" w:hAnsi="Calibri"/>
          <w:b/>
          <w:i/>
          <w:sz w:val="22"/>
          <w:szCs w:val="22"/>
        </w:rPr>
        <w:t>2</w:t>
      </w:r>
      <w:r>
        <w:rPr>
          <w:rFonts w:ascii="Calibri" w:hAnsi="Calibri"/>
          <w:b/>
          <w:i/>
          <w:sz w:val="22"/>
          <w:szCs w:val="22"/>
        </w:rPr>
        <w:t>9 sierpnia</w:t>
      </w:r>
      <w:r w:rsidRPr="00BF2319">
        <w:rPr>
          <w:rFonts w:ascii="Calibri" w:hAnsi="Calibri"/>
          <w:b/>
          <w:i/>
          <w:sz w:val="22"/>
          <w:szCs w:val="22"/>
        </w:rPr>
        <w:t xml:space="preserve"> 201</w:t>
      </w:r>
      <w:r>
        <w:rPr>
          <w:rFonts w:ascii="Calibri" w:hAnsi="Calibri"/>
          <w:b/>
          <w:i/>
          <w:sz w:val="22"/>
          <w:szCs w:val="22"/>
        </w:rPr>
        <w:t>6</w:t>
      </w:r>
      <w:r w:rsidRPr="00BF2319">
        <w:rPr>
          <w:rFonts w:ascii="Calibri" w:hAnsi="Calibri"/>
          <w:b/>
          <w:i/>
          <w:sz w:val="22"/>
          <w:szCs w:val="22"/>
        </w:rPr>
        <w:t xml:space="preserve"> roku (wg stanu zgłoszonego zawiadomieniami przez akcjonariuszy):</w:t>
      </w:r>
    </w:p>
    <w:p w14:paraId="5567E1AE" w14:textId="77777777" w:rsidR="001F4E2B" w:rsidRPr="00BF2319" w:rsidRDefault="001F4E2B" w:rsidP="001F4E2B">
      <w:pPr>
        <w:tabs>
          <w:tab w:val="left" w:pos="540"/>
          <w:tab w:val="left" w:pos="720"/>
          <w:tab w:val="left" w:pos="1080"/>
        </w:tabs>
        <w:ind w:left="539"/>
        <w:jc w:val="both"/>
        <w:rPr>
          <w:rFonts w:ascii="Calibri" w:hAnsi="Calibri"/>
          <w:b/>
          <w:i/>
          <w:sz w:val="22"/>
          <w:szCs w:val="22"/>
        </w:rPr>
      </w:pPr>
    </w:p>
    <w:p w14:paraId="0D49A482" w14:textId="77777777" w:rsidR="001F4E2B" w:rsidRPr="00BF2319" w:rsidRDefault="001F4E2B" w:rsidP="001F4E2B">
      <w:pPr>
        <w:tabs>
          <w:tab w:val="left" w:pos="540"/>
          <w:tab w:val="left" w:pos="720"/>
          <w:tab w:val="left" w:pos="1080"/>
        </w:tabs>
        <w:ind w:left="539"/>
        <w:jc w:val="both"/>
        <w:rPr>
          <w:rFonts w:ascii="Calibri" w:hAnsi="Calibri"/>
          <w:b/>
          <w:i/>
          <w:sz w:val="22"/>
          <w:szCs w:val="22"/>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309"/>
        <w:gridCol w:w="1913"/>
        <w:gridCol w:w="1989"/>
      </w:tblGrid>
      <w:tr w:rsidR="001F4E2B" w:rsidRPr="00BF2319" w14:paraId="72F387F4" w14:textId="77777777" w:rsidTr="001F4E2B">
        <w:trPr>
          <w:jc w:val="center"/>
        </w:trPr>
        <w:tc>
          <w:tcPr>
            <w:tcW w:w="2127" w:type="dxa"/>
            <w:shd w:val="clear" w:color="auto" w:fill="BFBFBF" w:themeFill="background1" w:themeFillShade="BF"/>
            <w:vAlign w:val="center"/>
          </w:tcPr>
          <w:p w14:paraId="5D38CFF7"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Akcjonariusz</w:t>
            </w:r>
          </w:p>
        </w:tc>
        <w:tc>
          <w:tcPr>
            <w:tcW w:w="1309" w:type="dxa"/>
            <w:shd w:val="clear" w:color="auto" w:fill="BFBFBF" w:themeFill="background1" w:themeFillShade="BF"/>
            <w:vAlign w:val="center"/>
          </w:tcPr>
          <w:p w14:paraId="678F0E2B"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Rodzaj akcji</w:t>
            </w:r>
          </w:p>
        </w:tc>
        <w:tc>
          <w:tcPr>
            <w:tcW w:w="1913" w:type="dxa"/>
            <w:shd w:val="clear" w:color="auto" w:fill="BFBFBF" w:themeFill="background1" w:themeFillShade="BF"/>
            <w:vAlign w:val="center"/>
          </w:tcPr>
          <w:p w14:paraId="761F86D9"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Liczba akcji /  głosów na WZ</w:t>
            </w:r>
          </w:p>
        </w:tc>
        <w:tc>
          <w:tcPr>
            <w:tcW w:w="1989" w:type="dxa"/>
            <w:shd w:val="clear" w:color="auto" w:fill="BFBFBF" w:themeFill="background1" w:themeFillShade="BF"/>
            <w:vAlign w:val="center"/>
          </w:tcPr>
          <w:p w14:paraId="32851D02"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 xml:space="preserve">Udział </w:t>
            </w:r>
            <w:r w:rsidRPr="00BF2319">
              <w:rPr>
                <w:rFonts w:ascii="Calibri" w:hAnsi="Calibri" w:cs="Arial"/>
                <w:b/>
                <w:sz w:val="20"/>
                <w:szCs w:val="20"/>
              </w:rPr>
              <w:br/>
              <w:t>w kapitale zakładowym/</w:t>
            </w:r>
          </w:p>
          <w:p w14:paraId="37B6980A" w14:textId="77777777" w:rsidR="001F4E2B" w:rsidRPr="00BF2319" w:rsidRDefault="001F4E2B" w:rsidP="001F4E2B">
            <w:pPr>
              <w:jc w:val="center"/>
              <w:rPr>
                <w:rFonts w:ascii="Calibri" w:hAnsi="Calibri" w:cs="Arial"/>
                <w:b/>
                <w:sz w:val="20"/>
                <w:szCs w:val="20"/>
              </w:rPr>
            </w:pPr>
            <w:r w:rsidRPr="00BF2319">
              <w:rPr>
                <w:rFonts w:ascii="Calibri" w:hAnsi="Calibri" w:cs="Arial"/>
                <w:b/>
                <w:sz w:val="20"/>
                <w:szCs w:val="20"/>
              </w:rPr>
              <w:t xml:space="preserve">w ogólnej liczbie głosów na WZ </w:t>
            </w:r>
          </w:p>
        </w:tc>
      </w:tr>
      <w:tr w:rsidR="001F4E2B" w:rsidRPr="00BF2319" w14:paraId="3A5B8E7C" w14:textId="77777777" w:rsidTr="001F4E2B">
        <w:trPr>
          <w:jc w:val="center"/>
        </w:trPr>
        <w:tc>
          <w:tcPr>
            <w:tcW w:w="2127" w:type="dxa"/>
            <w:vAlign w:val="center"/>
          </w:tcPr>
          <w:p w14:paraId="03B3910F" w14:textId="77777777" w:rsidR="001F4E2B" w:rsidRDefault="001F4E2B" w:rsidP="001F4E2B">
            <w:pPr>
              <w:jc w:val="center"/>
              <w:rPr>
                <w:rFonts w:ascii="Calibri" w:hAnsi="Calibri" w:cs="Arial"/>
                <w:b/>
                <w:sz w:val="20"/>
                <w:szCs w:val="20"/>
              </w:rPr>
            </w:pPr>
          </w:p>
          <w:p w14:paraId="1AD091D7" w14:textId="77777777" w:rsidR="001F4E2B" w:rsidRDefault="001F4E2B" w:rsidP="001F4E2B">
            <w:pPr>
              <w:jc w:val="center"/>
              <w:rPr>
                <w:rFonts w:ascii="Calibri" w:hAnsi="Calibri" w:cs="Arial"/>
                <w:b/>
                <w:sz w:val="20"/>
                <w:szCs w:val="20"/>
              </w:rPr>
            </w:pPr>
            <w:r>
              <w:rPr>
                <w:rFonts w:ascii="Calibri" w:hAnsi="Calibri" w:cs="Arial"/>
                <w:b/>
                <w:sz w:val="20"/>
                <w:szCs w:val="20"/>
              </w:rPr>
              <w:t>REVICO</w:t>
            </w:r>
          </w:p>
          <w:p w14:paraId="4E77B115" w14:textId="77777777" w:rsidR="001F4E2B" w:rsidRDefault="001F4E2B" w:rsidP="001F4E2B">
            <w:pPr>
              <w:jc w:val="center"/>
              <w:rPr>
                <w:rFonts w:ascii="Calibri" w:hAnsi="Calibri" w:cs="Arial"/>
                <w:b/>
                <w:sz w:val="20"/>
                <w:szCs w:val="20"/>
              </w:rPr>
            </w:pPr>
            <w:r>
              <w:rPr>
                <w:rFonts w:ascii="Calibri" w:hAnsi="Calibri" w:cs="Arial"/>
                <w:b/>
                <w:sz w:val="20"/>
                <w:szCs w:val="20"/>
              </w:rPr>
              <w:t>S.A.</w:t>
            </w:r>
          </w:p>
          <w:p w14:paraId="60D15382" w14:textId="77777777" w:rsidR="001F4E2B" w:rsidRPr="00033F0C" w:rsidRDefault="001F4E2B" w:rsidP="001F4E2B">
            <w:pPr>
              <w:jc w:val="center"/>
              <w:rPr>
                <w:rFonts w:ascii="Calibri" w:hAnsi="Calibri" w:cs="Arial"/>
                <w:b/>
                <w:sz w:val="20"/>
                <w:szCs w:val="20"/>
              </w:rPr>
            </w:pPr>
          </w:p>
        </w:tc>
        <w:tc>
          <w:tcPr>
            <w:tcW w:w="1309" w:type="dxa"/>
            <w:vAlign w:val="center"/>
          </w:tcPr>
          <w:p w14:paraId="597D9D1C" w14:textId="77777777" w:rsidR="001F4E2B" w:rsidRPr="00445D42" w:rsidRDefault="001F4E2B" w:rsidP="001F4E2B">
            <w:pPr>
              <w:jc w:val="center"/>
              <w:rPr>
                <w:rFonts w:ascii="Calibri" w:hAnsi="Calibri" w:cs="Arial"/>
                <w:sz w:val="20"/>
                <w:szCs w:val="20"/>
              </w:rPr>
            </w:pPr>
            <w:r w:rsidRPr="00445D42">
              <w:rPr>
                <w:rFonts w:ascii="Calibri" w:hAnsi="Calibri" w:cs="Arial"/>
                <w:sz w:val="20"/>
                <w:szCs w:val="20"/>
              </w:rPr>
              <w:t>Zwykłe na okaziciela</w:t>
            </w:r>
          </w:p>
        </w:tc>
        <w:tc>
          <w:tcPr>
            <w:tcW w:w="1913" w:type="dxa"/>
            <w:vAlign w:val="center"/>
          </w:tcPr>
          <w:p w14:paraId="430110D1" w14:textId="77777777" w:rsidR="001F4E2B" w:rsidRDefault="001F4E2B" w:rsidP="001F4E2B">
            <w:pPr>
              <w:jc w:val="center"/>
              <w:rPr>
                <w:rFonts w:ascii="Calibri" w:hAnsi="Calibri"/>
                <w:sz w:val="22"/>
                <w:szCs w:val="22"/>
              </w:rPr>
            </w:pPr>
            <w:r w:rsidRPr="00583E31">
              <w:rPr>
                <w:rFonts w:ascii="Calibri" w:hAnsi="Calibri"/>
                <w:sz w:val="22"/>
                <w:szCs w:val="22"/>
              </w:rPr>
              <w:t>7.</w:t>
            </w:r>
            <w:r>
              <w:rPr>
                <w:rFonts w:ascii="Calibri" w:hAnsi="Calibri"/>
                <w:sz w:val="22"/>
                <w:szCs w:val="22"/>
              </w:rPr>
              <w:t>738</w:t>
            </w:r>
            <w:r w:rsidRPr="00583E31">
              <w:rPr>
                <w:rFonts w:ascii="Calibri" w:hAnsi="Calibri"/>
                <w:sz w:val="22"/>
                <w:szCs w:val="22"/>
              </w:rPr>
              <w:t>.</w:t>
            </w:r>
            <w:r>
              <w:rPr>
                <w:rFonts w:ascii="Calibri" w:hAnsi="Calibri"/>
                <w:sz w:val="22"/>
                <w:szCs w:val="22"/>
              </w:rPr>
              <w:t>418*</w:t>
            </w:r>
          </w:p>
          <w:p w14:paraId="1AEEED02" w14:textId="77777777" w:rsidR="001F4E2B" w:rsidRPr="00165924" w:rsidRDefault="001F4E2B" w:rsidP="001F4E2B">
            <w:pPr>
              <w:jc w:val="center"/>
              <w:rPr>
                <w:rFonts w:asciiTheme="minorHAnsi" w:hAnsiTheme="minorHAnsi" w:cs="Arial"/>
                <w:i/>
                <w:sz w:val="16"/>
                <w:szCs w:val="16"/>
              </w:rPr>
            </w:pPr>
            <w:r w:rsidRPr="00165924">
              <w:rPr>
                <w:rFonts w:asciiTheme="minorHAnsi" w:hAnsiTheme="minorHAnsi"/>
                <w:i/>
                <w:sz w:val="16"/>
                <w:szCs w:val="16"/>
              </w:rPr>
              <w:t xml:space="preserve">zakaz wykonywania prawa głosu na </w:t>
            </w:r>
            <w:r>
              <w:rPr>
                <w:rFonts w:asciiTheme="minorHAnsi" w:hAnsiTheme="minorHAnsi"/>
                <w:i/>
                <w:sz w:val="16"/>
                <w:szCs w:val="16"/>
              </w:rPr>
              <w:br/>
            </w:r>
            <w:r w:rsidRPr="00165924">
              <w:rPr>
                <w:rFonts w:asciiTheme="minorHAnsi" w:hAnsiTheme="minorHAnsi"/>
                <w:i/>
                <w:sz w:val="16"/>
                <w:szCs w:val="16"/>
              </w:rPr>
              <w:t>Walnym Zgromadzeniu</w:t>
            </w:r>
          </w:p>
        </w:tc>
        <w:tc>
          <w:tcPr>
            <w:tcW w:w="1989" w:type="dxa"/>
            <w:vAlign w:val="center"/>
          </w:tcPr>
          <w:p w14:paraId="5B07195A" w14:textId="77777777" w:rsidR="001F4E2B" w:rsidRDefault="001F4E2B" w:rsidP="001F4E2B">
            <w:pPr>
              <w:jc w:val="center"/>
              <w:rPr>
                <w:rFonts w:ascii="Calibri" w:hAnsi="Calibri"/>
                <w:sz w:val="22"/>
                <w:szCs w:val="22"/>
              </w:rPr>
            </w:pPr>
            <w:r w:rsidRPr="00583E31">
              <w:rPr>
                <w:rFonts w:ascii="Calibri" w:hAnsi="Calibri"/>
                <w:sz w:val="22"/>
                <w:szCs w:val="22"/>
              </w:rPr>
              <w:t>30,</w:t>
            </w:r>
            <w:r>
              <w:rPr>
                <w:rFonts w:ascii="Calibri" w:hAnsi="Calibri"/>
                <w:sz w:val="22"/>
                <w:szCs w:val="22"/>
              </w:rPr>
              <w:t>94</w:t>
            </w:r>
            <w:r w:rsidRPr="00583E31">
              <w:rPr>
                <w:rFonts w:ascii="Calibri" w:hAnsi="Calibri"/>
                <w:sz w:val="22"/>
                <w:szCs w:val="22"/>
              </w:rPr>
              <w:t>%</w:t>
            </w:r>
          </w:p>
          <w:p w14:paraId="3A64714E" w14:textId="77777777" w:rsidR="001F4E2B" w:rsidRPr="00583E31" w:rsidRDefault="001F4E2B" w:rsidP="001F4E2B">
            <w:pPr>
              <w:jc w:val="center"/>
              <w:rPr>
                <w:rFonts w:ascii="Calibri" w:hAnsi="Calibri" w:cs="Arial"/>
              </w:rPr>
            </w:pPr>
            <w:r w:rsidRPr="00165924">
              <w:rPr>
                <w:rFonts w:asciiTheme="minorHAnsi" w:hAnsiTheme="minorHAnsi"/>
                <w:i/>
                <w:sz w:val="16"/>
                <w:szCs w:val="16"/>
              </w:rPr>
              <w:t xml:space="preserve">zakaz wykonywania </w:t>
            </w:r>
            <w:r>
              <w:rPr>
                <w:rFonts w:asciiTheme="minorHAnsi" w:hAnsiTheme="minorHAnsi"/>
                <w:i/>
                <w:sz w:val="16"/>
                <w:szCs w:val="16"/>
              </w:rPr>
              <w:br/>
            </w:r>
            <w:r w:rsidRPr="00165924">
              <w:rPr>
                <w:rFonts w:asciiTheme="minorHAnsi" w:hAnsiTheme="minorHAnsi"/>
                <w:i/>
                <w:sz w:val="16"/>
                <w:szCs w:val="16"/>
              </w:rPr>
              <w:t xml:space="preserve">prawa głosu na </w:t>
            </w:r>
            <w:r>
              <w:rPr>
                <w:rFonts w:asciiTheme="minorHAnsi" w:hAnsiTheme="minorHAnsi"/>
                <w:i/>
                <w:sz w:val="16"/>
                <w:szCs w:val="16"/>
              </w:rPr>
              <w:br/>
            </w:r>
            <w:r w:rsidRPr="00165924">
              <w:rPr>
                <w:rFonts w:asciiTheme="minorHAnsi" w:hAnsiTheme="minorHAnsi"/>
                <w:i/>
                <w:sz w:val="16"/>
                <w:szCs w:val="16"/>
              </w:rPr>
              <w:t>Walnym Zgromadzeniu</w:t>
            </w:r>
          </w:p>
        </w:tc>
      </w:tr>
      <w:tr w:rsidR="001F4E2B" w:rsidRPr="00BF2319" w14:paraId="60BFAF2D" w14:textId="77777777" w:rsidTr="001F4E2B">
        <w:trPr>
          <w:jc w:val="center"/>
        </w:trPr>
        <w:tc>
          <w:tcPr>
            <w:tcW w:w="2127" w:type="dxa"/>
            <w:vAlign w:val="center"/>
          </w:tcPr>
          <w:p w14:paraId="6575FA05" w14:textId="77777777" w:rsidR="001F4E2B" w:rsidRDefault="001F4E2B" w:rsidP="001F4E2B">
            <w:pPr>
              <w:jc w:val="center"/>
              <w:rPr>
                <w:rFonts w:ascii="Calibri" w:hAnsi="Calibri" w:cs="Arial"/>
                <w:b/>
                <w:sz w:val="20"/>
                <w:szCs w:val="20"/>
              </w:rPr>
            </w:pPr>
          </w:p>
          <w:p w14:paraId="7A057CE3" w14:textId="77777777" w:rsidR="001F4E2B" w:rsidRPr="00033F0C" w:rsidRDefault="001F4E2B" w:rsidP="001F4E2B">
            <w:pPr>
              <w:jc w:val="center"/>
              <w:rPr>
                <w:rFonts w:ascii="Calibri" w:hAnsi="Calibri" w:cs="Arial"/>
                <w:b/>
                <w:sz w:val="20"/>
                <w:szCs w:val="20"/>
              </w:rPr>
            </w:pPr>
            <w:r>
              <w:rPr>
                <w:rFonts w:ascii="Calibri" w:hAnsi="Calibri" w:cs="Arial"/>
                <w:b/>
                <w:sz w:val="20"/>
                <w:szCs w:val="20"/>
              </w:rPr>
              <w:t>PETRO</w:t>
            </w:r>
            <w:r w:rsidRPr="00033F0C">
              <w:rPr>
                <w:rFonts w:ascii="Calibri" w:hAnsi="Calibri" w:cs="Arial"/>
                <w:b/>
                <w:sz w:val="20"/>
                <w:szCs w:val="20"/>
              </w:rPr>
              <w:t xml:space="preserve"> Mechanika </w:t>
            </w:r>
          </w:p>
          <w:p w14:paraId="3F94FFF5" w14:textId="77777777" w:rsidR="001F4E2B" w:rsidRDefault="001F4E2B" w:rsidP="001F4E2B">
            <w:pPr>
              <w:jc w:val="center"/>
              <w:rPr>
                <w:rFonts w:ascii="Calibri" w:hAnsi="Calibri" w:cs="Arial"/>
                <w:b/>
                <w:sz w:val="20"/>
                <w:szCs w:val="20"/>
              </w:rPr>
            </w:pPr>
            <w:r w:rsidRPr="00033F0C">
              <w:rPr>
                <w:rFonts w:ascii="Calibri" w:hAnsi="Calibri" w:cs="Arial"/>
                <w:b/>
                <w:sz w:val="20"/>
                <w:szCs w:val="20"/>
              </w:rPr>
              <w:t>S.A</w:t>
            </w:r>
            <w:r>
              <w:rPr>
                <w:rFonts w:ascii="Calibri" w:hAnsi="Calibri" w:cs="Arial"/>
                <w:b/>
                <w:sz w:val="20"/>
                <w:szCs w:val="20"/>
              </w:rPr>
              <w:t>. w upadłości</w:t>
            </w:r>
          </w:p>
          <w:p w14:paraId="522C3EA2" w14:textId="77777777" w:rsidR="001F4E2B" w:rsidRPr="00033F0C" w:rsidRDefault="001F4E2B" w:rsidP="001F4E2B">
            <w:pPr>
              <w:jc w:val="center"/>
              <w:rPr>
                <w:rFonts w:ascii="Calibri" w:hAnsi="Calibri" w:cs="Arial"/>
                <w:b/>
                <w:sz w:val="20"/>
                <w:szCs w:val="20"/>
              </w:rPr>
            </w:pPr>
          </w:p>
        </w:tc>
        <w:tc>
          <w:tcPr>
            <w:tcW w:w="1309" w:type="dxa"/>
            <w:vAlign w:val="center"/>
          </w:tcPr>
          <w:p w14:paraId="066BA486" w14:textId="77777777" w:rsidR="001F4E2B" w:rsidRPr="00445D42" w:rsidRDefault="001F4E2B" w:rsidP="001F4E2B">
            <w:pPr>
              <w:jc w:val="center"/>
              <w:rPr>
                <w:rFonts w:ascii="Calibri" w:hAnsi="Calibri" w:cs="Arial"/>
                <w:sz w:val="20"/>
                <w:szCs w:val="20"/>
              </w:rPr>
            </w:pPr>
            <w:r w:rsidRPr="00445D42">
              <w:rPr>
                <w:rFonts w:ascii="Calibri" w:hAnsi="Calibri" w:cs="Arial"/>
                <w:sz w:val="20"/>
                <w:szCs w:val="20"/>
              </w:rPr>
              <w:t>Zwykłe na okaziciela</w:t>
            </w:r>
          </w:p>
        </w:tc>
        <w:tc>
          <w:tcPr>
            <w:tcW w:w="1913" w:type="dxa"/>
            <w:vAlign w:val="center"/>
          </w:tcPr>
          <w:p w14:paraId="6A9349B9" w14:textId="77777777" w:rsidR="001F4E2B" w:rsidRPr="003416C3" w:rsidRDefault="001F4E2B" w:rsidP="001F4E2B">
            <w:pPr>
              <w:jc w:val="center"/>
              <w:rPr>
                <w:rFonts w:ascii="Calibri" w:hAnsi="Calibri" w:cs="Arial"/>
              </w:rPr>
            </w:pPr>
            <w:r>
              <w:rPr>
                <w:rFonts w:ascii="Calibri" w:hAnsi="Calibri"/>
                <w:sz w:val="22"/>
                <w:szCs w:val="22"/>
              </w:rPr>
              <w:t>3.220.569</w:t>
            </w:r>
          </w:p>
        </w:tc>
        <w:tc>
          <w:tcPr>
            <w:tcW w:w="1989" w:type="dxa"/>
            <w:vAlign w:val="center"/>
          </w:tcPr>
          <w:p w14:paraId="2F801C05" w14:textId="77777777" w:rsidR="001F4E2B" w:rsidRPr="003416C3" w:rsidRDefault="001F4E2B" w:rsidP="001F4E2B">
            <w:pPr>
              <w:jc w:val="center"/>
              <w:rPr>
                <w:rFonts w:ascii="Calibri" w:hAnsi="Calibri" w:cs="Arial"/>
              </w:rPr>
            </w:pPr>
            <w:r>
              <w:rPr>
                <w:rFonts w:ascii="Calibri" w:hAnsi="Calibri"/>
                <w:sz w:val="22"/>
                <w:szCs w:val="22"/>
              </w:rPr>
              <w:t>12</w:t>
            </w:r>
            <w:r w:rsidRPr="003416C3">
              <w:rPr>
                <w:rFonts w:ascii="Calibri" w:hAnsi="Calibri"/>
                <w:sz w:val="22"/>
                <w:szCs w:val="22"/>
              </w:rPr>
              <w:t>,</w:t>
            </w:r>
            <w:r>
              <w:rPr>
                <w:rFonts w:ascii="Calibri" w:hAnsi="Calibri"/>
                <w:sz w:val="22"/>
                <w:szCs w:val="22"/>
              </w:rPr>
              <w:t>88</w:t>
            </w:r>
            <w:r w:rsidRPr="003416C3">
              <w:rPr>
                <w:rFonts w:ascii="Calibri" w:hAnsi="Calibri"/>
                <w:sz w:val="22"/>
                <w:szCs w:val="22"/>
              </w:rPr>
              <w:t>%</w:t>
            </w:r>
          </w:p>
        </w:tc>
      </w:tr>
      <w:tr w:rsidR="001F4E2B" w:rsidRPr="00BF2319" w14:paraId="1B4897AE" w14:textId="77777777" w:rsidTr="001F4E2B">
        <w:trPr>
          <w:jc w:val="center"/>
        </w:trPr>
        <w:tc>
          <w:tcPr>
            <w:tcW w:w="2127" w:type="dxa"/>
            <w:vAlign w:val="center"/>
          </w:tcPr>
          <w:p w14:paraId="34B03680" w14:textId="77777777" w:rsidR="001F4E2B" w:rsidRDefault="001F4E2B" w:rsidP="001F4E2B">
            <w:pPr>
              <w:jc w:val="center"/>
              <w:rPr>
                <w:rFonts w:ascii="Calibri" w:hAnsi="Calibri" w:cs="Arial"/>
                <w:b/>
                <w:sz w:val="20"/>
                <w:szCs w:val="20"/>
              </w:rPr>
            </w:pPr>
          </w:p>
          <w:p w14:paraId="6727AE94" w14:textId="77777777" w:rsidR="001F4E2B" w:rsidRDefault="001F4E2B" w:rsidP="001F4E2B">
            <w:pPr>
              <w:jc w:val="center"/>
              <w:rPr>
                <w:rFonts w:ascii="Calibri" w:hAnsi="Calibri" w:cs="Arial"/>
                <w:b/>
                <w:sz w:val="20"/>
                <w:szCs w:val="20"/>
              </w:rPr>
            </w:pPr>
            <w:r>
              <w:rPr>
                <w:rFonts w:ascii="Calibri" w:hAnsi="Calibri" w:cs="Arial"/>
                <w:b/>
                <w:sz w:val="20"/>
                <w:szCs w:val="20"/>
              </w:rPr>
              <w:t>ALTUS TFI</w:t>
            </w:r>
          </w:p>
          <w:p w14:paraId="78615B0C" w14:textId="77777777" w:rsidR="001F4E2B" w:rsidRDefault="001F4E2B" w:rsidP="001F4E2B">
            <w:pPr>
              <w:jc w:val="center"/>
              <w:rPr>
                <w:rFonts w:ascii="Calibri" w:hAnsi="Calibri" w:cs="Arial"/>
                <w:b/>
                <w:sz w:val="20"/>
                <w:szCs w:val="20"/>
              </w:rPr>
            </w:pPr>
            <w:r>
              <w:rPr>
                <w:rFonts w:ascii="Calibri" w:hAnsi="Calibri" w:cs="Arial"/>
                <w:b/>
                <w:sz w:val="20"/>
                <w:szCs w:val="20"/>
              </w:rPr>
              <w:t>S.A.</w:t>
            </w:r>
          </w:p>
          <w:p w14:paraId="49EEE228" w14:textId="77777777" w:rsidR="001F4E2B" w:rsidRPr="00033F0C" w:rsidRDefault="001F4E2B" w:rsidP="001F4E2B">
            <w:pPr>
              <w:jc w:val="center"/>
              <w:rPr>
                <w:rFonts w:ascii="Calibri" w:hAnsi="Calibri" w:cs="Arial"/>
                <w:b/>
                <w:sz w:val="20"/>
                <w:szCs w:val="20"/>
              </w:rPr>
            </w:pPr>
          </w:p>
        </w:tc>
        <w:tc>
          <w:tcPr>
            <w:tcW w:w="1309" w:type="dxa"/>
            <w:vAlign w:val="center"/>
          </w:tcPr>
          <w:p w14:paraId="6C66E9AD" w14:textId="77777777" w:rsidR="001F4E2B" w:rsidRPr="00445D42" w:rsidRDefault="001F4E2B" w:rsidP="001F4E2B">
            <w:pPr>
              <w:jc w:val="center"/>
              <w:rPr>
                <w:rFonts w:ascii="Calibri" w:hAnsi="Calibri" w:cs="Arial"/>
                <w:sz w:val="20"/>
                <w:szCs w:val="20"/>
              </w:rPr>
            </w:pPr>
            <w:r w:rsidRPr="00445D42">
              <w:rPr>
                <w:rFonts w:ascii="Calibri" w:hAnsi="Calibri" w:cs="Arial"/>
                <w:sz w:val="20"/>
                <w:szCs w:val="20"/>
              </w:rPr>
              <w:t>Zwykłe na okaziciela</w:t>
            </w:r>
          </w:p>
        </w:tc>
        <w:tc>
          <w:tcPr>
            <w:tcW w:w="1913" w:type="dxa"/>
            <w:vAlign w:val="center"/>
          </w:tcPr>
          <w:p w14:paraId="431F872F" w14:textId="77777777" w:rsidR="001F4E2B" w:rsidRPr="003416C3" w:rsidRDefault="001F4E2B" w:rsidP="001F4E2B">
            <w:pPr>
              <w:jc w:val="center"/>
              <w:rPr>
                <w:rFonts w:ascii="Calibri" w:hAnsi="Calibri" w:cs="Arial"/>
              </w:rPr>
            </w:pPr>
            <w:r>
              <w:rPr>
                <w:rFonts w:ascii="Calibri" w:hAnsi="Calibri"/>
                <w:sz w:val="22"/>
                <w:szCs w:val="22"/>
              </w:rPr>
              <w:t>2.286.546</w:t>
            </w:r>
          </w:p>
        </w:tc>
        <w:tc>
          <w:tcPr>
            <w:tcW w:w="1989" w:type="dxa"/>
            <w:vAlign w:val="center"/>
          </w:tcPr>
          <w:p w14:paraId="2B92014C" w14:textId="77777777" w:rsidR="001F4E2B" w:rsidRPr="003416C3" w:rsidRDefault="001F4E2B" w:rsidP="001F4E2B">
            <w:pPr>
              <w:jc w:val="center"/>
              <w:rPr>
                <w:rFonts w:ascii="Calibri" w:hAnsi="Calibri" w:cs="Arial"/>
              </w:rPr>
            </w:pPr>
            <w:r>
              <w:rPr>
                <w:rFonts w:ascii="Calibri" w:hAnsi="Calibri"/>
                <w:sz w:val="22"/>
                <w:szCs w:val="22"/>
              </w:rPr>
              <w:t>9,14</w:t>
            </w:r>
            <w:r w:rsidRPr="003416C3">
              <w:rPr>
                <w:rFonts w:ascii="Calibri" w:hAnsi="Calibri"/>
                <w:sz w:val="22"/>
                <w:szCs w:val="22"/>
              </w:rPr>
              <w:t>%</w:t>
            </w:r>
          </w:p>
        </w:tc>
      </w:tr>
    </w:tbl>
    <w:p w14:paraId="4AEFA43C" w14:textId="77777777" w:rsidR="001F4E2B" w:rsidRPr="00165924" w:rsidRDefault="001F4E2B" w:rsidP="001F4E2B">
      <w:pPr>
        <w:ind w:left="851"/>
        <w:jc w:val="both"/>
        <w:rPr>
          <w:rFonts w:ascii="Calibri" w:hAnsi="Calibri"/>
          <w:i/>
          <w:sz w:val="10"/>
          <w:szCs w:val="10"/>
        </w:rPr>
      </w:pPr>
    </w:p>
    <w:p w14:paraId="7CEA56FC" w14:textId="4E038058" w:rsidR="001B4DB5" w:rsidRPr="0045306E" w:rsidRDefault="001F4E2B" w:rsidP="001F4E2B">
      <w:pPr>
        <w:ind w:left="851"/>
        <w:jc w:val="both"/>
        <w:rPr>
          <w:rFonts w:ascii="Calibri" w:hAnsi="Calibri" w:cs="Arial"/>
          <w:caps/>
          <w:sz w:val="2"/>
          <w:szCs w:val="2"/>
        </w:rPr>
      </w:pPr>
      <w:r w:rsidRPr="00165924">
        <w:rPr>
          <w:rFonts w:ascii="Calibri" w:hAnsi="Calibri"/>
          <w:i/>
          <w:sz w:val="18"/>
          <w:szCs w:val="18"/>
        </w:rPr>
        <w:t>*</w:t>
      </w:r>
      <w:r>
        <w:rPr>
          <w:rFonts w:ascii="Calibri" w:hAnsi="Calibri"/>
          <w:i/>
          <w:sz w:val="18"/>
          <w:szCs w:val="18"/>
        </w:rPr>
        <w:t xml:space="preserve"> brak informacji od akcjonariusza. Stan na bazie rejestracji na ZWZ na dzień 8 sierpnia 2016r.</w:t>
      </w:r>
    </w:p>
    <w:p w14:paraId="4518038C" w14:textId="77777777" w:rsidR="00E5671C" w:rsidRPr="001D361F" w:rsidRDefault="00B732D8" w:rsidP="0060058D">
      <w:pPr>
        <w:tabs>
          <w:tab w:val="left" w:pos="540"/>
        </w:tabs>
        <w:ind w:left="540" w:hanging="540"/>
        <w:jc w:val="both"/>
        <w:rPr>
          <w:rFonts w:ascii="Calibri" w:hAnsi="Calibri"/>
          <w:b/>
          <w:caps/>
        </w:rPr>
      </w:pPr>
      <w:r w:rsidRPr="00360EFC">
        <w:rPr>
          <w:rFonts w:ascii="Calibri" w:hAnsi="Calibri" w:cs="Arial"/>
          <w:caps/>
        </w:rPr>
        <w:lastRenderedPageBreak/>
        <w:t>6</w:t>
      </w:r>
      <w:r w:rsidR="0016389B" w:rsidRPr="00360EFC">
        <w:rPr>
          <w:rFonts w:ascii="Calibri" w:hAnsi="Calibri" w:cs="Arial"/>
          <w:caps/>
        </w:rPr>
        <w:t>.</w:t>
      </w:r>
      <w:r w:rsidR="0016389B" w:rsidRPr="00360EFC">
        <w:rPr>
          <w:rFonts w:ascii="Calibri" w:hAnsi="Calibri" w:cs="Arial"/>
          <w:b/>
          <w:caps/>
        </w:rPr>
        <w:tab/>
      </w:r>
      <w:r w:rsidR="00E5671C" w:rsidRPr="00360EFC">
        <w:rPr>
          <w:rFonts w:ascii="Calibri" w:hAnsi="Calibri" w:cs="Arial"/>
          <w:b/>
          <w:caps/>
        </w:rPr>
        <w:t>wskazanie postępowań toczących się przed sądem, organem właściwym dla postępowania arbitrażowego lub organem administracji publicznej,</w:t>
      </w:r>
      <w:r w:rsidR="0060058D" w:rsidRPr="00360EFC">
        <w:rPr>
          <w:rFonts w:ascii="Calibri" w:hAnsi="Calibri" w:cs="Arial"/>
          <w:b/>
          <w:caps/>
        </w:rPr>
        <w:t xml:space="preserve"> których wartość stanowi co najmniej 10 % kapitałów własnych emitenta:</w:t>
      </w:r>
    </w:p>
    <w:p w14:paraId="454CF165" w14:textId="77777777" w:rsidR="00072BEC" w:rsidRPr="001D361F" w:rsidRDefault="00072BEC" w:rsidP="00E5671C">
      <w:pPr>
        <w:rPr>
          <w:rFonts w:ascii="Calibri" w:hAnsi="Calibri"/>
          <w:b/>
          <w:caps/>
        </w:rPr>
      </w:pPr>
    </w:p>
    <w:p w14:paraId="33D579DF" w14:textId="77777777" w:rsidR="00E5671C" w:rsidRPr="001D361F" w:rsidRDefault="00E5671C" w:rsidP="0066790E">
      <w:pPr>
        <w:spacing w:line="360" w:lineRule="auto"/>
        <w:ind w:firstLine="540"/>
        <w:jc w:val="both"/>
        <w:rPr>
          <w:rFonts w:ascii="Calibri" w:hAnsi="Calibri"/>
          <w:sz w:val="22"/>
          <w:szCs w:val="22"/>
        </w:rPr>
      </w:pPr>
      <w:r w:rsidRPr="001D361F">
        <w:rPr>
          <w:rFonts w:ascii="Calibri" w:hAnsi="Calibri"/>
          <w:sz w:val="22"/>
          <w:szCs w:val="22"/>
        </w:rPr>
        <w:t xml:space="preserve">Na dzień </w:t>
      </w:r>
      <w:r w:rsidR="002C75D6" w:rsidRPr="001D361F">
        <w:rPr>
          <w:rFonts w:ascii="Calibri" w:hAnsi="Calibri"/>
          <w:sz w:val="22"/>
          <w:szCs w:val="22"/>
        </w:rPr>
        <w:t>30</w:t>
      </w:r>
      <w:r w:rsidRPr="001D361F">
        <w:rPr>
          <w:rFonts w:ascii="Calibri" w:hAnsi="Calibri"/>
          <w:sz w:val="22"/>
          <w:szCs w:val="22"/>
        </w:rPr>
        <w:t xml:space="preserve"> czerwca 20</w:t>
      </w:r>
      <w:r w:rsidR="00A4721A" w:rsidRPr="001D361F">
        <w:rPr>
          <w:rFonts w:ascii="Calibri" w:hAnsi="Calibri"/>
          <w:sz w:val="22"/>
          <w:szCs w:val="22"/>
        </w:rPr>
        <w:t>1</w:t>
      </w:r>
      <w:r w:rsidR="00360EFC">
        <w:rPr>
          <w:rFonts w:ascii="Calibri" w:hAnsi="Calibri"/>
          <w:sz w:val="22"/>
          <w:szCs w:val="22"/>
        </w:rPr>
        <w:t>6</w:t>
      </w:r>
      <w:r w:rsidRPr="001D361F">
        <w:rPr>
          <w:rFonts w:ascii="Calibri" w:hAnsi="Calibri"/>
          <w:sz w:val="22"/>
          <w:szCs w:val="22"/>
        </w:rPr>
        <w:t xml:space="preserve"> r</w:t>
      </w:r>
      <w:r w:rsidR="00A4721A" w:rsidRPr="001D361F">
        <w:rPr>
          <w:rFonts w:ascii="Calibri" w:hAnsi="Calibri"/>
          <w:sz w:val="22"/>
          <w:szCs w:val="22"/>
        </w:rPr>
        <w:t>oku</w:t>
      </w:r>
      <w:r w:rsidR="00767B06" w:rsidRPr="001D361F">
        <w:rPr>
          <w:rFonts w:ascii="Calibri" w:hAnsi="Calibri"/>
          <w:sz w:val="22"/>
          <w:szCs w:val="22"/>
        </w:rPr>
        <w:t xml:space="preserve"> w podmiotach Grupy Kapitałowej </w:t>
      </w:r>
      <w:r w:rsidR="002E4153">
        <w:rPr>
          <w:rFonts w:ascii="Calibri" w:hAnsi="Calibri"/>
          <w:sz w:val="22"/>
          <w:szCs w:val="22"/>
        </w:rPr>
        <w:t>CHEMOSERVIS-DWORY</w:t>
      </w:r>
      <w:r w:rsidRPr="001D361F">
        <w:rPr>
          <w:rFonts w:ascii="Calibri" w:hAnsi="Calibri"/>
          <w:sz w:val="22"/>
          <w:szCs w:val="22"/>
        </w:rPr>
        <w:t xml:space="preserve"> </w:t>
      </w:r>
      <w:r w:rsidR="00360EFC">
        <w:rPr>
          <w:rFonts w:ascii="Calibri" w:hAnsi="Calibri"/>
          <w:sz w:val="22"/>
          <w:szCs w:val="22"/>
        </w:rPr>
        <w:br/>
      </w:r>
      <w:r w:rsidRPr="001D361F">
        <w:rPr>
          <w:rFonts w:ascii="Calibri" w:hAnsi="Calibri"/>
          <w:sz w:val="22"/>
          <w:szCs w:val="22"/>
        </w:rPr>
        <w:t xml:space="preserve">nie toczyły się postępowania przed sądem, organem właściwym dla postępowania arbitrażowego </w:t>
      </w:r>
      <w:r w:rsidR="001A3055" w:rsidRPr="001D361F">
        <w:rPr>
          <w:rFonts w:ascii="Calibri" w:hAnsi="Calibri"/>
          <w:sz w:val="22"/>
          <w:szCs w:val="22"/>
        </w:rPr>
        <w:br/>
      </w:r>
      <w:r w:rsidRPr="001D361F">
        <w:rPr>
          <w:rFonts w:ascii="Calibri" w:hAnsi="Calibri"/>
          <w:sz w:val="22"/>
          <w:szCs w:val="22"/>
        </w:rPr>
        <w:t>lub organem administracji publicznej,</w:t>
      </w:r>
      <w:r w:rsidR="008637AC" w:rsidRPr="001D361F">
        <w:rPr>
          <w:rFonts w:ascii="Calibri" w:hAnsi="Calibri"/>
          <w:sz w:val="22"/>
          <w:szCs w:val="22"/>
        </w:rPr>
        <w:t xml:space="preserve"> dotyczące zobowiązań oraz wierzytelności,</w:t>
      </w:r>
      <w:r w:rsidRPr="001D361F">
        <w:rPr>
          <w:rFonts w:ascii="Calibri" w:hAnsi="Calibri"/>
          <w:sz w:val="22"/>
          <w:szCs w:val="22"/>
        </w:rPr>
        <w:t xml:space="preserve"> których wartość stanowiłaby</w:t>
      </w:r>
      <w:r w:rsidR="00E96893" w:rsidRPr="001D361F">
        <w:rPr>
          <w:rFonts w:ascii="Calibri" w:hAnsi="Calibri"/>
          <w:sz w:val="22"/>
          <w:szCs w:val="22"/>
        </w:rPr>
        <w:t xml:space="preserve">, </w:t>
      </w:r>
      <w:r w:rsidRPr="001D361F">
        <w:rPr>
          <w:rFonts w:ascii="Calibri" w:hAnsi="Calibri"/>
          <w:sz w:val="22"/>
          <w:szCs w:val="22"/>
        </w:rPr>
        <w:t>co na</w:t>
      </w:r>
      <w:r w:rsidR="00F362EE" w:rsidRPr="001D361F">
        <w:rPr>
          <w:rFonts w:ascii="Calibri" w:hAnsi="Calibri"/>
          <w:sz w:val="22"/>
          <w:szCs w:val="22"/>
        </w:rPr>
        <w:t>jmniej 10 % kapitałów własnych E</w:t>
      </w:r>
      <w:r w:rsidRPr="001D361F">
        <w:rPr>
          <w:rFonts w:ascii="Calibri" w:hAnsi="Calibri"/>
          <w:sz w:val="22"/>
          <w:szCs w:val="22"/>
        </w:rPr>
        <w:t xml:space="preserve">mitenta. </w:t>
      </w:r>
    </w:p>
    <w:p w14:paraId="1FB1331C" w14:textId="77777777" w:rsidR="00E5671C" w:rsidRPr="001D361F" w:rsidRDefault="00AB30C7" w:rsidP="00D4351D">
      <w:pPr>
        <w:pStyle w:val="p1"/>
        <w:tabs>
          <w:tab w:val="left" w:pos="540"/>
        </w:tabs>
        <w:jc w:val="both"/>
        <w:rPr>
          <w:rFonts w:ascii="Calibri" w:hAnsi="Calibri" w:cs="Arial"/>
          <w:b/>
          <w:caps/>
        </w:rPr>
      </w:pPr>
      <w:r w:rsidRPr="00360EFC">
        <w:rPr>
          <w:rFonts w:ascii="Calibri" w:hAnsi="Calibri" w:cs="Arial"/>
          <w:caps/>
        </w:rPr>
        <w:t>7</w:t>
      </w:r>
      <w:r w:rsidR="00CE4CDB" w:rsidRPr="00360EFC">
        <w:rPr>
          <w:rFonts w:ascii="Calibri" w:hAnsi="Calibri" w:cs="Arial"/>
          <w:caps/>
        </w:rPr>
        <w:t>.</w:t>
      </w:r>
      <w:r w:rsidR="00CE4CDB" w:rsidRPr="00360EFC">
        <w:rPr>
          <w:rFonts w:ascii="Calibri" w:hAnsi="Calibri" w:cs="Arial"/>
          <w:b/>
          <w:caps/>
        </w:rPr>
        <w:tab/>
      </w:r>
      <w:r w:rsidR="00E5671C" w:rsidRPr="00360EFC">
        <w:rPr>
          <w:rFonts w:ascii="Calibri" w:hAnsi="Calibri" w:cs="Arial"/>
          <w:b/>
          <w:caps/>
        </w:rPr>
        <w:t xml:space="preserve">inne informacje, które zdaniem emitenta są istotne dla oceny  </w:t>
      </w:r>
      <w:r w:rsidR="00CE4CDB" w:rsidRPr="00360EFC">
        <w:rPr>
          <w:rFonts w:ascii="Calibri" w:hAnsi="Calibri" w:cs="Arial"/>
          <w:b/>
          <w:caps/>
        </w:rPr>
        <w:tab/>
      </w:r>
      <w:r w:rsidR="00E5671C" w:rsidRPr="00360EFC">
        <w:rPr>
          <w:rFonts w:ascii="Calibri" w:hAnsi="Calibri" w:cs="Arial"/>
          <w:b/>
          <w:caps/>
        </w:rPr>
        <w:t xml:space="preserve">sytuacji kadrowej, majątkowej, finansowej, wyniku finansowego i ich </w:t>
      </w:r>
      <w:r w:rsidR="00CE4CDB" w:rsidRPr="00360EFC">
        <w:rPr>
          <w:rFonts w:ascii="Calibri" w:hAnsi="Calibri" w:cs="Arial"/>
          <w:b/>
          <w:caps/>
        </w:rPr>
        <w:tab/>
      </w:r>
      <w:r w:rsidR="00E5671C" w:rsidRPr="00360EFC">
        <w:rPr>
          <w:rFonts w:ascii="Calibri" w:hAnsi="Calibri" w:cs="Arial"/>
          <w:b/>
          <w:caps/>
        </w:rPr>
        <w:t xml:space="preserve">zmian, oraz informacje, które są istotne dla oceny możliwości realizacji </w:t>
      </w:r>
      <w:r w:rsidR="00CE4CDB" w:rsidRPr="00360EFC">
        <w:rPr>
          <w:rFonts w:ascii="Calibri" w:hAnsi="Calibri" w:cs="Arial"/>
          <w:b/>
          <w:caps/>
        </w:rPr>
        <w:tab/>
      </w:r>
      <w:r w:rsidR="00E5671C" w:rsidRPr="00360EFC">
        <w:rPr>
          <w:rFonts w:ascii="Calibri" w:hAnsi="Calibri" w:cs="Arial"/>
          <w:b/>
          <w:caps/>
        </w:rPr>
        <w:t xml:space="preserve">zobowiązań przez </w:t>
      </w:r>
      <w:r w:rsidR="00767B06" w:rsidRPr="00360EFC">
        <w:rPr>
          <w:rFonts w:ascii="Calibri" w:hAnsi="Calibri" w:cs="Arial"/>
          <w:b/>
          <w:caps/>
        </w:rPr>
        <w:t>GRUP</w:t>
      </w:r>
      <w:r w:rsidR="00EF4B9B" w:rsidRPr="00360EFC">
        <w:rPr>
          <w:rFonts w:ascii="Calibri" w:hAnsi="Calibri" w:cs="Arial"/>
          <w:b/>
          <w:caps/>
        </w:rPr>
        <w:t>ę KAPITAŁOWą</w:t>
      </w:r>
      <w:r w:rsidR="0031729E" w:rsidRPr="00360EFC">
        <w:rPr>
          <w:rFonts w:ascii="Calibri" w:hAnsi="Calibri" w:cs="Arial"/>
          <w:b/>
          <w:caps/>
        </w:rPr>
        <w:t>.</w:t>
      </w:r>
    </w:p>
    <w:p w14:paraId="6C027D81" w14:textId="77777777" w:rsidR="00D4351D" w:rsidRPr="001D361F" w:rsidRDefault="00F559F9" w:rsidP="00D4351D">
      <w:pPr>
        <w:pStyle w:val="Zwykytekst"/>
        <w:tabs>
          <w:tab w:val="left" w:pos="540"/>
        </w:tabs>
        <w:spacing w:line="360" w:lineRule="auto"/>
        <w:jc w:val="both"/>
        <w:rPr>
          <w:rFonts w:ascii="Calibri" w:hAnsi="Calibri" w:cs="Arial"/>
          <w:sz w:val="22"/>
          <w:szCs w:val="22"/>
          <w:highlight w:val="yellow"/>
        </w:rPr>
      </w:pPr>
      <w:r w:rsidRPr="001D361F">
        <w:rPr>
          <w:rFonts w:ascii="Calibri" w:hAnsi="Calibri" w:cs="Arial"/>
          <w:color w:val="000080"/>
        </w:rPr>
        <w:tab/>
      </w:r>
      <w:r w:rsidR="00FF242A" w:rsidRPr="000E7C0A">
        <w:rPr>
          <w:rFonts w:ascii="Calibri" w:hAnsi="Calibri" w:cs="Arial"/>
          <w:sz w:val="22"/>
          <w:szCs w:val="22"/>
        </w:rPr>
        <w:t xml:space="preserve">Pozyskane przez </w:t>
      </w:r>
      <w:r w:rsidR="00767B06" w:rsidRPr="000E7C0A">
        <w:rPr>
          <w:rFonts w:ascii="Calibri" w:hAnsi="Calibri" w:cs="Arial"/>
          <w:sz w:val="22"/>
          <w:szCs w:val="22"/>
        </w:rPr>
        <w:t xml:space="preserve">Grupę </w:t>
      </w:r>
      <w:r w:rsidR="002E4153" w:rsidRPr="000E7C0A">
        <w:rPr>
          <w:rFonts w:ascii="Calibri" w:hAnsi="Calibri" w:cs="Arial"/>
          <w:sz w:val="22"/>
          <w:szCs w:val="22"/>
        </w:rPr>
        <w:t>CHEMOSERVIS-DWORY</w:t>
      </w:r>
      <w:r w:rsidR="00FF242A" w:rsidRPr="000E7C0A">
        <w:rPr>
          <w:rFonts w:ascii="Calibri" w:hAnsi="Calibri" w:cs="Arial"/>
          <w:sz w:val="22"/>
          <w:szCs w:val="22"/>
        </w:rPr>
        <w:t xml:space="preserve"> zlecenia i podpisane umowy zapewniły przychody na poziomie niezbędnym dla uzyskania dodatniego wyniku finansowego i prawidłowego funkcjonowania </w:t>
      </w:r>
      <w:r w:rsidR="00767B06" w:rsidRPr="000E7C0A">
        <w:rPr>
          <w:rFonts w:ascii="Calibri" w:hAnsi="Calibri" w:cs="Arial"/>
          <w:sz w:val="22"/>
          <w:szCs w:val="22"/>
        </w:rPr>
        <w:t>Grupy</w:t>
      </w:r>
      <w:r w:rsidR="00FF242A" w:rsidRPr="000E7C0A">
        <w:rPr>
          <w:rFonts w:ascii="Calibri" w:hAnsi="Calibri" w:cs="Arial"/>
          <w:sz w:val="22"/>
          <w:szCs w:val="22"/>
        </w:rPr>
        <w:t xml:space="preserve"> w pierwszym półroczu</w:t>
      </w:r>
      <w:r w:rsidR="0091506F" w:rsidRPr="000E7C0A">
        <w:rPr>
          <w:rFonts w:ascii="Calibri" w:hAnsi="Calibri" w:cs="Arial"/>
          <w:sz w:val="22"/>
          <w:szCs w:val="22"/>
        </w:rPr>
        <w:t xml:space="preserve"> 201</w:t>
      </w:r>
      <w:r w:rsidR="000E7C0A">
        <w:rPr>
          <w:rFonts w:ascii="Calibri" w:hAnsi="Calibri" w:cs="Arial"/>
          <w:sz w:val="22"/>
          <w:szCs w:val="22"/>
        </w:rPr>
        <w:t>6</w:t>
      </w:r>
      <w:r w:rsidR="0091506F" w:rsidRPr="000E7C0A">
        <w:rPr>
          <w:rFonts w:ascii="Calibri" w:hAnsi="Calibri" w:cs="Arial"/>
          <w:sz w:val="22"/>
          <w:szCs w:val="22"/>
        </w:rPr>
        <w:t xml:space="preserve"> roku</w:t>
      </w:r>
      <w:r w:rsidR="00FF242A" w:rsidRPr="000E7C0A">
        <w:rPr>
          <w:rFonts w:ascii="Calibri" w:hAnsi="Calibri" w:cs="Arial"/>
          <w:sz w:val="22"/>
          <w:szCs w:val="22"/>
        </w:rPr>
        <w:t>.</w:t>
      </w:r>
    </w:p>
    <w:p w14:paraId="3695B0E1" w14:textId="77777777" w:rsidR="008907B7" w:rsidRPr="000E7C0A" w:rsidRDefault="008907B7" w:rsidP="00D4351D">
      <w:pPr>
        <w:pStyle w:val="Zwykytekst"/>
        <w:tabs>
          <w:tab w:val="left" w:pos="540"/>
        </w:tabs>
        <w:spacing w:line="360" w:lineRule="auto"/>
        <w:jc w:val="both"/>
        <w:rPr>
          <w:rFonts w:ascii="Calibri" w:hAnsi="Calibri" w:cs="Arial"/>
          <w:sz w:val="24"/>
          <w:szCs w:val="24"/>
        </w:rPr>
      </w:pPr>
    </w:p>
    <w:p w14:paraId="27AF7AB0" w14:textId="77777777" w:rsidR="00FF242A" w:rsidRPr="000E7C0A" w:rsidRDefault="008907B7" w:rsidP="008907B7">
      <w:pPr>
        <w:pStyle w:val="Zwykytekst"/>
        <w:tabs>
          <w:tab w:val="left" w:pos="540"/>
        </w:tabs>
        <w:spacing w:line="360" w:lineRule="auto"/>
        <w:jc w:val="both"/>
        <w:rPr>
          <w:rFonts w:ascii="Calibri" w:hAnsi="Calibri" w:cs="Arial"/>
          <w:sz w:val="24"/>
          <w:szCs w:val="24"/>
        </w:rPr>
      </w:pPr>
      <w:r w:rsidRPr="000E7C0A">
        <w:rPr>
          <w:rFonts w:ascii="Calibri" w:hAnsi="Calibri" w:cs="Arial"/>
          <w:sz w:val="24"/>
          <w:szCs w:val="24"/>
          <w:u w:val="single"/>
        </w:rPr>
        <w:t>W</w:t>
      </w:r>
      <w:r w:rsidR="00FF242A" w:rsidRPr="000E7C0A">
        <w:rPr>
          <w:rFonts w:ascii="Calibri" w:hAnsi="Calibri" w:cs="Arial"/>
          <w:sz w:val="24"/>
          <w:szCs w:val="24"/>
          <w:u w:val="single"/>
        </w:rPr>
        <w:t>ażniejsze kontrakty zawarte z kontrahentami</w:t>
      </w:r>
      <w:r w:rsidR="00B45A21" w:rsidRPr="000E7C0A">
        <w:rPr>
          <w:rFonts w:ascii="Calibri" w:hAnsi="Calibri" w:cs="Arial"/>
          <w:sz w:val="24"/>
          <w:szCs w:val="24"/>
          <w:u w:val="single"/>
        </w:rPr>
        <w:t xml:space="preserve"> przez jednostkę dominującą:</w:t>
      </w:r>
    </w:p>
    <w:p w14:paraId="12026857" w14:textId="77777777" w:rsidR="000E7C0A" w:rsidRDefault="000E7C0A" w:rsidP="00D73705">
      <w:pPr>
        <w:pStyle w:val="Akapitzlist"/>
        <w:numPr>
          <w:ilvl w:val="0"/>
          <w:numId w:val="10"/>
        </w:numPr>
        <w:spacing w:line="360" w:lineRule="auto"/>
        <w:ind w:left="1134" w:right="-2" w:hanging="567"/>
        <w:jc w:val="both"/>
        <w:rPr>
          <w:rFonts w:asciiTheme="minorHAnsi" w:hAnsiTheme="minorHAnsi"/>
          <w:sz w:val="22"/>
          <w:szCs w:val="22"/>
        </w:rPr>
      </w:pPr>
      <w:r>
        <w:rPr>
          <w:rFonts w:asciiTheme="minorHAnsi" w:hAnsiTheme="minorHAnsi"/>
          <w:sz w:val="22"/>
          <w:szCs w:val="22"/>
        </w:rPr>
        <w:t xml:space="preserve">wykonanie robót w ramach zadania „Rozbudowa wraz z przebudową istniejącej </w:t>
      </w:r>
      <w:r>
        <w:rPr>
          <w:rFonts w:asciiTheme="minorHAnsi" w:hAnsiTheme="minorHAnsi"/>
          <w:sz w:val="22"/>
          <w:szCs w:val="22"/>
        </w:rPr>
        <w:br/>
        <w:t>hali magazynowej w Rybniku”</w:t>
      </w:r>
      <w:r w:rsidRPr="00584654">
        <w:rPr>
          <w:rFonts w:asciiTheme="minorHAnsi" w:hAnsiTheme="minorHAnsi"/>
          <w:sz w:val="22"/>
          <w:szCs w:val="22"/>
        </w:rPr>
        <w:t xml:space="preserve"> za wynagrodzeniem </w:t>
      </w:r>
      <w:r>
        <w:rPr>
          <w:rFonts w:asciiTheme="minorHAnsi" w:hAnsiTheme="minorHAnsi"/>
          <w:sz w:val="22"/>
          <w:szCs w:val="22"/>
        </w:rPr>
        <w:t>1</w:t>
      </w:r>
      <w:r w:rsidRPr="00584654">
        <w:rPr>
          <w:rFonts w:asciiTheme="minorHAnsi" w:hAnsiTheme="minorHAnsi"/>
          <w:sz w:val="22"/>
          <w:szCs w:val="22"/>
        </w:rPr>
        <w:t>.</w:t>
      </w:r>
      <w:r>
        <w:rPr>
          <w:rFonts w:asciiTheme="minorHAnsi" w:hAnsiTheme="minorHAnsi"/>
          <w:sz w:val="22"/>
          <w:szCs w:val="22"/>
        </w:rPr>
        <w:t>338.515,00</w:t>
      </w:r>
      <w:r w:rsidRPr="00584654">
        <w:rPr>
          <w:rFonts w:asciiTheme="minorHAnsi" w:hAnsiTheme="minorHAnsi"/>
          <w:sz w:val="22"/>
          <w:szCs w:val="22"/>
        </w:rPr>
        <w:t xml:space="preserve"> </w:t>
      </w:r>
      <w:r>
        <w:rPr>
          <w:rFonts w:asciiTheme="minorHAnsi" w:hAnsiTheme="minorHAnsi"/>
          <w:sz w:val="22"/>
          <w:szCs w:val="22"/>
        </w:rPr>
        <w:t>zł</w:t>
      </w:r>
      <w:r w:rsidRPr="00584654">
        <w:rPr>
          <w:rFonts w:asciiTheme="minorHAnsi" w:hAnsiTheme="minorHAnsi"/>
          <w:sz w:val="22"/>
          <w:szCs w:val="22"/>
        </w:rPr>
        <w:t xml:space="preserve"> + VAT dla </w:t>
      </w:r>
      <w:r>
        <w:rPr>
          <w:rFonts w:asciiTheme="minorHAnsi" w:hAnsiTheme="minorHAnsi"/>
          <w:sz w:val="22"/>
          <w:szCs w:val="22"/>
        </w:rPr>
        <w:br/>
      </w:r>
      <w:r w:rsidRPr="00584654">
        <w:rPr>
          <w:rFonts w:asciiTheme="minorHAnsi" w:hAnsiTheme="minorHAnsi"/>
          <w:sz w:val="22"/>
          <w:szCs w:val="22"/>
        </w:rPr>
        <w:t>P</w:t>
      </w:r>
      <w:r>
        <w:rPr>
          <w:rFonts w:asciiTheme="minorHAnsi" w:hAnsiTheme="minorHAnsi"/>
          <w:sz w:val="22"/>
          <w:szCs w:val="22"/>
        </w:rPr>
        <w:t>OWH Centrostal</w:t>
      </w:r>
      <w:r w:rsidRPr="00584654">
        <w:rPr>
          <w:rFonts w:asciiTheme="minorHAnsi" w:hAnsiTheme="minorHAnsi"/>
          <w:sz w:val="22"/>
          <w:szCs w:val="22"/>
        </w:rPr>
        <w:t xml:space="preserve"> S</w:t>
      </w:r>
      <w:r>
        <w:rPr>
          <w:rFonts w:asciiTheme="minorHAnsi" w:hAnsiTheme="minorHAnsi"/>
          <w:sz w:val="22"/>
          <w:szCs w:val="22"/>
        </w:rPr>
        <w:t>p</w:t>
      </w:r>
      <w:r w:rsidRPr="00584654">
        <w:rPr>
          <w:rFonts w:asciiTheme="minorHAnsi" w:hAnsiTheme="minorHAnsi"/>
          <w:sz w:val="22"/>
          <w:szCs w:val="22"/>
        </w:rPr>
        <w:t>.</w:t>
      </w:r>
      <w:r>
        <w:rPr>
          <w:rFonts w:asciiTheme="minorHAnsi" w:hAnsiTheme="minorHAnsi"/>
          <w:sz w:val="22"/>
          <w:szCs w:val="22"/>
        </w:rPr>
        <w:t xml:space="preserve"> z o.o</w:t>
      </w:r>
      <w:r w:rsidRPr="00584654">
        <w:rPr>
          <w:rFonts w:asciiTheme="minorHAnsi" w:hAnsiTheme="minorHAnsi"/>
          <w:sz w:val="22"/>
          <w:szCs w:val="22"/>
        </w:rPr>
        <w:t>.</w:t>
      </w:r>
      <w:r>
        <w:rPr>
          <w:rFonts w:asciiTheme="minorHAnsi" w:hAnsiTheme="minorHAnsi"/>
          <w:sz w:val="22"/>
          <w:szCs w:val="22"/>
        </w:rPr>
        <w:t>,</w:t>
      </w:r>
    </w:p>
    <w:p w14:paraId="01698024" w14:textId="77777777" w:rsidR="000E7C0A" w:rsidRDefault="000E7C0A" w:rsidP="00D73705">
      <w:pPr>
        <w:pStyle w:val="Akapitzlist"/>
        <w:numPr>
          <w:ilvl w:val="0"/>
          <w:numId w:val="10"/>
        </w:numPr>
        <w:spacing w:line="360" w:lineRule="auto"/>
        <w:ind w:left="1134" w:right="-2" w:hanging="567"/>
        <w:jc w:val="both"/>
        <w:rPr>
          <w:rFonts w:asciiTheme="minorHAnsi" w:hAnsiTheme="minorHAnsi"/>
          <w:sz w:val="22"/>
          <w:szCs w:val="22"/>
        </w:rPr>
      </w:pPr>
      <w:r>
        <w:rPr>
          <w:rFonts w:asciiTheme="minorHAnsi" w:hAnsiTheme="minorHAnsi"/>
          <w:sz w:val="22"/>
          <w:szCs w:val="22"/>
        </w:rPr>
        <w:t xml:space="preserve">wykonanie robót montażowych i elektryczno-pomiarowych za wynagrodzeniem 199.500,00 zł + VAT dla </w:t>
      </w:r>
      <w:proofErr w:type="spellStart"/>
      <w:r>
        <w:rPr>
          <w:rFonts w:asciiTheme="minorHAnsi" w:hAnsiTheme="minorHAnsi"/>
          <w:sz w:val="22"/>
          <w:szCs w:val="22"/>
        </w:rPr>
        <w:t>Synthos</w:t>
      </w:r>
      <w:proofErr w:type="spellEnd"/>
      <w:r>
        <w:rPr>
          <w:rFonts w:asciiTheme="minorHAnsi" w:hAnsiTheme="minorHAnsi"/>
          <w:sz w:val="22"/>
          <w:szCs w:val="22"/>
        </w:rPr>
        <w:t xml:space="preserve"> S.A.,</w:t>
      </w:r>
    </w:p>
    <w:p w14:paraId="476590D6" w14:textId="77777777" w:rsidR="000E7C0A" w:rsidRDefault="000E7C0A" w:rsidP="00D73705">
      <w:pPr>
        <w:pStyle w:val="Akapitzlist"/>
        <w:numPr>
          <w:ilvl w:val="0"/>
          <w:numId w:val="10"/>
        </w:numPr>
        <w:spacing w:line="360" w:lineRule="auto"/>
        <w:ind w:left="1134" w:right="-2" w:hanging="567"/>
        <w:jc w:val="both"/>
        <w:rPr>
          <w:rFonts w:asciiTheme="minorHAnsi" w:hAnsiTheme="minorHAnsi"/>
          <w:sz w:val="22"/>
          <w:szCs w:val="22"/>
        </w:rPr>
      </w:pPr>
      <w:r>
        <w:rPr>
          <w:rFonts w:asciiTheme="minorHAnsi" w:hAnsiTheme="minorHAnsi"/>
          <w:sz w:val="22"/>
          <w:szCs w:val="22"/>
        </w:rPr>
        <w:t xml:space="preserve">wykonanie i zmontowanie zasuw DN 900 PN16 za wynagrodzeniem 105.200,00 zł </w:t>
      </w:r>
      <w:r>
        <w:rPr>
          <w:rFonts w:asciiTheme="minorHAnsi" w:hAnsiTheme="minorHAnsi"/>
          <w:sz w:val="22"/>
          <w:szCs w:val="22"/>
        </w:rPr>
        <w:br/>
        <w:t xml:space="preserve">+ VAT dla Armatury </w:t>
      </w:r>
      <w:proofErr w:type="spellStart"/>
      <w:r>
        <w:rPr>
          <w:rFonts w:asciiTheme="minorHAnsi" w:hAnsiTheme="minorHAnsi"/>
          <w:sz w:val="22"/>
          <w:szCs w:val="22"/>
        </w:rPr>
        <w:t>Group</w:t>
      </w:r>
      <w:proofErr w:type="spellEnd"/>
      <w:r>
        <w:rPr>
          <w:rFonts w:asciiTheme="minorHAnsi" w:hAnsiTheme="minorHAnsi"/>
          <w:sz w:val="22"/>
          <w:szCs w:val="22"/>
        </w:rPr>
        <w:t xml:space="preserve"> </w:t>
      </w:r>
      <w:proofErr w:type="spellStart"/>
      <w:r>
        <w:rPr>
          <w:rFonts w:asciiTheme="minorHAnsi" w:hAnsiTheme="minorHAnsi"/>
          <w:sz w:val="22"/>
          <w:szCs w:val="22"/>
        </w:rPr>
        <w:t>a.s</w:t>
      </w:r>
      <w:proofErr w:type="spellEnd"/>
      <w:r>
        <w:rPr>
          <w:rFonts w:asciiTheme="minorHAnsi" w:hAnsiTheme="minorHAnsi"/>
          <w:sz w:val="22"/>
          <w:szCs w:val="22"/>
        </w:rPr>
        <w:t>.,</w:t>
      </w:r>
    </w:p>
    <w:p w14:paraId="1E723E95" w14:textId="77777777" w:rsidR="000E7C0A" w:rsidRPr="000E7C0A" w:rsidRDefault="000E7C0A" w:rsidP="00D73705">
      <w:pPr>
        <w:pStyle w:val="Akapitzlist"/>
        <w:numPr>
          <w:ilvl w:val="0"/>
          <w:numId w:val="10"/>
        </w:numPr>
        <w:spacing w:line="360" w:lineRule="auto"/>
        <w:ind w:left="1134" w:right="-2" w:hanging="567"/>
        <w:jc w:val="both"/>
        <w:rPr>
          <w:rFonts w:asciiTheme="minorHAnsi" w:hAnsiTheme="minorHAnsi"/>
          <w:sz w:val="22"/>
          <w:szCs w:val="22"/>
        </w:rPr>
      </w:pPr>
      <w:r w:rsidRPr="000E7C0A">
        <w:rPr>
          <w:rFonts w:asciiTheme="minorHAnsi" w:hAnsiTheme="minorHAnsi"/>
          <w:sz w:val="22"/>
          <w:szCs w:val="22"/>
        </w:rPr>
        <w:t xml:space="preserve">wykonanie zasilania w energię elektryczną placu budowy w ramach projektu „Demonstracja technologii wytwarzania innowacyjnych materiałów polistyrenowych </w:t>
      </w:r>
      <w:r>
        <w:rPr>
          <w:rFonts w:asciiTheme="minorHAnsi" w:hAnsiTheme="minorHAnsi"/>
          <w:sz w:val="22"/>
          <w:szCs w:val="22"/>
        </w:rPr>
        <w:br/>
      </w:r>
      <w:r w:rsidRPr="000E7C0A">
        <w:rPr>
          <w:rFonts w:asciiTheme="minorHAnsi" w:hAnsiTheme="minorHAnsi"/>
          <w:sz w:val="22"/>
          <w:szCs w:val="22"/>
        </w:rPr>
        <w:t xml:space="preserve">z dodatkiem </w:t>
      </w:r>
      <w:proofErr w:type="spellStart"/>
      <w:r w:rsidRPr="000E7C0A">
        <w:rPr>
          <w:rFonts w:asciiTheme="minorHAnsi" w:hAnsiTheme="minorHAnsi"/>
          <w:sz w:val="22"/>
          <w:szCs w:val="22"/>
        </w:rPr>
        <w:t>atermicznym</w:t>
      </w:r>
      <w:proofErr w:type="spellEnd"/>
      <w:r w:rsidRPr="000E7C0A">
        <w:rPr>
          <w:rFonts w:asciiTheme="minorHAnsi" w:hAnsiTheme="minorHAnsi"/>
          <w:sz w:val="22"/>
          <w:szCs w:val="22"/>
        </w:rPr>
        <w:t xml:space="preserve"> o obniżonym współczynniku przewodzenia cieplnego” </w:t>
      </w:r>
      <w:r>
        <w:rPr>
          <w:rFonts w:asciiTheme="minorHAnsi" w:hAnsiTheme="minorHAnsi"/>
          <w:sz w:val="22"/>
          <w:szCs w:val="22"/>
        </w:rPr>
        <w:br/>
      </w:r>
      <w:r w:rsidRPr="000E7C0A">
        <w:rPr>
          <w:rFonts w:asciiTheme="minorHAnsi" w:hAnsiTheme="minorHAnsi"/>
          <w:sz w:val="22"/>
          <w:szCs w:val="22"/>
        </w:rPr>
        <w:t>za wynagrodzeniem 104.000,00 zł + VAT.</w:t>
      </w:r>
    </w:p>
    <w:p w14:paraId="1FD79B18" w14:textId="77777777" w:rsidR="00FF242A" w:rsidRDefault="000E7C0A" w:rsidP="000E7C0A">
      <w:pPr>
        <w:pStyle w:val="p1"/>
        <w:spacing w:line="360" w:lineRule="auto"/>
        <w:ind w:firstLine="567"/>
        <w:jc w:val="both"/>
        <w:rPr>
          <w:rFonts w:ascii="Calibri" w:hAnsi="Calibri" w:cs="Arial"/>
          <w:sz w:val="22"/>
          <w:szCs w:val="22"/>
          <w:highlight w:val="yellow"/>
        </w:rPr>
      </w:pPr>
      <w:r w:rsidRPr="00A07BB6">
        <w:rPr>
          <w:rFonts w:asciiTheme="minorHAnsi" w:hAnsiTheme="minorHAnsi"/>
          <w:sz w:val="22"/>
          <w:szCs w:val="22"/>
        </w:rPr>
        <w:t>Z punktu widzenia kadrowego w badanym okresie nie wystąpiły żadne istotne czynniki zagrożeń i ryzyka. W pierwszym półroczu 201</w:t>
      </w:r>
      <w:r>
        <w:rPr>
          <w:rFonts w:asciiTheme="minorHAnsi" w:hAnsiTheme="minorHAnsi"/>
          <w:sz w:val="22"/>
          <w:szCs w:val="22"/>
        </w:rPr>
        <w:t>6</w:t>
      </w:r>
      <w:r w:rsidRPr="00A07BB6">
        <w:rPr>
          <w:rFonts w:asciiTheme="minorHAnsi" w:hAnsiTheme="minorHAnsi"/>
          <w:sz w:val="22"/>
          <w:szCs w:val="22"/>
        </w:rPr>
        <w:t xml:space="preserve"> roku przeciętne zatrudnienie wyniosło 3</w:t>
      </w:r>
      <w:r>
        <w:rPr>
          <w:rFonts w:asciiTheme="minorHAnsi" w:hAnsiTheme="minorHAnsi"/>
          <w:sz w:val="22"/>
          <w:szCs w:val="22"/>
        </w:rPr>
        <w:t>82</w:t>
      </w:r>
      <w:r w:rsidRPr="00A07BB6">
        <w:rPr>
          <w:rFonts w:asciiTheme="minorHAnsi" w:hAnsiTheme="minorHAnsi"/>
          <w:sz w:val="22"/>
          <w:szCs w:val="22"/>
        </w:rPr>
        <w:t>,</w:t>
      </w:r>
      <w:r>
        <w:rPr>
          <w:rFonts w:asciiTheme="minorHAnsi" w:hAnsiTheme="minorHAnsi"/>
          <w:sz w:val="22"/>
          <w:szCs w:val="22"/>
        </w:rPr>
        <w:t>5</w:t>
      </w:r>
      <w:r w:rsidRPr="00A07BB6">
        <w:rPr>
          <w:rFonts w:asciiTheme="minorHAnsi" w:hAnsiTheme="minorHAnsi"/>
          <w:sz w:val="22"/>
          <w:szCs w:val="22"/>
        </w:rPr>
        <w:t xml:space="preserve"> ogólnej liczby etatów w Spółce, nie wpływając na ocenę ogólnej sytuacji oraz możliwości realizacji zobowiązań przez </w:t>
      </w:r>
      <w:r>
        <w:rPr>
          <w:rFonts w:asciiTheme="minorHAnsi" w:hAnsiTheme="minorHAnsi"/>
          <w:sz w:val="22"/>
          <w:szCs w:val="22"/>
        </w:rPr>
        <w:t>CHEMOSERVIS-DWORY</w:t>
      </w:r>
      <w:r w:rsidRPr="00A07BB6">
        <w:rPr>
          <w:rFonts w:asciiTheme="minorHAnsi" w:hAnsiTheme="minorHAnsi"/>
          <w:sz w:val="22"/>
          <w:szCs w:val="22"/>
        </w:rPr>
        <w:t xml:space="preserve"> S.A.</w:t>
      </w:r>
      <w:r w:rsidR="00FF242A" w:rsidRPr="001D361F">
        <w:rPr>
          <w:rFonts w:ascii="Calibri" w:hAnsi="Calibri" w:cs="Arial"/>
          <w:sz w:val="22"/>
          <w:szCs w:val="22"/>
          <w:highlight w:val="yellow"/>
        </w:rPr>
        <w:t xml:space="preserve"> </w:t>
      </w:r>
    </w:p>
    <w:p w14:paraId="30C59EE5" w14:textId="77777777" w:rsidR="009A62A8" w:rsidRPr="008A7A53" w:rsidRDefault="008907B7" w:rsidP="009A62A8">
      <w:pPr>
        <w:pStyle w:val="p1"/>
        <w:spacing w:line="360" w:lineRule="auto"/>
        <w:jc w:val="both"/>
        <w:rPr>
          <w:rFonts w:ascii="Calibri" w:hAnsi="Calibri" w:cs="Arial"/>
          <w:u w:val="single"/>
        </w:rPr>
      </w:pPr>
      <w:r w:rsidRPr="008A7A53">
        <w:rPr>
          <w:rFonts w:ascii="Calibri" w:hAnsi="Calibri" w:cs="Arial"/>
          <w:u w:val="single"/>
        </w:rPr>
        <w:lastRenderedPageBreak/>
        <w:t>W</w:t>
      </w:r>
      <w:r w:rsidR="009A62A8" w:rsidRPr="008A7A53">
        <w:rPr>
          <w:rFonts w:ascii="Calibri" w:hAnsi="Calibri" w:cs="Arial"/>
          <w:u w:val="single"/>
        </w:rPr>
        <w:t>ażniejsze kontrakty zawarte z kontrahentami przez</w:t>
      </w:r>
      <w:r w:rsidR="00B45A21" w:rsidRPr="008A7A53">
        <w:rPr>
          <w:rFonts w:ascii="Calibri" w:hAnsi="Calibri" w:cs="Arial"/>
          <w:u w:val="single"/>
        </w:rPr>
        <w:t xml:space="preserve"> </w:t>
      </w:r>
      <w:r w:rsidR="009A62A8" w:rsidRPr="008A7A53">
        <w:rPr>
          <w:rFonts w:ascii="Calibri" w:hAnsi="Calibri" w:cs="Arial"/>
          <w:u w:val="single"/>
        </w:rPr>
        <w:t>– Zakład Energetyczny ZEN Sp. z o.o.:</w:t>
      </w:r>
    </w:p>
    <w:p w14:paraId="286D7C21" w14:textId="77777777" w:rsidR="002A6DCF" w:rsidRPr="00932529" w:rsidRDefault="002A6DCF" w:rsidP="00D73705">
      <w:pPr>
        <w:pStyle w:val="Akapitzlist"/>
        <w:numPr>
          <w:ilvl w:val="0"/>
          <w:numId w:val="19"/>
        </w:numPr>
        <w:spacing w:line="360" w:lineRule="auto"/>
        <w:ind w:left="567" w:hanging="567"/>
        <w:jc w:val="both"/>
        <w:rPr>
          <w:rFonts w:asciiTheme="minorHAnsi" w:hAnsiTheme="minorHAnsi"/>
          <w:sz w:val="22"/>
          <w:szCs w:val="22"/>
        </w:rPr>
      </w:pPr>
      <w:r w:rsidRPr="00932529">
        <w:rPr>
          <w:rFonts w:asciiTheme="minorHAnsi" w:hAnsiTheme="minorHAnsi"/>
          <w:sz w:val="22"/>
          <w:szCs w:val="22"/>
        </w:rPr>
        <w:t xml:space="preserve">Łączna wartość zleceń (na prace sukcesywne i remonty bieżące) zrealizowanych przez   ZE ZEN na rzecz </w:t>
      </w:r>
      <w:proofErr w:type="spellStart"/>
      <w:r w:rsidRPr="00932529">
        <w:rPr>
          <w:rFonts w:asciiTheme="minorHAnsi" w:hAnsiTheme="minorHAnsi"/>
          <w:sz w:val="22"/>
          <w:szCs w:val="22"/>
        </w:rPr>
        <w:t>ArcelorMittal</w:t>
      </w:r>
      <w:proofErr w:type="spellEnd"/>
      <w:r w:rsidRPr="00932529">
        <w:rPr>
          <w:rFonts w:asciiTheme="minorHAnsi" w:hAnsiTheme="minorHAnsi"/>
          <w:sz w:val="22"/>
          <w:szCs w:val="22"/>
        </w:rPr>
        <w:t xml:space="preserve"> Poland S.A. w okresie I półrocza 2016 roku wyniosła 4.439.521 zł. Ponadto Spółka poza zamówieniami na roboty sukcesywne i remonty bieżące, realizowała zamówienia na remonty i modernizacje planowane zapobiegawcze na rzecz AMP S.A. za kwotę 4.468.105,83 zł.  Ważniejsze z nich to prace dotyczące:</w:t>
      </w:r>
    </w:p>
    <w:p w14:paraId="0B3FB5AA" w14:textId="77777777" w:rsidR="002A6DCF" w:rsidRPr="00932529" w:rsidRDefault="002A6DCF" w:rsidP="00D73705">
      <w:pPr>
        <w:pStyle w:val="Akapitzlist"/>
        <w:numPr>
          <w:ilvl w:val="0"/>
          <w:numId w:val="18"/>
        </w:numPr>
        <w:spacing w:line="360" w:lineRule="auto"/>
        <w:ind w:left="1134" w:hanging="567"/>
        <w:jc w:val="both"/>
        <w:rPr>
          <w:rFonts w:asciiTheme="minorHAnsi" w:hAnsiTheme="minorHAnsi"/>
          <w:sz w:val="22"/>
          <w:szCs w:val="22"/>
        </w:rPr>
      </w:pPr>
      <w:r w:rsidRPr="00932529">
        <w:rPr>
          <w:rFonts w:asciiTheme="minorHAnsi" w:hAnsiTheme="minorHAnsi"/>
          <w:sz w:val="22"/>
          <w:szCs w:val="22"/>
        </w:rPr>
        <w:t>P5 – wymiana rurociągu C1 fi 600 obiegu czystego – 200.000,00 zł</w:t>
      </w:r>
    </w:p>
    <w:p w14:paraId="2628ECA9" w14:textId="77777777" w:rsidR="002A6DCF" w:rsidRPr="00932529" w:rsidRDefault="002A6DCF" w:rsidP="00D73705">
      <w:pPr>
        <w:pStyle w:val="Akapitzlist"/>
        <w:numPr>
          <w:ilvl w:val="0"/>
          <w:numId w:val="18"/>
        </w:numPr>
        <w:spacing w:line="360" w:lineRule="auto"/>
        <w:ind w:left="1134" w:hanging="567"/>
        <w:jc w:val="both"/>
        <w:rPr>
          <w:rFonts w:asciiTheme="minorHAnsi" w:hAnsiTheme="minorHAnsi"/>
          <w:sz w:val="22"/>
          <w:szCs w:val="22"/>
        </w:rPr>
      </w:pPr>
      <w:r w:rsidRPr="00932529">
        <w:rPr>
          <w:rFonts w:asciiTheme="minorHAnsi" w:hAnsiTheme="minorHAnsi"/>
          <w:sz w:val="22"/>
          <w:szCs w:val="22"/>
        </w:rPr>
        <w:t>Remont chłodni wentylatorowej obiegu czystego – 511.320,00 zł</w:t>
      </w:r>
    </w:p>
    <w:p w14:paraId="0B0BE830" w14:textId="77777777" w:rsidR="002A6DCF" w:rsidRPr="00932529" w:rsidRDefault="002A6DCF" w:rsidP="00D73705">
      <w:pPr>
        <w:pStyle w:val="Akapitzlist"/>
        <w:numPr>
          <w:ilvl w:val="0"/>
          <w:numId w:val="18"/>
        </w:numPr>
        <w:spacing w:line="360" w:lineRule="auto"/>
        <w:ind w:left="1134" w:hanging="567"/>
        <w:jc w:val="both"/>
        <w:rPr>
          <w:rFonts w:asciiTheme="minorHAnsi" w:hAnsiTheme="minorHAnsi"/>
          <w:sz w:val="22"/>
          <w:szCs w:val="22"/>
        </w:rPr>
      </w:pPr>
      <w:r w:rsidRPr="00932529">
        <w:rPr>
          <w:rFonts w:asciiTheme="minorHAnsi" w:hAnsiTheme="minorHAnsi"/>
          <w:sz w:val="22"/>
          <w:szCs w:val="22"/>
        </w:rPr>
        <w:t>Remont elektryczny KT1,2,3  - 169.864,00 zł</w:t>
      </w:r>
    </w:p>
    <w:p w14:paraId="62D73647" w14:textId="77777777" w:rsidR="002A6DCF" w:rsidRPr="00932529" w:rsidRDefault="002A6DCF" w:rsidP="00D73705">
      <w:pPr>
        <w:pStyle w:val="Akapitzlist"/>
        <w:numPr>
          <w:ilvl w:val="0"/>
          <w:numId w:val="18"/>
        </w:numPr>
        <w:spacing w:line="360" w:lineRule="auto"/>
        <w:ind w:left="1134" w:hanging="567"/>
        <w:jc w:val="both"/>
        <w:rPr>
          <w:rFonts w:asciiTheme="minorHAnsi" w:hAnsiTheme="minorHAnsi"/>
          <w:sz w:val="22"/>
          <w:szCs w:val="22"/>
        </w:rPr>
      </w:pPr>
      <w:r w:rsidRPr="00932529">
        <w:rPr>
          <w:rFonts w:asciiTheme="minorHAnsi" w:hAnsiTheme="minorHAnsi"/>
          <w:sz w:val="22"/>
          <w:szCs w:val="22"/>
        </w:rPr>
        <w:t>Montaż odwadniacza – zakres budowlany – 183.000,00 zł</w:t>
      </w:r>
    </w:p>
    <w:p w14:paraId="754A2E83" w14:textId="77777777" w:rsidR="002A6DCF" w:rsidRPr="00932529" w:rsidRDefault="002A6DCF" w:rsidP="00D73705">
      <w:pPr>
        <w:pStyle w:val="Akapitzlist"/>
        <w:numPr>
          <w:ilvl w:val="0"/>
          <w:numId w:val="19"/>
        </w:numPr>
        <w:spacing w:line="360" w:lineRule="auto"/>
        <w:ind w:left="567" w:hanging="567"/>
        <w:jc w:val="both"/>
        <w:rPr>
          <w:rFonts w:asciiTheme="minorHAnsi" w:hAnsiTheme="minorHAnsi"/>
          <w:sz w:val="22"/>
          <w:szCs w:val="22"/>
        </w:rPr>
      </w:pPr>
      <w:r w:rsidRPr="00932529">
        <w:rPr>
          <w:rFonts w:asciiTheme="minorHAnsi" w:hAnsiTheme="minorHAnsi"/>
          <w:sz w:val="22"/>
          <w:szCs w:val="22"/>
        </w:rPr>
        <w:t>Łączna wartość zrealizowanych  w I półroczu 2016  przez   ZE ZEN prac na rzecz TAMEH Polska Sp z o.o.  wyniosła   z umowy stałej 520.852,22 zł  oraz dodatkowo 4.101.760,00 zł, w tym:</w:t>
      </w:r>
    </w:p>
    <w:p w14:paraId="39E746EF" w14:textId="77777777" w:rsidR="002A6DCF" w:rsidRPr="00932529" w:rsidRDefault="002A6DCF" w:rsidP="00D73705">
      <w:pPr>
        <w:pStyle w:val="Akapitzlist"/>
        <w:numPr>
          <w:ilvl w:val="0"/>
          <w:numId w:val="21"/>
        </w:numPr>
        <w:spacing w:line="360" w:lineRule="auto"/>
        <w:ind w:left="1134" w:hanging="567"/>
        <w:jc w:val="both"/>
        <w:rPr>
          <w:rFonts w:asciiTheme="minorHAnsi" w:hAnsiTheme="minorHAnsi"/>
          <w:sz w:val="22"/>
          <w:szCs w:val="22"/>
        </w:rPr>
      </w:pPr>
      <w:r w:rsidRPr="00932529">
        <w:rPr>
          <w:rFonts w:asciiTheme="minorHAnsi" w:hAnsiTheme="minorHAnsi"/>
          <w:sz w:val="22"/>
          <w:szCs w:val="22"/>
        </w:rPr>
        <w:t xml:space="preserve"> wymiana rozdzielni T-124 wraz z transformatorem – 765.000,00 zł</w:t>
      </w:r>
    </w:p>
    <w:p w14:paraId="789915AA" w14:textId="77777777" w:rsidR="002A6DCF" w:rsidRPr="00932529" w:rsidRDefault="002A6DCF" w:rsidP="00D73705">
      <w:pPr>
        <w:pStyle w:val="Akapitzlist"/>
        <w:numPr>
          <w:ilvl w:val="0"/>
          <w:numId w:val="21"/>
        </w:numPr>
        <w:spacing w:line="360" w:lineRule="auto"/>
        <w:ind w:left="1134" w:hanging="567"/>
        <w:jc w:val="both"/>
        <w:rPr>
          <w:rFonts w:asciiTheme="minorHAnsi" w:hAnsiTheme="minorHAnsi"/>
          <w:sz w:val="22"/>
          <w:szCs w:val="22"/>
        </w:rPr>
      </w:pPr>
      <w:r w:rsidRPr="00932529">
        <w:rPr>
          <w:rFonts w:asciiTheme="minorHAnsi" w:hAnsiTheme="minorHAnsi"/>
          <w:sz w:val="22"/>
          <w:szCs w:val="22"/>
        </w:rPr>
        <w:t xml:space="preserve"> budowa układu zasilania elektrycznego na potrzeby nowego bloku BT6 ALKAT – 2.528.000,00 zł</w:t>
      </w:r>
    </w:p>
    <w:p w14:paraId="23E1089B" w14:textId="77777777" w:rsidR="002A6DCF" w:rsidRPr="00932529" w:rsidRDefault="002A6DCF" w:rsidP="00D73705">
      <w:pPr>
        <w:pStyle w:val="Akapitzlist"/>
        <w:numPr>
          <w:ilvl w:val="0"/>
          <w:numId w:val="21"/>
        </w:numPr>
        <w:spacing w:line="360" w:lineRule="auto"/>
        <w:ind w:left="1134" w:hanging="567"/>
        <w:jc w:val="both"/>
        <w:rPr>
          <w:rFonts w:asciiTheme="minorHAnsi" w:hAnsiTheme="minorHAnsi"/>
          <w:sz w:val="22"/>
          <w:szCs w:val="22"/>
        </w:rPr>
      </w:pPr>
      <w:r w:rsidRPr="00932529">
        <w:rPr>
          <w:rFonts w:asciiTheme="minorHAnsi" w:hAnsiTheme="minorHAnsi"/>
          <w:sz w:val="22"/>
          <w:szCs w:val="22"/>
        </w:rPr>
        <w:t xml:space="preserve"> modernizacja istniejącego zasilania elektrycznego bloków tlenowych i urządzeń pomocniczych tlenowni ALKAT – 655.000,00 zł</w:t>
      </w:r>
    </w:p>
    <w:p w14:paraId="0B13E0E1" w14:textId="77777777" w:rsidR="002A6DCF" w:rsidRPr="00932529" w:rsidRDefault="002A6DCF" w:rsidP="00D73705">
      <w:pPr>
        <w:pStyle w:val="Akapitzlist"/>
        <w:numPr>
          <w:ilvl w:val="0"/>
          <w:numId w:val="19"/>
        </w:numPr>
        <w:spacing w:line="360" w:lineRule="auto"/>
        <w:ind w:left="567" w:hanging="567"/>
        <w:jc w:val="both"/>
        <w:rPr>
          <w:rFonts w:asciiTheme="minorHAnsi" w:hAnsiTheme="minorHAnsi"/>
          <w:sz w:val="22"/>
          <w:szCs w:val="22"/>
        </w:rPr>
      </w:pPr>
      <w:r w:rsidRPr="00932529">
        <w:rPr>
          <w:rFonts w:asciiTheme="minorHAnsi" w:hAnsiTheme="minorHAnsi"/>
          <w:sz w:val="22"/>
          <w:szCs w:val="22"/>
        </w:rPr>
        <w:t xml:space="preserve">Łączna wartość zrealizowanych  w I półroczu 2015  przez   ZE ZEN prac na rzecz PUW HKW </w:t>
      </w:r>
      <w:r>
        <w:rPr>
          <w:rFonts w:asciiTheme="minorHAnsi" w:hAnsiTheme="minorHAnsi"/>
          <w:sz w:val="22"/>
          <w:szCs w:val="22"/>
        </w:rPr>
        <w:br/>
      </w:r>
      <w:r w:rsidRPr="00932529">
        <w:rPr>
          <w:rFonts w:asciiTheme="minorHAnsi" w:hAnsiTheme="minorHAnsi"/>
          <w:sz w:val="22"/>
          <w:szCs w:val="22"/>
        </w:rPr>
        <w:t>Sp</w:t>
      </w:r>
      <w:r>
        <w:rPr>
          <w:rFonts w:asciiTheme="minorHAnsi" w:hAnsiTheme="minorHAnsi"/>
          <w:sz w:val="22"/>
          <w:szCs w:val="22"/>
        </w:rPr>
        <w:t>.</w:t>
      </w:r>
      <w:r w:rsidRPr="00932529">
        <w:rPr>
          <w:rFonts w:asciiTheme="minorHAnsi" w:hAnsiTheme="minorHAnsi"/>
          <w:sz w:val="22"/>
          <w:szCs w:val="22"/>
        </w:rPr>
        <w:t xml:space="preserve"> z o.o.  wyniosła:   419.620,35,00 zł</w:t>
      </w:r>
    </w:p>
    <w:p w14:paraId="14A6BE8E" w14:textId="77777777" w:rsidR="002A6DCF" w:rsidRPr="00932529" w:rsidRDefault="002A6DCF" w:rsidP="00D73705">
      <w:pPr>
        <w:pStyle w:val="Akapitzlist"/>
        <w:numPr>
          <w:ilvl w:val="0"/>
          <w:numId w:val="19"/>
        </w:numPr>
        <w:spacing w:line="360" w:lineRule="auto"/>
        <w:ind w:left="567" w:hanging="567"/>
        <w:jc w:val="both"/>
        <w:rPr>
          <w:rFonts w:asciiTheme="minorHAnsi" w:hAnsiTheme="minorHAnsi"/>
          <w:sz w:val="22"/>
          <w:szCs w:val="22"/>
        </w:rPr>
      </w:pPr>
      <w:r w:rsidRPr="00932529">
        <w:rPr>
          <w:rFonts w:asciiTheme="minorHAnsi" w:hAnsiTheme="minorHAnsi"/>
          <w:sz w:val="22"/>
          <w:szCs w:val="22"/>
        </w:rPr>
        <w:t>Pozyskaliśmy również do</w:t>
      </w:r>
      <w:r w:rsidR="00A406BE">
        <w:rPr>
          <w:rFonts w:asciiTheme="minorHAnsi" w:hAnsiTheme="minorHAnsi"/>
          <w:sz w:val="22"/>
          <w:szCs w:val="22"/>
        </w:rPr>
        <w:t>datkowe zlecenia z innych firm:</w:t>
      </w:r>
    </w:p>
    <w:p w14:paraId="5BE90482" w14:textId="77777777" w:rsidR="002A6DCF" w:rsidRPr="00932529" w:rsidRDefault="002A6DCF" w:rsidP="00D73705">
      <w:pPr>
        <w:pStyle w:val="Akapitzlist"/>
        <w:numPr>
          <w:ilvl w:val="0"/>
          <w:numId w:val="20"/>
        </w:numPr>
        <w:spacing w:line="360" w:lineRule="auto"/>
        <w:ind w:left="1134" w:hanging="567"/>
        <w:jc w:val="both"/>
        <w:rPr>
          <w:rFonts w:asciiTheme="minorHAnsi" w:hAnsiTheme="minorHAnsi"/>
          <w:sz w:val="22"/>
          <w:szCs w:val="22"/>
        </w:rPr>
      </w:pPr>
      <w:r w:rsidRPr="00932529">
        <w:rPr>
          <w:rFonts w:asciiTheme="minorHAnsi" w:hAnsiTheme="minorHAnsi"/>
          <w:sz w:val="22"/>
          <w:szCs w:val="22"/>
        </w:rPr>
        <w:t>C</w:t>
      </w:r>
      <w:r>
        <w:rPr>
          <w:rFonts w:asciiTheme="minorHAnsi" w:hAnsiTheme="minorHAnsi"/>
          <w:sz w:val="22"/>
          <w:szCs w:val="22"/>
        </w:rPr>
        <w:t>HEMOSERVIS-DWORY</w:t>
      </w:r>
      <w:r w:rsidRPr="00932529">
        <w:rPr>
          <w:rFonts w:asciiTheme="minorHAnsi" w:hAnsiTheme="minorHAnsi"/>
          <w:sz w:val="22"/>
          <w:szCs w:val="22"/>
        </w:rPr>
        <w:t xml:space="preserve"> S.A. – budowa instalacji odazotowania spalin w EC Janikowo </w:t>
      </w:r>
      <w:r>
        <w:rPr>
          <w:rFonts w:asciiTheme="minorHAnsi" w:hAnsiTheme="minorHAnsi"/>
          <w:sz w:val="22"/>
          <w:szCs w:val="22"/>
        </w:rPr>
        <w:br/>
      </w:r>
      <w:r w:rsidRPr="00932529">
        <w:rPr>
          <w:rFonts w:asciiTheme="minorHAnsi" w:hAnsiTheme="minorHAnsi"/>
          <w:sz w:val="22"/>
          <w:szCs w:val="22"/>
        </w:rPr>
        <w:t>w CIECH-SODA Polska S.A. – 1.957.623,00 zł</w:t>
      </w:r>
    </w:p>
    <w:p w14:paraId="155ECE8A" w14:textId="77777777" w:rsidR="002A6DCF" w:rsidRPr="00932529" w:rsidRDefault="002A6DCF" w:rsidP="00D73705">
      <w:pPr>
        <w:pStyle w:val="Akapitzlist"/>
        <w:numPr>
          <w:ilvl w:val="0"/>
          <w:numId w:val="20"/>
        </w:numPr>
        <w:spacing w:line="360" w:lineRule="auto"/>
        <w:ind w:left="1134" w:hanging="567"/>
        <w:jc w:val="both"/>
        <w:rPr>
          <w:rFonts w:asciiTheme="minorHAnsi" w:hAnsiTheme="minorHAnsi"/>
          <w:sz w:val="22"/>
          <w:szCs w:val="22"/>
        </w:rPr>
      </w:pPr>
      <w:proofErr w:type="spellStart"/>
      <w:r w:rsidRPr="00932529">
        <w:rPr>
          <w:rFonts w:asciiTheme="minorHAnsi" w:hAnsiTheme="minorHAnsi"/>
          <w:sz w:val="22"/>
          <w:szCs w:val="22"/>
        </w:rPr>
        <w:t>Revico</w:t>
      </w:r>
      <w:proofErr w:type="spellEnd"/>
      <w:r w:rsidRPr="00932529">
        <w:rPr>
          <w:rFonts w:asciiTheme="minorHAnsi" w:hAnsiTheme="minorHAnsi"/>
          <w:sz w:val="22"/>
          <w:szCs w:val="22"/>
        </w:rPr>
        <w:t xml:space="preserve"> S.A. – modernizacja nawęglania – wymiana rozdzielni – 530.000,00 zł</w:t>
      </w:r>
    </w:p>
    <w:p w14:paraId="71263967" w14:textId="77777777" w:rsidR="002A6DCF" w:rsidRPr="00932529" w:rsidRDefault="002A6DCF" w:rsidP="00D73705">
      <w:pPr>
        <w:pStyle w:val="Akapitzlist"/>
        <w:numPr>
          <w:ilvl w:val="0"/>
          <w:numId w:val="20"/>
        </w:numPr>
        <w:spacing w:line="360" w:lineRule="auto"/>
        <w:ind w:left="1134" w:hanging="567"/>
        <w:jc w:val="both"/>
        <w:rPr>
          <w:rFonts w:asciiTheme="minorHAnsi" w:hAnsiTheme="minorHAnsi"/>
          <w:sz w:val="22"/>
          <w:szCs w:val="22"/>
        </w:rPr>
      </w:pPr>
      <w:r w:rsidRPr="00932529">
        <w:rPr>
          <w:rFonts w:asciiTheme="minorHAnsi" w:hAnsiTheme="minorHAnsi"/>
          <w:sz w:val="22"/>
          <w:szCs w:val="22"/>
        </w:rPr>
        <w:t xml:space="preserve">Mikronika – wykonanie montażu, demontażu, okablowania oraz rozruch sterowników SO-52v11 w polach 6 </w:t>
      </w:r>
      <w:proofErr w:type="spellStart"/>
      <w:r w:rsidRPr="00932529">
        <w:rPr>
          <w:rFonts w:asciiTheme="minorHAnsi" w:hAnsiTheme="minorHAnsi"/>
          <w:sz w:val="22"/>
          <w:szCs w:val="22"/>
        </w:rPr>
        <w:t>kV</w:t>
      </w:r>
      <w:proofErr w:type="spellEnd"/>
      <w:r w:rsidRPr="00932529">
        <w:rPr>
          <w:rFonts w:asciiTheme="minorHAnsi" w:hAnsiTheme="minorHAnsi"/>
          <w:sz w:val="22"/>
          <w:szCs w:val="22"/>
        </w:rPr>
        <w:t xml:space="preserve"> oraz sterownika komunikacyjnego – 232.405,00 zł</w:t>
      </w:r>
    </w:p>
    <w:p w14:paraId="62752A3D" w14:textId="77777777" w:rsidR="00BC3D3A" w:rsidRPr="008A7A53" w:rsidRDefault="00BC3D3A" w:rsidP="00BC3D3A">
      <w:pPr>
        <w:pStyle w:val="p1"/>
        <w:spacing w:line="360" w:lineRule="auto"/>
        <w:jc w:val="both"/>
        <w:rPr>
          <w:rFonts w:ascii="Calibri" w:hAnsi="Calibri" w:cs="Arial"/>
          <w:u w:val="single"/>
        </w:rPr>
      </w:pPr>
      <w:r w:rsidRPr="008A7A53">
        <w:rPr>
          <w:rFonts w:ascii="Calibri" w:hAnsi="Calibri" w:cs="Arial"/>
          <w:u w:val="single"/>
        </w:rPr>
        <w:t>Ważniejsze kontrakty zawarte z kontrahentami przez – K-</w:t>
      </w:r>
      <w:proofErr w:type="spellStart"/>
      <w:r w:rsidRPr="008A7A53">
        <w:rPr>
          <w:rFonts w:ascii="Calibri" w:hAnsi="Calibri" w:cs="Arial"/>
          <w:u w:val="single"/>
        </w:rPr>
        <w:t>Protos</w:t>
      </w:r>
      <w:proofErr w:type="spellEnd"/>
      <w:r w:rsidRPr="008A7A53">
        <w:rPr>
          <w:rFonts w:ascii="Calibri" w:hAnsi="Calibri" w:cs="Arial"/>
          <w:u w:val="single"/>
        </w:rPr>
        <w:t xml:space="preserve"> </w:t>
      </w:r>
      <w:proofErr w:type="spellStart"/>
      <w:r w:rsidRPr="008A7A53">
        <w:rPr>
          <w:rFonts w:ascii="Calibri" w:hAnsi="Calibri" w:cs="Arial"/>
          <w:u w:val="single"/>
        </w:rPr>
        <w:t>a.s</w:t>
      </w:r>
      <w:proofErr w:type="spellEnd"/>
      <w:r w:rsidRPr="008A7A53">
        <w:rPr>
          <w:rFonts w:ascii="Calibri" w:hAnsi="Calibri" w:cs="Arial"/>
          <w:u w:val="single"/>
        </w:rPr>
        <w:t>.:</w:t>
      </w:r>
    </w:p>
    <w:p w14:paraId="43E24FE2" w14:textId="77777777" w:rsidR="00D4351D" w:rsidRPr="005C60B6" w:rsidRDefault="00D4351D" w:rsidP="00D4351D">
      <w:pPr>
        <w:pStyle w:val="p1"/>
        <w:tabs>
          <w:tab w:val="left" w:pos="567"/>
        </w:tabs>
        <w:spacing w:line="360" w:lineRule="auto"/>
        <w:jc w:val="both"/>
        <w:rPr>
          <w:rFonts w:ascii="Calibri" w:hAnsi="Calibri" w:cs="Arial"/>
          <w:sz w:val="22"/>
          <w:szCs w:val="22"/>
        </w:rPr>
      </w:pPr>
      <w:r w:rsidRPr="005C60B6">
        <w:rPr>
          <w:rFonts w:ascii="Calibri" w:hAnsi="Calibri" w:cs="Arial"/>
        </w:rPr>
        <w:tab/>
      </w:r>
      <w:r w:rsidRPr="005C60B6">
        <w:rPr>
          <w:rFonts w:ascii="Calibri" w:hAnsi="Calibri" w:cs="Arial"/>
          <w:sz w:val="22"/>
          <w:szCs w:val="22"/>
        </w:rPr>
        <w:t>Zarząd K-</w:t>
      </w:r>
      <w:proofErr w:type="spellStart"/>
      <w:r w:rsidRPr="005C60B6">
        <w:rPr>
          <w:rFonts w:ascii="Calibri" w:hAnsi="Calibri" w:cs="Arial"/>
          <w:sz w:val="22"/>
          <w:szCs w:val="22"/>
        </w:rPr>
        <w:t>Protos</w:t>
      </w:r>
      <w:proofErr w:type="spellEnd"/>
      <w:r w:rsidRPr="005C60B6">
        <w:rPr>
          <w:rFonts w:ascii="Calibri" w:hAnsi="Calibri" w:cs="Arial"/>
          <w:sz w:val="22"/>
          <w:szCs w:val="22"/>
        </w:rPr>
        <w:t xml:space="preserve"> </w:t>
      </w:r>
      <w:proofErr w:type="spellStart"/>
      <w:r w:rsidRPr="005C60B6">
        <w:rPr>
          <w:rFonts w:ascii="Calibri" w:hAnsi="Calibri" w:cs="Arial"/>
          <w:sz w:val="22"/>
          <w:szCs w:val="22"/>
        </w:rPr>
        <w:t>a.s</w:t>
      </w:r>
      <w:proofErr w:type="spellEnd"/>
      <w:r w:rsidRPr="005C60B6">
        <w:rPr>
          <w:rFonts w:ascii="Calibri" w:hAnsi="Calibri" w:cs="Arial"/>
          <w:sz w:val="22"/>
          <w:szCs w:val="22"/>
        </w:rPr>
        <w:t xml:space="preserve">. celem </w:t>
      </w:r>
      <w:r w:rsidR="00824A9D" w:rsidRPr="005C60B6">
        <w:rPr>
          <w:rFonts w:ascii="Calibri" w:hAnsi="Calibri" w:cs="Arial"/>
          <w:sz w:val="22"/>
          <w:szCs w:val="22"/>
        </w:rPr>
        <w:t>zachowani</w:t>
      </w:r>
      <w:r w:rsidRPr="005C60B6">
        <w:rPr>
          <w:rFonts w:ascii="Calibri" w:hAnsi="Calibri" w:cs="Arial"/>
          <w:sz w:val="22"/>
          <w:szCs w:val="22"/>
        </w:rPr>
        <w:t>a przewagi na silnie konkurencyjnym czeskim rynku utrzymania ruchu na instalacjach przemysłowych oraz remontów i modernizacji,</w:t>
      </w:r>
      <w:r w:rsidR="00B57342" w:rsidRPr="005C60B6">
        <w:rPr>
          <w:rFonts w:ascii="Calibri" w:hAnsi="Calibri" w:cs="Arial"/>
          <w:sz w:val="22"/>
          <w:szCs w:val="22"/>
        </w:rPr>
        <w:t xml:space="preserve"> zintensyfikował</w:t>
      </w:r>
      <w:r w:rsidRPr="005C60B6">
        <w:rPr>
          <w:rFonts w:ascii="Calibri" w:hAnsi="Calibri" w:cs="Arial"/>
          <w:sz w:val="22"/>
          <w:szCs w:val="22"/>
        </w:rPr>
        <w:t xml:space="preserve"> swoje działania </w:t>
      </w:r>
      <w:r w:rsidR="00824A9D" w:rsidRPr="005C60B6">
        <w:rPr>
          <w:rFonts w:ascii="Calibri" w:hAnsi="Calibri" w:cs="Arial"/>
          <w:sz w:val="22"/>
          <w:szCs w:val="22"/>
        </w:rPr>
        <w:t xml:space="preserve">w głównej mierze </w:t>
      </w:r>
      <w:r w:rsidRPr="005C60B6">
        <w:rPr>
          <w:rFonts w:ascii="Calibri" w:hAnsi="Calibri" w:cs="Arial"/>
          <w:sz w:val="22"/>
          <w:szCs w:val="22"/>
        </w:rPr>
        <w:t xml:space="preserve">na prowadzonych umowach długoterminowych, w tym na utrzymaniu pozycji głównego dostawcy usług dla </w:t>
      </w:r>
      <w:proofErr w:type="spellStart"/>
      <w:r w:rsidRPr="005C60B6">
        <w:rPr>
          <w:rFonts w:ascii="Calibri" w:hAnsi="Calibri" w:cs="Arial"/>
          <w:sz w:val="22"/>
          <w:szCs w:val="22"/>
        </w:rPr>
        <w:t>Synthos</w:t>
      </w:r>
      <w:proofErr w:type="spellEnd"/>
      <w:r w:rsidRPr="005C60B6">
        <w:rPr>
          <w:rFonts w:ascii="Calibri" w:hAnsi="Calibri" w:cs="Arial"/>
          <w:sz w:val="22"/>
          <w:szCs w:val="22"/>
        </w:rPr>
        <w:t xml:space="preserve"> Kralupy </w:t>
      </w:r>
      <w:proofErr w:type="spellStart"/>
      <w:r w:rsidRPr="005C60B6">
        <w:rPr>
          <w:rFonts w:ascii="Calibri" w:hAnsi="Calibri" w:cs="Arial"/>
          <w:sz w:val="22"/>
          <w:szCs w:val="22"/>
        </w:rPr>
        <w:t>a.s</w:t>
      </w:r>
      <w:proofErr w:type="spellEnd"/>
      <w:r w:rsidRPr="005C60B6">
        <w:rPr>
          <w:rFonts w:ascii="Calibri" w:hAnsi="Calibri" w:cs="Arial"/>
          <w:sz w:val="22"/>
          <w:szCs w:val="22"/>
        </w:rPr>
        <w:t xml:space="preserve">. oraz </w:t>
      </w:r>
      <w:proofErr w:type="spellStart"/>
      <w:r w:rsidRPr="005C60B6">
        <w:rPr>
          <w:rFonts w:ascii="Calibri" w:hAnsi="Calibri" w:cs="Arial"/>
          <w:sz w:val="22"/>
          <w:szCs w:val="22"/>
        </w:rPr>
        <w:t>Spolana</w:t>
      </w:r>
      <w:proofErr w:type="spellEnd"/>
      <w:r w:rsidR="00402549" w:rsidRPr="005C60B6">
        <w:rPr>
          <w:rFonts w:ascii="Calibri" w:hAnsi="Calibri" w:cs="Arial"/>
          <w:sz w:val="22"/>
          <w:szCs w:val="22"/>
        </w:rPr>
        <w:t xml:space="preserve"> </w:t>
      </w:r>
      <w:proofErr w:type="spellStart"/>
      <w:r w:rsidR="00402549" w:rsidRPr="005C60B6">
        <w:rPr>
          <w:rFonts w:ascii="Calibri" w:hAnsi="Calibri" w:cs="Arial"/>
          <w:sz w:val="22"/>
          <w:szCs w:val="22"/>
        </w:rPr>
        <w:t>Neratovice</w:t>
      </w:r>
      <w:proofErr w:type="spellEnd"/>
      <w:r w:rsidRPr="005C60B6">
        <w:rPr>
          <w:rFonts w:ascii="Calibri" w:hAnsi="Calibri" w:cs="Arial"/>
          <w:sz w:val="22"/>
          <w:szCs w:val="22"/>
        </w:rPr>
        <w:t xml:space="preserve"> </w:t>
      </w:r>
      <w:proofErr w:type="spellStart"/>
      <w:r w:rsidRPr="005C60B6">
        <w:rPr>
          <w:rFonts w:ascii="Calibri" w:hAnsi="Calibri" w:cs="Arial"/>
          <w:sz w:val="22"/>
          <w:szCs w:val="22"/>
        </w:rPr>
        <w:t>a.s</w:t>
      </w:r>
      <w:proofErr w:type="spellEnd"/>
      <w:r w:rsidRPr="005C60B6">
        <w:rPr>
          <w:rFonts w:ascii="Calibri" w:hAnsi="Calibri" w:cs="Arial"/>
          <w:sz w:val="22"/>
          <w:szCs w:val="22"/>
        </w:rPr>
        <w:t xml:space="preserve">.  </w:t>
      </w:r>
    </w:p>
    <w:p w14:paraId="5C1F7641" w14:textId="77777777" w:rsidR="00687091" w:rsidRPr="008A7A53" w:rsidRDefault="00687091" w:rsidP="00864E46">
      <w:pPr>
        <w:pStyle w:val="p1"/>
        <w:tabs>
          <w:tab w:val="left" w:pos="540"/>
        </w:tabs>
        <w:spacing w:line="360" w:lineRule="auto"/>
        <w:jc w:val="both"/>
        <w:rPr>
          <w:rFonts w:ascii="Calibri" w:hAnsi="Calibri" w:cs="Arial"/>
          <w:u w:val="single"/>
        </w:rPr>
      </w:pPr>
      <w:r w:rsidRPr="008A7A53">
        <w:rPr>
          <w:rFonts w:ascii="Calibri" w:hAnsi="Calibri" w:cs="Arial"/>
          <w:u w:val="single"/>
        </w:rPr>
        <w:lastRenderedPageBreak/>
        <w:t>Ważniejsze kontrakty zawarte z kontrahentami przez – MD-</w:t>
      </w:r>
      <w:proofErr w:type="spellStart"/>
      <w:r w:rsidRPr="008A7A53">
        <w:rPr>
          <w:rFonts w:ascii="Calibri" w:hAnsi="Calibri" w:cs="Arial"/>
          <w:u w:val="single"/>
        </w:rPr>
        <w:t>proeco</w:t>
      </w:r>
      <w:proofErr w:type="spellEnd"/>
      <w:r w:rsidRPr="008A7A53">
        <w:rPr>
          <w:rFonts w:ascii="Calibri" w:hAnsi="Calibri" w:cs="Arial"/>
          <w:u w:val="single"/>
        </w:rPr>
        <w:t xml:space="preserve"> Sp. z o.o.:</w:t>
      </w:r>
    </w:p>
    <w:p w14:paraId="3E087DB2" w14:textId="77777777" w:rsidR="00292EE0" w:rsidRPr="005C60B6" w:rsidRDefault="00864E46" w:rsidP="00F2682B">
      <w:pPr>
        <w:pStyle w:val="p1"/>
        <w:tabs>
          <w:tab w:val="left" w:pos="540"/>
        </w:tabs>
        <w:spacing w:line="360" w:lineRule="auto"/>
        <w:jc w:val="both"/>
        <w:rPr>
          <w:rFonts w:ascii="Calibri" w:hAnsi="Calibri" w:cs="Arial"/>
          <w:sz w:val="22"/>
          <w:szCs w:val="22"/>
        </w:rPr>
      </w:pPr>
      <w:r w:rsidRPr="005C60B6">
        <w:rPr>
          <w:rFonts w:ascii="Calibri" w:hAnsi="Calibri"/>
        </w:rPr>
        <w:tab/>
      </w:r>
      <w:r w:rsidRPr="005C60B6">
        <w:rPr>
          <w:rFonts w:ascii="Calibri" w:hAnsi="Calibri" w:cs="Arial"/>
          <w:sz w:val="22"/>
          <w:szCs w:val="22"/>
        </w:rPr>
        <w:t xml:space="preserve">Zarząd </w:t>
      </w:r>
      <w:r w:rsidR="00914F32" w:rsidRPr="005C60B6">
        <w:rPr>
          <w:rFonts w:ascii="Calibri" w:hAnsi="Calibri" w:cs="Arial"/>
          <w:sz w:val="22"/>
          <w:szCs w:val="22"/>
        </w:rPr>
        <w:t>MD-</w:t>
      </w:r>
      <w:proofErr w:type="spellStart"/>
      <w:r w:rsidR="00914F32" w:rsidRPr="005C60B6">
        <w:rPr>
          <w:rFonts w:ascii="Calibri" w:hAnsi="Calibri" w:cs="Arial"/>
          <w:sz w:val="22"/>
          <w:szCs w:val="22"/>
        </w:rPr>
        <w:t>proeco</w:t>
      </w:r>
      <w:proofErr w:type="spellEnd"/>
      <w:r w:rsidR="00914F32" w:rsidRPr="005C60B6">
        <w:rPr>
          <w:rFonts w:ascii="Calibri" w:hAnsi="Calibri" w:cs="Arial"/>
          <w:sz w:val="22"/>
          <w:szCs w:val="22"/>
        </w:rPr>
        <w:t xml:space="preserve"> Sp. z o.o.</w:t>
      </w:r>
      <w:r w:rsidRPr="005C60B6">
        <w:rPr>
          <w:rFonts w:ascii="Calibri" w:hAnsi="Calibri" w:cs="Arial"/>
          <w:sz w:val="22"/>
          <w:szCs w:val="22"/>
        </w:rPr>
        <w:t xml:space="preserve"> zintensyfikował swoje działania w głównej mierze na prowad</w:t>
      </w:r>
      <w:r w:rsidR="00292EE0" w:rsidRPr="005C60B6">
        <w:rPr>
          <w:rFonts w:ascii="Calibri" w:hAnsi="Calibri" w:cs="Arial"/>
          <w:sz w:val="22"/>
          <w:szCs w:val="22"/>
        </w:rPr>
        <w:t>zonych umowach długoterminowych</w:t>
      </w:r>
      <w:r w:rsidR="00C80460" w:rsidRPr="005C60B6">
        <w:rPr>
          <w:rFonts w:ascii="Calibri" w:hAnsi="Calibri" w:cs="Arial"/>
          <w:sz w:val="22"/>
          <w:szCs w:val="22"/>
        </w:rPr>
        <w:t xml:space="preserve"> w zakresie</w:t>
      </w:r>
      <w:r w:rsidR="00292EE0" w:rsidRPr="005C60B6">
        <w:rPr>
          <w:rFonts w:ascii="Calibri" w:hAnsi="Calibri" w:cs="Arial"/>
          <w:sz w:val="22"/>
          <w:szCs w:val="22"/>
        </w:rPr>
        <w:t xml:space="preserve"> utyl</w:t>
      </w:r>
      <w:r w:rsidR="0080016D">
        <w:rPr>
          <w:rFonts w:ascii="Calibri" w:hAnsi="Calibri" w:cs="Arial"/>
          <w:sz w:val="22"/>
          <w:szCs w:val="22"/>
        </w:rPr>
        <w:t xml:space="preserve">izacji odpadów niebezpiecznych </w:t>
      </w:r>
      <w:r w:rsidR="00292EE0" w:rsidRPr="005C60B6">
        <w:rPr>
          <w:rFonts w:ascii="Calibri" w:hAnsi="Calibri" w:cs="Arial"/>
          <w:sz w:val="22"/>
          <w:szCs w:val="22"/>
        </w:rPr>
        <w:t>oraz</w:t>
      </w:r>
      <w:r w:rsidR="00C80460" w:rsidRPr="005C60B6">
        <w:rPr>
          <w:rFonts w:ascii="Calibri" w:hAnsi="Calibri" w:cs="Arial"/>
          <w:sz w:val="22"/>
          <w:szCs w:val="22"/>
        </w:rPr>
        <w:t xml:space="preserve"> sprzedaży ciepła do sieci energetycznej</w:t>
      </w:r>
      <w:r w:rsidRPr="005C60B6">
        <w:rPr>
          <w:rFonts w:ascii="Calibri" w:hAnsi="Calibri" w:cs="Arial"/>
          <w:sz w:val="22"/>
          <w:szCs w:val="22"/>
        </w:rPr>
        <w:t>.</w:t>
      </w:r>
    </w:p>
    <w:p w14:paraId="66CAE696" w14:textId="77777777" w:rsidR="00292EE0" w:rsidRPr="008A7A53" w:rsidRDefault="00292EE0" w:rsidP="00292EE0">
      <w:pPr>
        <w:pStyle w:val="p1"/>
        <w:tabs>
          <w:tab w:val="left" w:pos="540"/>
        </w:tabs>
        <w:spacing w:line="360" w:lineRule="auto"/>
        <w:jc w:val="both"/>
        <w:rPr>
          <w:rFonts w:ascii="Calibri" w:hAnsi="Calibri" w:cs="Arial"/>
          <w:u w:val="single"/>
        </w:rPr>
      </w:pPr>
      <w:r w:rsidRPr="008A7A53">
        <w:rPr>
          <w:rFonts w:ascii="Calibri" w:hAnsi="Calibri" w:cs="Arial"/>
          <w:u w:val="single"/>
        </w:rPr>
        <w:t>Ważniejsze kontrakty zawarte z kontrahentami przez – Zakład Budowy Aparatury Chemicznej ZBACH Sp. z o.o.:</w:t>
      </w:r>
    </w:p>
    <w:p w14:paraId="10FCE8EE" w14:textId="77777777" w:rsidR="00EB7B94" w:rsidRPr="00EB7B94" w:rsidRDefault="00EB7B94" w:rsidP="00D73705">
      <w:pPr>
        <w:pStyle w:val="Akapitzlist"/>
        <w:numPr>
          <w:ilvl w:val="0"/>
          <w:numId w:val="14"/>
        </w:numPr>
        <w:spacing w:line="360" w:lineRule="auto"/>
        <w:ind w:left="1134" w:hanging="567"/>
        <w:contextualSpacing w:val="0"/>
        <w:jc w:val="both"/>
        <w:rPr>
          <w:rFonts w:ascii="Calibri" w:hAnsi="Calibri" w:cs="Arial"/>
          <w:sz w:val="22"/>
          <w:szCs w:val="22"/>
        </w:rPr>
      </w:pPr>
      <w:r w:rsidRPr="00EB7B94">
        <w:rPr>
          <w:rFonts w:ascii="Calibri" w:hAnsi="Calibri" w:cs="Arial"/>
          <w:sz w:val="22"/>
          <w:szCs w:val="22"/>
        </w:rPr>
        <w:t>Francusko - Polskie Przedsiębiorstwo Instalacji Przemysłowych  "POLSNIG" Sp. z o.o. Tarnów – U</w:t>
      </w:r>
      <w:r w:rsidR="0080016D">
        <w:rPr>
          <w:rFonts w:ascii="Calibri" w:hAnsi="Calibri" w:cs="Arial"/>
          <w:sz w:val="22"/>
          <w:szCs w:val="22"/>
        </w:rPr>
        <w:t>mowa</w:t>
      </w:r>
      <w:r w:rsidRPr="00EB7B94">
        <w:rPr>
          <w:rFonts w:ascii="Calibri" w:hAnsi="Calibri" w:cs="Arial"/>
          <w:sz w:val="22"/>
          <w:szCs w:val="22"/>
        </w:rPr>
        <w:t xml:space="preserve"> wraz z Aneksem na wykonanie Absorberów i Adsorberów o wartości 2 768,00 tys. zł.</w:t>
      </w:r>
    </w:p>
    <w:p w14:paraId="51809D2B" w14:textId="77777777" w:rsidR="00EB7B94" w:rsidRPr="00EB7B94" w:rsidRDefault="00EB7B94" w:rsidP="00D73705">
      <w:pPr>
        <w:pStyle w:val="Akapitzlist"/>
        <w:numPr>
          <w:ilvl w:val="0"/>
          <w:numId w:val="14"/>
        </w:numPr>
        <w:spacing w:line="360" w:lineRule="auto"/>
        <w:ind w:left="1134" w:hanging="567"/>
        <w:contextualSpacing w:val="0"/>
        <w:jc w:val="both"/>
        <w:rPr>
          <w:rFonts w:ascii="Calibri" w:hAnsi="Calibri" w:cs="Arial"/>
          <w:sz w:val="22"/>
          <w:szCs w:val="22"/>
        </w:rPr>
      </w:pPr>
      <w:r>
        <w:rPr>
          <w:rFonts w:ascii="Calibri" w:hAnsi="Calibri" w:cs="Arial"/>
          <w:sz w:val="22"/>
          <w:szCs w:val="22"/>
        </w:rPr>
        <w:t>CHEMOSERVIS-DWORY</w:t>
      </w:r>
      <w:r w:rsidRPr="00EB7B94">
        <w:rPr>
          <w:rFonts w:ascii="Calibri" w:hAnsi="Calibri" w:cs="Arial"/>
          <w:sz w:val="22"/>
          <w:szCs w:val="22"/>
        </w:rPr>
        <w:t xml:space="preserve"> S.A. Oświęcim – Zamówienie</w:t>
      </w:r>
      <w:r w:rsidR="006232B6">
        <w:rPr>
          <w:rFonts w:ascii="Calibri" w:hAnsi="Calibri" w:cs="Arial"/>
          <w:sz w:val="22"/>
          <w:szCs w:val="22"/>
        </w:rPr>
        <w:t xml:space="preserve"> </w:t>
      </w:r>
      <w:r w:rsidRPr="00EB7B94">
        <w:rPr>
          <w:rFonts w:ascii="Calibri" w:hAnsi="Calibri" w:cs="Arial"/>
          <w:sz w:val="22"/>
          <w:szCs w:val="22"/>
        </w:rPr>
        <w:t>na usługę spawalniczą o wartości 374,23 tys. zł</w:t>
      </w:r>
    </w:p>
    <w:p w14:paraId="4E1A68FD" w14:textId="77777777" w:rsidR="00EB7B94" w:rsidRPr="00EB7B94" w:rsidRDefault="00EB7B94" w:rsidP="00D73705">
      <w:pPr>
        <w:pStyle w:val="Akapitzlist"/>
        <w:numPr>
          <w:ilvl w:val="0"/>
          <w:numId w:val="14"/>
        </w:numPr>
        <w:spacing w:line="360" w:lineRule="auto"/>
        <w:ind w:left="1134" w:hanging="567"/>
        <w:contextualSpacing w:val="0"/>
        <w:jc w:val="both"/>
        <w:rPr>
          <w:rFonts w:ascii="Calibri" w:hAnsi="Calibri" w:cs="Arial"/>
          <w:sz w:val="22"/>
          <w:szCs w:val="22"/>
        </w:rPr>
      </w:pPr>
      <w:r>
        <w:rPr>
          <w:rFonts w:ascii="Calibri" w:hAnsi="Calibri" w:cs="Arial"/>
          <w:sz w:val="22"/>
          <w:szCs w:val="22"/>
        </w:rPr>
        <w:t>CHEMOSERVIS-DWORY</w:t>
      </w:r>
      <w:r w:rsidR="006232B6">
        <w:rPr>
          <w:rFonts w:ascii="Calibri" w:hAnsi="Calibri" w:cs="Arial"/>
          <w:sz w:val="22"/>
          <w:szCs w:val="22"/>
        </w:rPr>
        <w:t xml:space="preserve"> S.A. Oświęcim – Zamówienie</w:t>
      </w:r>
      <w:r w:rsidRPr="00EB7B94">
        <w:rPr>
          <w:rFonts w:ascii="Calibri" w:hAnsi="Calibri" w:cs="Arial"/>
          <w:sz w:val="22"/>
          <w:szCs w:val="22"/>
        </w:rPr>
        <w:t xml:space="preserve"> na usługę spawalniczą o wartości 559,80 tys. zł</w:t>
      </w:r>
    </w:p>
    <w:p w14:paraId="663AA11A" w14:textId="77777777" w:rsidR="00EB7B94" w:rsidRPr="00EB7B94" w:rsidRDefault="00EB7B94" w:rsidP="00D73705">
      <w:pPr>
        <w:pStyle w:val="Akapitzlist"/>
        <w:numPr>
          <w:ilvl w:val="0"/>
          <w:numId w:val="14"/>
        </w:numPr>
        <w:spacing w:line="360" w:lineRule="auto"/>
        <w:ind w:left="1134" w:hanging="567"/>
        <w:contextualSpacing w:val="0"/>
        <w:jc w:val="both"/>
        <w:rPr>
          <w:rFonts w:ascii="Calibri" w:hAnsi="Calibri" w:cs="Arial"/>
          <w:sz w:val="22"/>
          <w:szCs w:val="22"/>
        </w:rPr>
      </w:pPr>
      <w:r w:rsidRPr="00EB7B94">
        <w:rPr>
          <w:rFonts w:ascii="Calibri" w:hAnsi="Calibri" w:cs="Arial"/>
          <w:sz w:val="22"/>
          <w:szCs w:val="22"/>
        </w:rPr>
        <w:t xml:space="preserve">KT </w:t>
      </w:r>
      <w:proofErr w:type="spellStart"/>
      <w:r w:rsidRPr="00EB7B94">
        <w:rPr>
          <w:rFonts w:ascii="Calibri" w:hAnsi="Calibri" w:cs="Arial"/>
          <w:sz w:val="22"/>
          <w:szCs w:val="22"/>
        </w:rPr>
        <w:t>Kinetics</w:t>
      </w:r>
      <w:proofErr w:type="spellEnd"/>
      <w:r w:rsidRPr="00EB7B94">
        <w:rPr>
          <w:rFonts w:ascii="Calibri" w:hAnsi="Calibri" w:cs="Arial"/>
          <w:sz w:val="22"/>
          <w:szCs w:val="22"/>
        </w:rPr>
        <w:t xml:space="preserve"> Technology </w:t>
      </w:r>
      <w:proofErr w:type="spellStart"/>
      <w:r w:rsidRPr="00EB7B94">
        <w:rPr>
          <w:rFonts w:ascii="Calibri" w:hAnsi="Calibri" w:cs="Arial"/>
          <w:sz w:val="22"/>
          <w:szCs w:val="22"/>
        </w:rPr>
        <w:t>SpA</w:t>
      </w:r>
      <w:proofErr w:type="spellEnd"/>
      <w:r w:rsidRPr="00EB7B94">
        <w:rPr>
          <w:rFonts w:ascii="Calibri" w:hAnsi="Calibri" w:cs="Arial"/>
          <w:sz w:val="22"/>
          <w:szCs w:val="22"/>
        </w:rPr>
        <w:t xml:space="preserve"> Włochy – Zamówie</w:t>
      </w:r>
      <w:r w:rsidR="006232B6">
        <w:rPr>
          <w:rFonts w:ascii="Calibri" w:hAnsi="Calibri" w:cs="Arial"/>
          <w:sz w:val="22"/>
          <w:szCs w:val="22"/>
        </w:rPr>
        <w:t>nie</w:t>
      </w:r>
      <w:r w:rsidRPr="00EB7B94">
        <w:rPr>
          <w:rFonts w:ascii="Calibri" w:hAnsi="Calibri" w:cs="Arial"/>
          <w:sz w:val="22"/>
          <w:szCs w:val="22"/>
        </w:rPr>
        <w:t xml:space="preserve"> </w:t>
      </w:r>
      <w:r w:rsidR="00FE5DAF">
        <w:rPr>
          <w:rFonts w:ascii="Calibri" w:hAnsi="Calibri" w:cs="Arial"/>
          <w:sz w:val="22"/>
          <w:szCs w:val="22"/>
        </w:rPr>
        <w:t xml:space="preserve">na wykonanie zbiorników </w:t>
      </w:r>
      <w:r w:rsidRPr="00EB7B94">
        <w:rPr>
          <w:rFonts w:ascii="Calibri" w:hAnsi="Calibri" w:cs="Arial"/>
          <w:sz w:val="22"/>
          <w:szCs w:val="22"/>
        </w:rPr>
        <w:t xml:space="preserve">ciśnieniowych o wartości 1 173,06 tys. zł. </w:t>
      </w:r>
    </w:p>
    <w:p w14:paraId="72435190" w14:textId="77777777" w:rsidR="00EB7B94" w:rsidRPr="00EB7B94" w:rsidRDefault="00EB7B94" w:rsidP="00D73705">
      <w:pPr>
        <w:numPr>
          <w:ilvl w:val="0"/>
          <w:numId w:val="14"/>
        </w:numPr>
        <w:spacing w:line="360" w:lineRule="auto"/>
        <w:ind w:left="1134" w:hanging="567"/>
        <w:jc w:val="both"/>
        <w:rPr>
          <w:rFonts w:ascii="Calibri" w:hAnsi="Calibri" w:cs="Arial"/>
          <w:sz w:val="22"/>
          <w:szCs w:val="22"/>
        </w:rPr>
      </w:pPr>
      <w:r w:rsidRPr="00EB7B94">
        <w:rPr>
          <w:rFonts w:ascii="Calibri" w:hAnsi="Calibri" w:cs="Arial"/>
          <w:sz w:val="22"/>
          <w:szCs w:val="22"/>
        </w:rPr>
        <w:t>Elektr</w:t>
      </w:r>
      <w:r w:rsidR="006232B6">
        <w:rPr>
          <w:rFonts w:ascii="Calibri" w:hAnsi="Calibri" w:cs="Arial"/>
          <w:sz w:val="22"/>
          <w:szCs w:val="22"/>
        </w:rPr>
        <w:t>obudowa S.A. Katowice - Umowa</w:t>
      </w:r>
      <w:r w:rsidRPr="00EB7B94">
        <w:rPr>
          <w:rFonts w:ascii="Calibri" w:hAnsi="Calibri" w:cs="Arial"/>
          <w:sz w:val="22"/>
          <w:szCs w:val="22"/>
        </w:rPr>
        <w:t xml:space="preserve"> na wykonanie Aparatów dla </w:t>
      </w:r>
      <w:r w:rsidR="006232B6">
        <w:rPr>
          <w:rFonts w:ascii="Calibri" w:hAnsi="Calibri" w:cs="Arial"/>
          <w:sz w:val="22"/>
          <w:szCs w:val="22"/>
        </w:rPr>
        <w:t xml:space="preserve">soda Ciech Janikowo o wartości </w:t>
      </w:r>
      <w:r w:rsidRPr="00EB7B94">
        <w:rPr>
          <w:rFonts w:ascii="Calibri" w:hAnsi="Calibri" w:cs="Arial"/>
          <w:sz w:val="22"/>
          <w:szCs w:val="22"/>
        </w:rPr>
        <w:t>1 240,00 tys. zł.</w:t>
      </w:r>
    </w:p>
    <w:p w14:paraId="1B9CE977" w14:textId="77777777" w:rsidR="00EB7B94" w:rsidRPr="00EB7B94" w:rsidRDefault="006232B6" w:rsidP="00D73705">
      <w:pPr>
        <w:numPr>
          <w:ilvl w:val="0"/>
          <w:numId w:val="14"/>
        </w:numPr>
        <w:spacing w:line="360" w:lineRule="auto"/>
        <w:ind w:left="1134" w:hanging="567"/>
        <w:jc w:val="both"/>
        <w:rPr>
          <w:rFonts w:ascii="Calibri" w:hAnsi="Calibri" w:cs="Arial"/>
          <w:sz w:val="22"/>
          <w:szCs w:val="22"/>
        </w:rPr>
      </w:pPr>
      <w:r>
        <w:rPr>
          <w:rFonts w:ascii="Calibri" w:hAnsi="Calibri" w:cs="Arial"/>
          <w:sz w:val="22"/>
          <w:szCs w:val="22"/>
        </w:rPr>
        <w:t xml:space="preserve">APS </w:t>
      </w:r>
      <w:proofErr w:type="spellStart"/>
      <w:r>
        <w:rPr>
          <w:rFonts w:ascii="Calibri" w:hAnsi="Calibri" w:cs="Arial"/>
          <w:sz w:val="22"/>
          <w:szCs w:val="22"/>
        </w:rPr>
        <w:t>SpA</w:t>
      </w:r>
      <w:proofErr w:type="spellEnd"/>
      <w:r>
        <w:rPr>
          <w:rFonts w:ascii="Calibri" w:hAnsi="Calibri" w:cs="Arial"/>
          <w:sz w:val="22"/>
          <w:szCs w:val="22"/>
        </w:rPr>
        <w:t xml:space="preserve"> Włochy – Umowa </w:t>
      </w:r>
      <w:r w:rsidR="00EB7B94" w:rsidRPr="00EB7B94">
        <w:rPr>
          <w:rFonts w:ascii="Calibri" w:hAnsi="Calibri" w:cs="Arial"/>
          <w:sz w:val="22"/>
          <w:szCs w:val="22"/>
        </w:rPr>
        <w:t>na wykonanie Zbiorników Kwasoodpornych o wartości 2 473,46 tys. zł.</w:t>
      </w:r>
    </w:p>
    <w:p w14:paraId="6DB54049" w14:textId="77777777" w:rsidR="00EB7B94" w:rsidRPr="00EB7B94" w:rsidRDefault="006232B6" w:rsidP="00D73705">
      <w:pPr>
        <w:numPr>
          <w:ilvl w:val="0"/>
          <w:numId w:val="14"/>
        </w:numPr>
        <w:spacing w:line="360" w:lineRule="auto"/>
        <w:ind w:left="1134" w:hanging="567"/>
        <w:jc w:val="both"/>
        <w:rPr>
          <w:rFonts w:ascii="Calibri" w:hAnsi="Calibri" w:cs="Arial"/>
          <w:sz w:val="22"/>
          <w:szCs w:val="22"/>
        </w:rPr>
      </w:pPr>
      <w:r>
        <w:rPr>
          <w:rFonts w:ascii="Calibri" w:hAnsi="Calibri" w:cs="Arial"/>
          <w:sz w:val="22"/>
          <w:szCs w:val="22"/>
        </w:rPr>
        <w:t xml:space="preserve">APS </w:t>
      </w:r>
      <w:proofErr w:type="spellStart"/>
      <w:r>
        <w:rPr>
          <w:rFonts w:ascii="Calibri" w:hAnsi="Calibri" w:cs="Arial"/>
          <w:sz w:val="22"/>
          <w:szCs w:val="22"/>
        </w:rPr>
        <w:t>SpA</w:t>
      </w:r>
      <w:proofErr w:type="spellEnd"/>
      <w:r>
        <w:rPr>
          <w:rFonts w:ascii="Calibri" w:hAnsi="Calibri" w:cs="Arial"/>
          <w:sz w:val="22"/>
          <w:szCs w:val="22"/>
        </w:rPr>
        <w:t xml:space="preserve"> Włochy – Umowa</w:t>
      </w:r>
      <w:r w:rsidR="00EB7B94">
        <w:rPr>
          <w:rFonts w:ascii="Calibri" w:hAnsi="Calibri" w:cs="Arial"/>
          <w:sz w:val="22"/>
          <w:szCs w:val="22"/>
        </w:rPr>
        <w:t xml:space="preserve"> </w:t>
      </w:r>
      <w:r w:rsidR="00EB7B94" w:rsidRPr="00EB7B94">
        <w:rPr>
          <w:rFonts w:ascii="Calibri" w:hAnsi="Calibri" w:cs="Arial"/>
          <w:sz w:val="22"/>
          <w:szCs w:val="22"/>
        </w:rPr>
        <w:t>na wykonanie Zbiorników Kwasoodpornych z dnia 27.06.2016</w:t>
      </w:r>
      <w:r w:rsidR="00870569">
        <w:rPr>
          <w:rFonts w:ascii="Calibri" w:hAnsi="Calibri" w:cs="Arial"/>
          <w:sz w:val="22"/>
          <w:szCs w:val="22"/>
        </w:rPr>
        <w:t xml:space="preserve"> </w:t>
      </w:r>
      <w:r w:rsidR="00EB7B94" w:rsidRPr="00EB7B94">
        <w:rPr>
          <w:rFonts w:ascii="Calibri" w:hAnsi="Calibri" w:cs="Arial"/>
          <w:sz w:val="22"/>
          <w:szCs w:val="22"/>
        </w:rPr>
        <w:t>r</w:t>
      </w:r>
      <w:r w:rsidR="00870569">
        <w:rPr>
          <w:rFonts w:ascii="Calibri" w:hAnsi="Calibri" w:cs="Arial"/>
          <w:sz w:val="22"/>
          <w:szCs w:val="22"/>
        </w:rPr>
        <w:t>.</w:t>
      </w:r>
      <w:r w:rsidR="00EB7B94" w:rsidRPr="00EB7B94">
        <w:rPr>
          <w:rFonts w:ascii="Calibri" w:hAnsi="Calibri" w:cs="Arial"/>
          <w:sz w:val="22"/>
          <w:szCs w:val="22"/>
        </w:rPr>
        <w:t xml:space="preserve"> o wartości 1 068,76 tys. zł.</w:t>
      </w:r>
    </w:p>
    <w:p w14:paraId="5D702A5A" w14:textId="77777777" w:rsidR="00292EE0" w:rsidRPr="008A7A53" w:rsidRDefault="00292EE0" w:rsidP="00EB7B94">
      <w:pPr>
        <w:pStyle w:val="p1"/>
        <w:spacing w:line="360" w:lineRule="auto"/>
        <w:jc w:val="both"/>
        <w:rPr>
          <w:rFonts w:ascii="Calibri" w:hAnsi="Calibri" w:cs="Arial"/>
          <w:u w:val="single"/>
        </w:rPr>
      </w:pPr>
      <w:r w:rsidRPr="008A7A53">
        <w:rPr>
          <w:rFonts w:ascii="Calibri" w:hAnsi="Calibri" w:cs="Arial"/>
          <w:u w:val="single"/>
        </w:rPr>
        <w:t xml:space="preserve">Ważniejsze kontrakty zawarte z kontrahentami przez – PETRO </w:t>
      </w:r>
      <w:proofErr w:type="spellStart"/>
      <w:r w:rsidRPr="008A7A53">
        <w:rPr>
          <w:rFonts w:ascii="Calibri" w:hAnsi="Calibri" w:cs="Arial"/>
          <w:u w:val="single"/>
        </w:rPr>
        <w:t>EnergoRem</w:t>
      </w:r>
      <w:proofErr w:type="spellEnd"/>
      <w:r w:rsidRPr="008A7A53">
        <w:rPr>
          <w:rFonts w:ascii="Calibri" w:hAnsi="Calibri" w:cs="Arial"/>
          <w:u w:val="single"/>
        </w:rPr>
        <w:t xml:space="preserve"> Sp. z o.o.:</w:t>
      </w:r>
    </w:p>
    <w:p w14:paraId="3315A606" w14:textId="77777777" w:rsidR="009E3D78" w:rsidRPr="009E3D78" w:rsidRDefault="009E3D78" w:rsidP="009E3D78">
      <w:pPr>
        <w:pStyle w:val="p1"/>
        <w:spacing w:before="0" w:after="60" w:line="360" w:lineRule="auto"/>
        <w:jc w:val="both"/>
        <w:rPr>
          <w:rFonts w:ascii="Calibri" w:hAnsi="Calibri" w:cs="Arial"/>
          <w:b/>
          <w:color w:val="000000"/>
          <w:sz w:val="22"/>
          <w:szCs w:val="22"/>
        </w:rPr>
      </w:pPr>
      <w:r w:rsidRPr="009E3D78">
        <w:rPr>
          <w:rFonts w:ascii="Calibri" w:hAnsi="Calibri" w:cs="Arial"/>
          <w:b/>
          <w:color w:val="000000"/>
          <w:sz w:val="22"/>
          <w:szCs w:val="22"/>
        </w:rPr>
        <w:t xml:space="preserve">PKN ORLEN S.A.: </w:t>
      </w:r>
    </w:p>
    <w:p w14:paraId="608EFA29" w14:textId="77777777" w:rsidR="009E3D78" w:rsidRPr="009E3D78" w:rsidRDefault="009E3D78" w:rsidP="00D73705">
      <w:pPr>
        <w:pStyle w:val="p1"/>
        <w:numPr>
          <w:ilvl w:val="0"/>
          <w:numId w:val="28"/>
        </w:numPr>
        <w:suppressAutoHyphens/>
        <w:autoSpaceDN w:val="0"/>
        <w:spacing w:before="0" w:beforeAutospacing="0" w:after="60" w:afterAutospacing="0" w:line="360" w:lineRule="auto"/>
        <w:ind w:left="1080" w:hanging="513"/>
        <w:jc w:val="both"/>
        <w:textAlignment w:val="baseline"/>
        <w:rPr>
          <w:rFonts w:ascii="Calibri" w:hAnsi="Calibri" w:cs="Arial"/>
          <w:color w:val="000000"/>
          <w:sz w:val="22"/>
          <w:szCs w:val="22"/>
        </w:rPr>
      </w:pPr>
      <w:r>
        <w:rPr>
          <w:rFonts w:ascii="Calibri" w:hAnsi="Calibri" w:cs="Arial"/>
          <w:color w:val="000000"/>
          <w:sz w:val="22"/>
          <w:szCs w:val="22"/>
        </w:rPr>
        <w:t>u</w:t>
      </w:r>
      <w:r w:rsidRPr="009E3D78">
        <w:rPr>
          <w:rFonts w:ascii="Calibri" w:hAnsi="Calibri" w:cs="Arial"/>
          <w:color w:val="000000"/>
          <w:sz w:val="22"/>
          <w:szCs w:val="22"/>
        </w:rPr>
        <w:t>mowy na wykonanie prac remontowych w branży mechaniczno</w:t>
      </w:r>
      <w:r>
        <w:rPr>
          <w:rFonts w:ascii="Calibri" w:hAnsi="Calibri" w:cs="Arial"/>
          <w:color w:val="000000"/>
          <w:sz w:val="22"/>
          <w:szCs w:val="22"/>
        </w:rPr>
        <w:t>-</w:t>
      </w:r>
      <w:r w:rsidRPr="009E3D78">
        <w:rPr>
          <w:rFonts w:ascii="Calibri" w:hAnsi="Calibri" w:cs="Arial"/>
          <w:color w:val="000000"/>
          <w:sz w:val="22"/>
          <w:szCs w:val="22"/>
        </w:rPr>
        <w:t>montażowej oraz elektrycznej za łącznym wynagrodzeniem około 8.500.000,00 zł + VAT</w:t>
      </w:r>
      <w:r>
        <w:rPr>
          <w:rFonts w:ascii="Calibri" w:hAnsi="Calibri" w:cs="Arial"/>
          <w:color w:val="000000"/>
          <w:sz w:val="22"/>
          <w:szCs w:val="22"/>
        </w:rPr>
        <w:t>,</w:t>
      </w:r>
    </w:p>
    <w:p w14:paraId="681FE9C2" w14:textId="77777777" w:rsidR="009E3D78" w:rsidRPr="009E3D78" w:rsidRDefault="009E3D78" w:rsidP="00D73705">
      <w:pPr>
        <w:pStyle w:val="p1"/>
        <w:numPr>
          <w:ilvl w:val="0"/>
          <w:numId w:val="28"/>
        </w:numPr>
        <w:suppressAutoHyphens/>
        <w:autoSpaceDN w:val="0"/>
        <w:spacing w:before="0" w:beforeAutospacing="0" w:after="60" w:afterAutospacing="0" w:line="360" w:lineRule="auto"/>
        <w:ind w:left="1080" w:hanging="513"/>
        <w:jc w:val="both"/>
        <w:textAlignment w:val="baseline"/>
        <w:rPr>
          <w:rFonts w:ascii="Calibri" w:hAnsi="Calibri" w:cs="Arial"/>
          <w:color w:val="000000"/>
          <w:sz w:val="22"/>
          <w:szCs w:val="22"/>
        </w:rPr>
      </w:pPr>
      <w:r>
        <w:rPr>
          <w:rFonts w:ascii="Calibri" w:hAnsi="Calibri" w:cs="Arial"/>
          <w:color w:val="000000"/>
          <w:sz w:val="22"/>
          <w:szCs w:val="22"/>
        </w:rPr>
        <w:t>u</w:t>
      </w:r>
      <w:r w:rsidRPr="009E3D78">
        <w:rPr>
          <w:rFonts w:ascii="Calibri" w:hAnsi="Calibri" w:cs="Arial"/>
          <w:color w:val="000000"/>
          <w:sz w:val="22"/>
          <w:szCs w:val="22"/>
        </w:rPr>
        <w:t>mowy na wykonanie prac w zakresie regeneracji armatury za łącznym wynagrodzeniem około 200.000,00 zł + VAT</w:t>
      </w:r>
      <w:r>
        <w:rPr>
          <w:rFonts w:ascii="Calibri" w:hAnsi="Calibri" w:cs="Arial"/>
          <w:color w:val="000000"/>
          <w:sz w:val="22"/>
          <w:szCs w:val="22"/>
        </w:rPr>
        <w:t>,</w:t>
      </w:r>
    </w:p>
    <w:p w14:paraId="2B57A2C7" w14:textId="77777777" w:rsidR="009E3D78" w:rsidRPr="009E3D78" w:rsidRDefault="009E3D78" w:rsidP="00D73705">
      <w:pPr>
        <w:pStyle w:val="p1"/>
        <w:numPr>
          <w:ilvl w:val="0"/>
          <w:numId w:val="28"/>
        </w:numPr>
        <w:suppressAutoHyphens/>
        <w:autoSpaceDN w:val="0"/>
        <w:spacing w:before="0" w:beforeAutospacing="0" w:after="60" w:afterAutospacing="0" w:line="360" w:lineRule="auto"/>
        <w:ind w:left="1080" w:hanging="513"/>
        <w:jc w:val="both"/>
        <w:textAlignment w:val="baseline"/>
        <w:rPr>
          <w:rFonts w:ascii="Calibri" w:hAnsi="Calibri" w:cs="Arial"/>
          <w:color w:val="000000"/>
          <w:sz w:val="22"/>
          <w:szCs w:val="22"/>
        </w:rPr>
      </w:pPr>
      <w:r>
        <w:rPr>
          <w:rFonts w:ascii="Calibri" w:hAnsi="Calibri" w:cs="Arial"/>
          <w:color w:val="000000"/>
          <w:sz w:val="22"/>
          <w:szCs w:val="22"/>
        </w:rPr>
        <w:lastRenderedPageBreak/>
        <w:t>u</w:t>
      </w:r>
      <w:r w:rsidRPr="009E3D78">
        <w:rPr>
          <w:rFonts w:ascii="Calibri" w:hAnsi="Calibri" w:cs="Arial"/>
          <w:color w:val="000000"/>
          <w:sz w:val="22"/>
          <w:szCs w:val="22"/>
        </w:rPr>
        <w:t>mowy na wykonanie prac w branżach mechanicznej i automatycznej w ramach zadań inwestycyjnych za łącznym wynagrodzeniem około 300.000,00 zł + VAT.</w:t>
      </w:r>
    </w:p>
    <w:p w14:paraId="5C0C63F7" w14:textId="77777777" w:rsidR="009E3D78" w:rsidRPr="009E3D78" w:rsidRDefault="009E3D78" w:rsidP="009E3D78">
      <w:pPr>
        <w:pStyle w:val="p1"/>
        <w:spacing w:before="0" w:after="60" w:line="360" w:lineRule="auto"/>
        <w:jc w:val="both"/>
        <w:rPr>
          <w:rFonts w:ascii="Calibri" w:hAnsi="Calibri" w:cs="Arial"/>
          <w:b/>
          <w:color w:val="000000"/>
          <w:sz w:val="22"/>
          <w:szCs w:val="22"/>
        </w:rPr>
      </w:pPr>
      <w:r w:rsidRPr="009E3D78">
        <w:rPr>
          <w:rFonts w:ascii="Calibri" w:hAnsi="Calibri" w:cs="Arial"/>
          <w:b/>
          <w:color w:val="000000"/>
          <w:sz w:val="22"/>
          <w:szCs w:val="22"/>
        </w:rPr>
        <w:t xml:space="preserve">ORLEN EKO Sp. </w:t>
      </w:r>
      <w:r>
        <w:rPr>
          <w:rFonts w:ascii="Calibri" w:hAnsi="Calibri" w:cs="Arial"/>
          <w:b/>
          <w:color w:val="000000"/>
          <w:sz w:val="22"/>
          <w:szCs w:val="22"/>
        </w:rPr>
        <w:t>z o.o.</w:t>
      </w:r>
      <w:r w:rsidRPr="009E3D78">
        <w:rPr>
          <w:rFonts w:ascii="Calibri" w:hAnsi="Calibri" w:cs="Arial"/>
          <w:b/>
          <w:color w:val="000000"/>
          <w:sz w:val="22"/>
          <w:szCs w:val="22"/>
        </w:rPr>
        <w:t>:</w:t>
      </w:r>
    </w:p>
    <w:p w14:paraId="6263D2FF" w14:textId="77777777" w:rsidR="009E3D78" w:rsidRPr="009E3D78" w:rsidRDefault="009E3D78" w:rsidP="00D73705">
      <w:pPr>
        <w:pStyle w:val="p1"/>
        <w:numPr>
          <w:ilvl w:val="0"/>
          <w:numId w:val="28"/>
        </w:numPr>
        <w:suppressAutoHyphens/>
        <w:autoSpaceDN w:val="0"/>
        <w:spacing w:before="0" w:beforeAutospacing="0" w:after="60" w:afterAutospacing="0" w:line="360" w:lineRule="auto"/>
        <w:ind w:left="1080" w:hanging="513"/>
        <w:jc w:val="both"/>
        <w:textAlignment w:val="baseline"/>
        <w:rPr>
          <w:rFonts w:ascii="Calibri" w:hAnsi="Calibri" w:cs="Arial"/>
          <w:color w:val="000000"/>
          <w:sz w:val="22"/>
          <w:szCs w:val="22"/>
        </w:rPr>
      </w:pPr>
      <w:r>
        <w:rPr>
          <w:rFonts w:ascii="Calibri" w:hAnsi="Calibri" w:cs="Arial"/>
          <w:color w:val="000000"/>
          <w:sz w:val="22"/>
          <w:szCs w:val="22"/>
        </w:rPr>
        <w:t>u</w:t>
      </w:r>
      <w:r w:rsidRPr="009E3D78">
        <w:rPr>
          <w:rFonts w:ascii="Calibri" w:hAnsi="Calibri" w:cs="Arial"/>
          <w:color w:val="000000"/>
          <w:sz w:val="22"/>
          <w:szCs w:val="22"/>
        </w:rPr>
        <w:t>mowa na wykonanie przygotowania zbiorników do rewizji około 100.000,00 zł + VAT</w:t>
      </w:r>
      <w:r>
        <w:rPr>
          <w:rFonts w:ascii="Calibri" w:hAnsi="Calibri" w:cs="Arial"/>
          <w:color w:val="000000"/>
          <w:sz w:val="22"/>
          <w:szCs w:val="22"/>
        </w:rPr>
        <w:t>.</w:t>
      </w:r>
    </w:p>
    <w:p w14:paraId="2AA2596E" w14:textId="77777777" w:rsidR="009E3D78" w:rsidRPr="009E3D78" w:rsidRDefault="009E3D78" w:rsidP="009E3D78">
      <w:pPr>
        <w:pStyle w:val="p1"/>
        <w:spacing w:before="0" w:after="60" w:line="360" w:lineRule="auto"/>
        <w:jc w:val="both"/>
        <w:rPr>
          <w:rFonts w:ascii="Calibri" w:hAnsi="Calibri" w:cs="Arial"/>
          <w:b/>
          <w:color w:val="000000"/>
          <w:sz w:val="22"/>
          <w:szCs w:val="22"/>
        </w:rPr>
      </w:pPr>
      <w:r w:rsidRPr="009E3D78">
        <w:rPr>
          <w:rFonts w:ascii="Calibri" w:hAnsi="Calibri" w:cs="Arial"/>
          <w:b/>
          <w:color w:val="000000"/>
          <w:sz w:val="22"/>
          <w:szCs w:val="22"/>
        </w:rPr>
        <w:t>REVICO</w:t>
      </w:r>
      <w:r>
        <w:rPr>
          <w:rFonts w:ascii="Calibri" w:hAnsi="Calibri" w:cs="Arial"/>
          <w:b/>
          <w:color w:val="000000"/>
          <w:sz w:val="22"/>
          <w:szCs w:val="22"/>
        </w:rPr>
        <w:t xml:space="preserve"> S.A.</w:t>
      </w:r>
      <w:r w:rsidRPr="009E3D78">
        <w:rPr>
          <w:rFonts w:ascii="Calibri" w:hAnsi="Calibri" w:cs="Arial"/>
          <w:b/>
          <w:color w:val="000000"/>
          <w:sz w:val="22"/>
          <w:szCs w:val="22"/>
        </w:rPr>
        <w:t>:</w:t>
      </w:r>
    </w:p>
    <w:p w14:paraId="314D8DCE" w14:textId="77777777" w:rsidR="009E3D78" w:rsidRPr="009E3D78" w:rsidRDefault="009E3D78" w:rsidP="00D73705">
      <w:pPr>
        <w:pStyle w:val="p1"/>
        <w:numPr>
          <w:ilvl w:val="0"/>
          <w:numId w:val="28"/>
        </w:numPr>
        <w:suppressAutoHyphens/>
        <w:autoSpaceDN w:val="0"/>
        <w:spacing w:before="0" w:beforeAutospacing="0" w:after="60" w:afterAutospacing="0" w:line="360" w:lineRule="auto"/>
        <w:ind w:left="1080" w:hanging="513"/>
        <w:jc w:val="both"/>
        <w:textAlignment w:val="baseline"/>
        <w:rPr>
          <w:rFonts w:ascii="Calibri" w:hAnsi="Calibri" w:cs="Arial"/>
          <w:color w:val="000000"/>
          <w:sz w:val="22"/>
          <w:szCs w:val="22"/>
        </w:rPr>
      </w:pPr>
      <w:r>
        <w:rPr>
          <w:rFonts w:ascii="Calibri" w:hAnsi="Calibri" w:cs="Arial"/>
          <w:color w:val="000000"/>
          <w:sz w:val="22"/>
          <w:szCs w:val="22"/>
        </w:rPr>
        <w:t>u</w:t>
      </w:r>
      <w:r w:rsidRPr="009E3D78">
        <w:rPr>
          <w:rFonts w:ascii="Calibri" w:hAnsi="Calibri" w:cs="Arial"/>
          <w:color w:val="000000"/>
          <w:sz w:val="22"/>
          <w:szCs w:val="22"/>
        </w:rPr>
        <w:t>mowa na wymianę 14 szt. silników NN napędzające agregaty pompowe na nowe silniki około 80.000,00 zł + VAT</w:t>
      </w:r>
      <w:r>
        <w:rPr>
          <w:rFonts w:ascii="Calibri" w:hAnsi="Calibri" w:cs="Arial"/>
          <w:color w:val="000000"/>
          <w:sz w:val="22"/>
          <w:szCs w:val="22"/>
        </w:rPr>
        <w:t>.</w:t>
      </w:r>
    </w:p>
    <w:p w14:paraId="0745DE33" w14:textId="77777777" w:rsidR="009E3D78" w:rsidRPr="009E3D78" w:rsidRDefault="009E3D78" w:rsidP="009E3D78">
      <w:pPr>
        <w:pStyle w:val="p1"/>
        <w:spacing w:before="0" w:after="60" w:line="360" w:lineRule="auto"/>
        <w:jc w:val="both"/>
        <w:rPr>
          <w:rFonts w:ascii="Calibri" w:hAnsi="Calibri" w:cs="Arial"/>
          <w:b/>
          <w:color w:val="000000"/>
          <w:sz w:val="22"/>
          <w:szCs w:val="22"/>
        </w:rPr>
      </w:pPr>
      <w:r w:rsidRPr="009E3D78">
        <w:rPr>
          <w:rFonts w:ascii="Calibri" w:hAnsi="Calibri" w:cs="Arial"/>
          <w:b/>
          <w:color w:val="000000"/>
          <w:sz w:val="22"/>
          <w:szCs w:val="22"/>
        </w:rPr>
        <w:t>VIGRAN Sp. j.</w:t>
      </w:r>
    </w:p>
    <w:p w14:paraId="1E69ED26" w14:textId="77777777" w:rsidR="009E3D78" w:rsidRPr="009E3D78" w:rsidRDefault="009E3D78" w:rsidP="00D73705">
      <w:pPr>
        <w:pStyle w:val="p1"/>
        <w:numPr>
          <w:ilvl w:val="0"/>
          <w:numId w:val="28"/>
        </w:numPr>
        <w:suppressAutoHyphens/>
        <w:autoSpaceDN w:val="0"/>
        <w:spacing w:before="0" w:beforeAutospacing="0" w:after="60" w:afterAutospacing="0" w:line="360" w:lineRule="auto"/>
        <w:ind w:left="1080" w:hanging="513"/>
        <w:jc w:val="both"/>
        <w:textAlignment w:val="baseline"/>
        <w:rPr>
          <w:sz w:val="22"/>
          <w:szCs w:val="22"/>
        </w:rPr>
      </w:pPr>
      <w:r>
        <w:rPr>
          <w:rFonts w:ascii="Calibri" w:hAnsi="Calibri" w:cs="Arial"/>
          <w:color w:val="000000"/>
          <w:sz w:val="22"/>
          <w:szCs w:val="22"/>
        </w:rPr>
        <w:t>u</w:t>
      </w:r>
      <w:r w:rsidRPr="009E3D78">
        <w:rPr>
          <w:rFonts w:ascii="Calibri" w:hAnsi="Calibri" w:cs="Arial"/>
          <w:color w:val="000000"/>
          <w:sz w:val="22"/>
          <w:szCs w:val="22"/>
        </w:rPr>
        <w:t xml:space="preserve">mowa na dostawę materiałów oraz wykonanie prac związanych z modyfikacją blokad </w:t>
      </w:r>
      <w:proofErr w:type="spellStart"/>
      <w:r w:rsidRPr="009E3D78">
        <w:rPr>
          <w:rFonts w:ascii="Calibri" w:hAnsi="Calibri" w:cs="Arial"/>
          <w:color w:val="000000"/>
          <w:sz w:val="22"/>
          <w:szCs w:val="22"/>
        </w:rPr>
        <w:t>AKPiA</w:t>
      </w:r>
      <w:proofErr w:type="spellEnd"/>
      <w:r w:rsidRPr="009E3D78">
        <w:rPr>
          <w:rFonts w:ascii="Calibri" w:hAnsi="Calibri" w:cs="Arial"/>
          <w:color w:val="000000"/>
          <w:sz w:val="22"/>
          <w:szCs w:val="22"/>
        </w:rPr>
        <w:t xml:space="preserve"> około 40.000,00 zł + VAT</w:t>
      </w:r>
      <w:r>
        <w:rPr>
          <w:rFonts w:ascii="Calibri" w:hAnsi="Calibri" w:cs="Arial"/>
          <w:color w:val="000000"/>
          <w:sz w:val="22"/>
          <w:szCs w:val="22"/>
        </w:rPr>
        <w:t>.</w:t>
      </w:r>
    </w:p>
    <w:p w14:paraId="60BB7B22" w14:textId="77777777" w:rsidR="009E3D78" w:rsidRPr="009E3D78" w:rsidRDefault="009E3D78" w:rsidP="009E3D78">
      <w:pPr>
        <w:pStyle w:val="p1"/>
        <w:suppressAutoHyphens/>
        <w:autoSpaceDN w:val="0"/>
        <w:spacing w:before="0" w:beforeAutospacing="0" w:after="60" w:afterAutospacing="0" w:line="360" w:lineRule="auto"/>
        <w:ind w:left="1080"/>
        <w:jc w:val="both"/>
        <w:textAlignment w:val="baseline"/>
        <w:rPr>
          <w:sz w:val="2"/>
          <w:szCs w:val="2"/>
        </w:rPr>
      </w:pPr>
    </w:p>
    <w:p w14:paraId="136FA743" w14:textId="77777777" w:rsidR="009E3D78" w:rsidRPr="009E3D78" w:rsidRDefault="009E3D78" w:rsidP="009E3D78">
      <w:pPr>
        <w:pStyle w:val="p1"/>
        <w:suppressAutoHyphens/>
        <w:autoSpaceDN w:val="0"/>
        <w:spacing w:before="0" w:beforeAutospacing="0" w:after="60" w:afterAutospacing="0" w:line="360" w:lineRule="auto"/>
        <w:jc w:val="both"/>
        <w:textAlignment w:val="baseline"/>
        <w:rPr>
          <w:rFonts w:ascii="Calibri" w:hAnsi="Calibri" w:cs="Arial"/>
          <w:b/>
          <w:color w:val="000000"/>
          <w:sz w:val="22"/>
          <w:szCs w:val="22"/>
        </w:rPr>
      </w:pPr>
      <w:r w:rsidRPr="009E3D78">
        <w:rPr>
          <w:rFonts w:ascii="Calibri" w:hAnsi="Calibri" w:cs="Arial"/>
          <w:b/>
          <w:color w:val="000000"/>
          <w:sz w:val="22"/>
          <w:szCs w:val="22"/>
        </w:rPr>
        <w:t>SPEC-REM Sp. z o.o.</w:t>
      </w:r>
    </w:p>
    <w:p w14:paraId="3D707BFF" w14:textId="77777777" w:rsidR="009E3D78" w:rsidRPr="009E3D78" w:rsidRDefault="009E3D78" w:rsidP="00D73705">
      <w:pPr>
        <w:pStyle w:val="p1"/>
        <w:numPr>
          <w:ilvl w:val="0"/>
          <w:numId w:val="29"/>
        </w:numPr>
        <w:suppressAutoHyphens/>
        <w:autoSpaceDN w:val="0"/>
        <w:spacing w:before="0" w:beforeAutospacing="0" w:after="60" w:afterAutospacing="0" w:line="360" w:lineRule="auto"/>
        <w:ind w:left="1134" w:hanging="513"/>
        <w:jc w:val="both"/>
        <w:textAlignment w:val="baseline"/>
        <w:rPr>
          <w:rFonts w:ascii="Calibri" w:hAnsi="Calibri"/>
          <w:sz w:val="22"/>
          <w:szCs w:val="22"/>
        </w:rPr>
      </w:pPr>
      <w:r>
        <w:rPr>
          <w:rFonts w:ascii="Calibri" w:hAnsi="Calibri"/>
          <w:sz w:val="22"/>
          <w:szCs w:val="22"/>
        </w:rPr>
        <w:t>u</w:t>
      </w:r>
      <w:r w:rsidRPr="009E3D78">
        <w:rPr>
          <w:rFonts w:ascii="Calibri" w:hAnsi="Calibri"/>
          <w:sz w:val="22"/>
          <w:szCs w:val="22"/>
        </w:rPr>
        <w:t>mowa na wykonanie regeneracji i docierania kołnierzy około 50.000,00 zł +VAT</w:t>
      </w:r>
      <w:r>
        <w:rPr>
          <w:rFonts w:ascii="Calibri" w:hAnsi="Calibri"/>
          <w:sz w:val="22"/>
          <w:szCs w:val="22"/>
        </w:rPr>
        <w:t>.</w:t>
      </w:r>
    </w:p>
    <w:p w14:paraId="1F51CA7E" w14:textId="77777777" w:rsidR="009E3D78" w:rsidRPr="009E3D78" w:rsidRDefault="009E3D78" w:rsidP="009E3D78">
      <w:pPr>
        <w:pStyle w:val="Zwykytekst"/>
        <w:tabs>
          <w:tab w:val="left" w:pos="567"/>
        </w:tabs>
        <w:spacing w:before="240" w:after="240" w:line="360" w:lineRule="auto"/>
        <w:jc w:val="both"/>
        <w:rPr>
          <w:rFonts w:asciiTheme="minorHAnsi" w:hAnsiTheme="minorHAnsi" w:cs="Times New Roman"/>
          <w:sz w:val="22"/>
          <w:szCs w:val="22"/>
        </w:rPr>
      </w:pPr>
      <w:r>
        <w:rPr>
          <w:rFonts w:asciiTheme="minorHAnsi" w:hAnsiTheme="minorHAnsi" w:cs="Times New Roman"/>
          <w:sz w:val="22"/>
          <w:szCs w:val="22"/>
        </w:rPr>
        <w:tab/>
      </w:r>
      <w:r w:rsidRPr="009E3D78">
        <w:rPr>
          <w:rFonts w:asciiTheme="minorHAnsi" w:hAnsiTheme="minorHAnsi" w:cs="Times New Roman"/>
          <w:sz w:val="22"/>
          <w:szCs w:val="22"/>
        </w:rPr>
        <w:t>Ponadto Spółka w I półroczu 2016 r. realizowała prace w ramach kontraktów zawartych w latach ubiegłych.  Ważniejsze kontrakty:</w:t>
      </w:r>
    </w:p>
    <w:p w14:paraId="1FD209FC" w14:textId="77777777" w:rsidR="009E3D78" w:rsidRPr="009E3D78" w:rsidRDefault="009E3D78" w:rsidP="009E3D78">
      <w:pPr>
        <w:pStyle w:val="p1"/>
        <w:spacing w:before="0" w:beforeAutospacing="0" w:after="60" w:afterAutospacing="0" w:line="360" w:lineRule="auto"/>
        <w:jc w:val="both"/>
        <w:rPr>
          <w:rFonts w:ascii="Calibri" w:hAnsi="Calibri" w:cs="Arial"/>
          <w:b/>
          <w:sz w:val="22"/>
          <w:szCs w:val="22"/>
        </w:rPr>
      </w:pPr>
      <w:r w:rsidRPr="009E3D78">
        <w:rPr>
          <w:rFonts w:ascii="Calibri" w:hAnsi="Calibri" w:cs="Arial"/>
          <w:b/>
          <w:sz w:val="22"/>
          <w:szCs w:val="22"/>
        </w:rPr>
        <w:t>PKN ORLEN S.A.:</w:t>
      </w:r>
    </w:p>
    <w:p w14:paraId="57D5C397" w14:textId="77777777" w:rsidR="009E3D78" w:rsidRPr="009E3D78" w:rsidRDefault="009E3D78" w:rsidP="00D73705">
      <w:pPr>
        <w:pStyle w:val="p1"/>
        <w:numPr>
          <w:ilvl w:val="0"/>
          <w:numId w:val="6"/>
        </w:numPr>
        <w:spacing w:before="0" w:beforeAutospacing="0" w:after="60" w:afterAutospacing="0" w:line="360" w:lineRule="auto"/>
        <w:ind w:left="1080"/>
        <w:jc w:val="both"/>
        <w:rPr>
          <w:rFonts w:ascii="Calibri" w:hAnsi="Calibri" w:cs="Arial"/>
          <w:sz w:val="22"/>
          <w:szCs w:val="22"/>
        </w:rPr>
      </w:pPr>
      <w:r>
        <w:rPr>
          <w:rFonts w:ascii="Calibri" w:hAnsi="Calibri" w:cs="Arial"/>
          <w:sz w:val="22"/>
          <w:szCs w:val="22"/>
        </w:rPr>
        <w:t>u</w:t>
      </w:r>
      <w:r w:rsidRPr="009E3D78">
        <w:rPr>
          <w:rFonts w:ascii="Calibri" w:hAnsi="Calibri" w:cs="Arial"/>
          <w:sz w:val="22"/>
          <w:szCs w:val="22"/>
        </w:rPr>
        <w:t>mowa serwisowa na realizację</w:t>
      </w:r>
      <w:r>
        <w:rPr>
          <w:rFonts w:ascii="Calibri" w:hAnsi="Calibri" w:cs="Arial"/>
          <w:sz w:val="22"/>
          <w:szCs w:val="22"/>
        </w:rPr>
        <w:t xml:space="preserve"> bieżących prac konserwacyjno-</w:t>
      </w:r>
      <w:r w:rsidRPr="009E3D78">
        <w:rPr>
          <w:rFonts w:ascii="Calibri" w:hAnsi="Calibri" w:cs="Arial"/>
          <w:sz w:val="22"/>
          <w:szCs w:val="22"/>
        </w:rPr>
        <w:t xml:space="preserve">remontowych w zakresie wymaganym dla zapewnienia sprawności technicznej instalacji produkcyjnych i pomocniczych PKN ORLEN S.A. w branżach: mechanicznej, elektrycznej i automatycznej za wynagrodzeniem w I półroczu 2016r. w wysokości około 1.500.000,00 zł + VAT. </w:t>
      </w:r>
    </w:p>
    <w:p w14:paraId="3EBD56CA" w14:textId="77777777" w:rsidR="009E3D78" w:rsidRDefault="009E3D78" w:rsidP="00D73705">
      <w:pPr>
        <w:pStyle w:val="p1"/>
        <w:numPr>
          <w:ilvl w:val="0"/>
          <w:numId w:val="6"/>
        </w:numPr>
        <w:spacing w:before="0" w:beforeAutospacing="0" w:after="60" w:afterAutospacing="0" w:line="360" w:lineRule="auto"/>
        <w:ind w:left="1080"/>
        <w:jc w:val="both"/>
        <w:rPr>
          <w:rFonts w:ascii="Calibri" w:hAnsi="Calibri" w:cs="Arial"/>
          <w:sz w:val="22"/>
          <w:szCs w:val="22"/>
        </w:rPr>
      </w:pPr>
      <w:r w:rsidRPr="009E3D78">
        <w:rPr>
          <w:rFonts w:ascii="Calibri" w:hAnsi="Calibri" w:cs="Arial"/>
          <w:sz w:val="22"/>
          <w:szCs w:val="22"/>
        </w:rPr>
        <w:t>Inne umowy branży mechanicznej, elektrycznej i automatycznej na kwotę około 7.000,00 zł + VAT</w:t>
      </w:r>
    </w:p>
    <w:p w14:paraId="00B7628C" w14:textId="77777777" w:rsidR="009E3D78" w:rsidRPr="009E3D78" w:rsidRDefault="009E3D78" w:rsidP="009E3D78">
      <w:pPr>
        <w:pStyle w:val="p1"/>
        <w:spacing w:before="0" w:beforeAutospacing="0" w:after="60" w:afterAutospacing="0" w:line="360" w:lineRule="auto"/>
        <w:ind w:left="1080"/>
        <w:jc w:val="both"/>
        <w:rPr>
          <w:rFonts w:ascii="Calibri" w:hAnsi="Calibri" w:cs="Arial"/>
          <w:sz w:val="2"/>
          <w:szCs w:val="2"/>
        </w:rPr>
      </w:pPr>
    </w:p>
    <w:p w14:paraId="164C3C33" w14:textId="77777777" w:rsidR="009E3D78" w:rsidRPr="009E3D78" w:rsidRDefault="009E3D78" w:rsidP="009E3D78">
      <w:pPr>
        <w:pStyle w:val="p1"/>
        <w:spacing w:before="0" w:beforeAutospacing="0" w:after="60" w:afterAutospacing="0" w:line="360" w:lineRule="auto"/>
        <w:jc w:val="both"/>
        <w:rPr>
          <w:rFonts w:ascii="Calibri" w:hAnsi="Calibri" w:cs="Arial"/>
          <w:b/>
          <w:sz w:val="22"/>
          <w:szCs w:val="22"/>
        </w:rPr>
      </w:pPr>
      <w:r w:rsidRPr="009E3D78">
        <w:rPr>
          <w:rFonts w:ascii="Calibri" w:hAnsi="Calibri" w:cs="Arial"/>
          <w:b/>
          <w:sz w:val="22"/>
          <w:szCs w:val="22"/>
        </w:rPr>
        <w:t>POLIMEX Energetyka</w:t>
      </w:r>
    </w:p>
    <w:p w14:paraId="05AE31DF" w14:textId="77777777" w:rsidR="009E3D78" w:rsidRPr="009E3D78" w:rsidRDefault="009E3D78" w:rsidP="00D73705">
      <w:pPr>
        <w:pStyle w:val="p1"/>
        <w:numPr>
          <w:ilvl w:val="0"/>
          <w:numId w:val="6"/>
        </w:numPr>
        <w:spacing w:before="0" w:beforeAutospacing="0" w:after="60" w:afterAutospacing="0" w:line="360" w:lineRule="auto"/>
        <w:ind w:left="1080"/>
        <w:jc w:val="both"/>
        <w:rPr>
          <w:rFonts w:ascii="Calibri" w:hAnsi="Calibri" w:cs="Arial"/>
          <w:sz w:val="22"/>
          <w:szCs w:val="22"/>
        </w:rPr>
      </w:pPr>
      <w:r w:rsidRPr="009E3D78">
        <w:rPr>
          <w:rFonts w:ascii="Calibri" w:hAnsi="Calibri" w:cs="Arial"/>
          <w:sz w:val="22"/>
          <w:szCs w:val="22"/>
        </w:rPr>
        <w:t>Umowa na wykonanie prac w branży AKPIA z modernizacją systemu BMS dla kotłów za wynagrodzeniem około 3.300.000,00 zł + VAT.</w:t>
      </w:r>
    </w:p>
    <w:p w14:paraId="06BBDF9D" w14:textId="77777777" w:rsidR="009E3D78" w:rsidRPr="000A3917" w:rsidRDefault="009E3D78" w:rsidP="009E3D78">
      <w:pPr>
        <w:pStyle w:val="Zwykytekst"/>
        <w:tabs>
          <w:tab w:val="left" w:pos="567"/>
        </w:tabs>
        <w:spacing w:line="360" w:lineRule="auto"/>
        <w:jc w:val="both"/>
        <w:rPr>
          <w:rFonts w:asciiTheme="minorHAnsi" w:hAnsiTheme="minorHAnsi"/>
          <w:sz w:val="10"/>
          <w:szCs w:val="10"/>
        </w:rPr>
      </w:pPr>
    </w:p>
    <w:p w14:paraId="2761B9EF" w14:textId="77777777" w:rsidR="001F4E2B" w:rsidRDefault="001F4E2B">
      <w:pPr>
        <w:rPr>
          <w:rFonts w:asciiTheme="minorHAnsi" w:hAnsiTheme="minorHAnsi" w:cs="Arial"/>
          <w:sz w:val="22"/>
          <w:szCs w:val="22"/>
        </w:rPr>
      </w:pPr>
      <w:r>
        <w:rPr>
          <w:rFonts w:asciiTheme="minorHAnsi" w:hAnsiTheme="minorHAnsi" w:cs="Arial"/>
          <w:sz w:val="22"/>
          <w:szCs w:val="22"/>
        </w:rPr>
        <w:br w:type="page"/>
      </w:r>
    </w:p>
    <w:p w14:paraId="707E5094" w14:textId="775F8AEE" w:rsidR="002B5A61" w:rsidRPr="009E3D78" w:rsidRDefault="009E3D78" w:rsidP="009E3D78">
      <w:pPr>
        <w:pStyle w:val="p1"/>
        <w:spacing w:before="0" w:beforeAutospacing="0" w:after="0" w:afterAutospacing="0" w:line="360" w:lineRule="auto"/>
        <w:ind w:firstLine="708"/>
        <w:jc w:val="both"/>
        <w:rPr>
          <w:rFonts w:asciiTheme="minorHAnsi" w:eastAsia="Times New Roman" w:hAnsiTheme="minorHAnsi"/>
          <w:sz w:val="22"/>
          <w:szCs w:val="22"/>
        </w:rPr>
      </w:pPr>
      <w:r w:rsidRPr="009E3D78">
        <w:rPr>
          <w:rFonts w:asciiTheme="minorHAnsi" w:eastAsia="Times New Roman" w:hAnsiTheme="minorHAnsi" w:cs="Arial"/>
          <w:sz w:val="22"/>
          <w:szCs w:val="22"/>
        </w:rPr>
        <w:lastRenderedPageBreak/>
        <w:t xml:space="preserve">Od początku 2016 r. uzyskaliśmy około  200 zamówień  od różnych kontrahentów na wartość około 11 mln </w:t>
      </w:r>
      <w:r>
        <w:rPr>
          <w:rFonts w:asciiTheme="minorHAnsi" w:eastAsia="Times New Roman" w:hAnsiTheme="minorHAnsi" w:cs="Arial"/>
          <w:sz w:val="22"/>
          <w:szCs w:val="22"/>
        </w:rPr>
        <w:t>zł</w:t>
      </w:r>
      <w:r w:rsidRPr="009E3D78">
        <w:rPr>
          <w:rFonts w:asciiTheme="minorHAnsi" w:eastAsia="Times New Roman" w:hAnsiTheme="minorHAnsi" w:cs="Arial"/>
          <w:sz w:val="22"/>
          <w:szCs w:val="22"/>
        </w:rPr>
        <w:t xml:space="preserve"> netto w zakresie remontów i modernizacji instalacji, urządzeń i armatury</w:t>
      </w:r>
      <w:r>
        <w:rPr>
          <w:rFonts w:asciiTheme="minorHAnsi" w:eastAsia="Times New Roman" w:hAnsiTheme="minorHAnsi" w:cs="Arial"/>
          <w:sz w:val="22"/>
          <w:szCs w:val="22"/>
        </w:rPr>
        <w:t xml:space="preserve"> przemysłowej,</w:t>
      </w:r>
      <w:r w:rsidR="002A1BE9">
        <w:rPr>
          <w:rFonts w:asciiTheme="minorHAnsi" w:eastAsia="Times New Roman" w:hAnsiTheme="minorHAnsi" w:cs="Arial"/>
          <w:sz w:val="22"/>
          <w:szCs w:val="22"/>
        </w:rPr>
        <w:t xml:space="preserve"> robót </w:t>
      </w:r>
      <w:r w:rsidRPr="009E3D78">
        <w:rPr>
          <w:rFonts w:asciiTheme="minorHAnsi" w:eastAsia="Times New Roman" w:hAnsiTheme="minorHAnsi" w:cs="Arial"/>
          <w:sz w:val="22"/>
          <w:szCs w:val="22"/>
        </w:rPr>
        <w:t xml:space="preserve">budowlano-montażowych, w tym w branży mechanicznej, elektrycznej i </w:t>
      </w:r>
      <w:proofErr w:type="spellStart"/>
      <w:r w:rsidRPr="009E3D78">
        <w:rPr>
          <w:rFonts w:asciiTheme="minorHAnsi" w:eastAsia="Times New Roman" w:hAnsiTheme="minorHAnsi" w:cs="Arial"/>
          <w:sz w:val="22"/>
          <w:szCs w:val="22"/>
        </w:rPr>
        <w:t>AKPiA</w:t>
      </w:r>
      <w:proofErr w:type="spellEnd"/>
      <w:r w:rsidRPr="009E3D78">
        <w:rPr>
          <w:rFonts w:asciiTheme="minorHAnsi" w:eastAsia="Times New Roman" w:hAnsiTheme="minorHAnsi" w:cs="Arial"/>
          <w:sz w:val="22"/>
          <w:szCs w:val="22"/>
        </w:rPr>
        <w:t xml:space="preserve">. </w:t>
      </w:r>
      <w:r w:rsidRPr="009E3D78">
        <w:rPr>
          <w:rFonts w:asciiTheme="minorHAnsi" w:hAnsiTheme="minorHAnsi" w:cs="Arial"/>
          <w:sz w:val="22"/>
          <w:szCs w:val="22"/>
        </w:rPr>
        <w:t xml:space="preserve">Spółka w dalszym ciągu realizuje umowy wieloletnie w zakresie: serwisu urządzeń PKN ORLEN S.A. Ponadto PETRO </w:t>
      </w:r>
      <w:proofErr w:type="spellStart"/>
      <w:r w:rsidRPr="009E3D78">
        <w:rPr>
          <w:rFonts w:asciiTheme="minorHAnsi" w:hAnsiTheme="minorHAnsi" w:cs="Arial"/>
          <w:sz w:val="22"/>
          <w:szCs w:val="22"/>
        </w:rPr>
        <w:t>EnergoRem</w:t>
      </w:r>
      <w:proofErr w:type="spellEnd"/>
      <w:r w:rsidRPr="009E3D78">
        <w:rPr>
          <w:rFonts w:asciiTheme="minorHAnsi" w:hAnsiTheme="minorHAnsi" w:cs="Arial"/>
          <w:sz w:val="22"/>
          <w:szCs w:val="22"/>
        </w:rPr>
        <w:t xml:space="preserve"> Sp. z o.o. uczestniczy w przetargach, dążąc tym samym do uzupełniania pakietu zleceń i pozyskania nowych zleceniodawców, </w:t>
      </w:r>
      <w:r w:rsidR="002A1BE9">
        <w:rPr>
          <w:rFonts w:asciiTheme="minorHAnsi" w:eastAsia="Times New Roman" w:hAnsiTheme="minorHAnsi"/>
          <w:sz w:val="22"/>
          <w:szCs w:val="22"/>
        </w:rPr>
        <w:t xml:space="preserve">kontynuując </w:t>
      </w:r>
      <w:r w:rsidRPr="009E3D78">
        <w:rPr>
          <w:rFonts w:asciiTheme="minorHAnsi" w:eastAsia="Times New Roman" w:hAnsiTheme="minorHAnsi"/>
          <w:sz w:val="22"/>
          <w:szCs w:val="22"/>
        </w:rPr>
        <w:t>realizację zadań na podstawie umów z poprzednich l</w:t>
      </w:r>
      <w:r w:rsidR="002A1BE9">
        <w:rPr>
          <w:rFonts w:asciiTheme="minorHAnsi" w:eastAsia="Times New Roman" w:hAnsiTheme="minorHAnsi"/>
          <w:sz w:val="22"/>
          <w:szCs w:val="22"/>
        </w:rPr>
        <w:t xml:space="preserve">at, w tym z zakresu utrzymania </w:t>
      </w:r>
      <w:r w:rsidRPr="009E3D78">
        <w:rPr>
          <w:rFonts w:asciiTheme="minorHAnsi" w:eastAsia="Times New Roman" w:hAnsiTheme="minorHAnsi"/>
          <w:sz w:val="22"/>
          <w:szCs w:val="22"/>
        </w:rPr>
        <w:t>ruchu i eksploatacji.</w:t>
      </w:r>
    </w:p>
    <w:p w14:paraId="38E62B59" w14:textId="77777777" w:rsidR="008A7A53" w:rsidRDefault="008A7A53" w:rsidP="008A7A53">
      <w:pPr>
        <w:pStyle w:val="p1"/>
        <w:tabs>
          <w:tab w:val="left" w:pos="540"/>
        </w:tabs>
        <w:spacing w:line="360" w:lineRule="auto"/>
        <w:jc w:val="both"/>
        <w:rPr>
          <w:rFonts w:ascii="Calibri" w:hAnsi="Calibri" w:cs="Arial"/>
          <w:u w:val="single"/>
        </w:rPr>
      </w:pPr>
      <w:r w:rsidRPr="008A7A53">
        <w:rPr>
          <w:rFonts w:ascii="Calibri" w:hAnsi="Calibri" w:cs="Arial"/>
          <w:u w:val="single"/>
        </w:rPr>
        <w:t xml:space="preserve">Ważniejsze kontrakty zawarte z kontrahentami przez – </w:t>
      </w:r>
      <w:r>
        <w:rPr>
          <w:rFonts w:ascii="Calibri" w:hAnsi="Calibri" w:cs="Arial"/>
          <w:u w:val="single"/>
        </w:rPr>
        <w:t>BALTICSERVIS</w:t>
      </w:r>
      <w:r w:rsidRPr="008A7A53">
        <w:rPr>
          <w:rFonts w:ascii="Calibri" w:hAnsi="Calibri" w:cs="Arial"/>
          <w:u w:val="single"/>
        </w:rPr>
        <w:t xml:space="preserve"> Sp. z o.o.:</w:t>
      </w:r>
    </w:p>
    <w:p w14:paraId="7119D503" w14:textId="77777777" w:rsidR="008A7A53" w:rsidRPr="00F2708D" w:rsidRDefault="00E13038" w:rsidP="00F2708D">
      <w:pPr>
        <w:pStyle w:val="p1"/>
        <w:spacing w:line="360" w:lineRule="auto"/>
        <w:ind w:firstLine="567"/>
        <w:jc w:val="both"/>
        <w:rPr>
          <w:rFonts w:asciiTheme="minorHAnsi" w:eastAsia="Times New Roman" w:hAnsiTheme="minorHAnsi"/>
          <w:sz w:val="22"/>
          <w:szCs w:val="22"/>
        </w:rPr>
      </w:pPr>
      <w:r w:rsidRPr="00292EE0">
        <w:rPr>
          <w:rFonts w:ascii="Calibri" w:hAnsi="Calibri" w:cs="Arial"/>
          <w:sz w:val="22"/>
          <w:szCs w:val="22"/>
        </w:rPr>
        <w:t xml:space="preserve">Zarząd </w:t>
      </w:r>
      <w:r>
        <w:rPr>
          <w:rFonts w:ascii="Calibri" w:hAnsi="Calibri" w:cs="Arial"/>
          <w:sz w:val="22"/>
          <w:szCs w:val="22"/>
        </w:rPr>
        <w:t>BALTICSERVIS</w:t>
      </w:r>
      <w:r w:rsidRPr="00292EE0">
        <w:rPr>
          <w:rFonts w:ascii="Calibri" w:hAnsi="Calibri" w:cs="Arial"/>
          <w:sz w:val="22"/>
          <w:szCs w:val="22"/>
        </w:rPr>
        <w:t xml:space="preserve"> Sp. z o.o. zintensyfikował swoje działania w głównej mierze na prowad</w:t>
      </w:r>
      <w:r>
        <w:rPr>
          <w:rFonts w:ascii="Calibri" w:hAnsi="Calibri" w:cs="Arial"/>
          <w:sz w:val="22"/>
          <w:szCs w:val="22"/>
        </w:rPr>
        <w:t>zonych umowach długoterminowych</w:t>
      </w:r>
      <w:r w:rsidRPr="00292EE0">
        <w:rPr>
          <w:rFonts w:ascii="Calibri" w:hAnsi="Calibri" w:cs="Arial"/>
          <w:sz w:val="22"/>
          <w:szCs w:val="22"/>
        </w:rPr>
        <w:t xml:space="preserve"> w zakresie</w:t>
      </w:r>
      <w:r>
        <w:rPr>
          <w:rFonts w:ascii="Calibri" w:hAnsi="Calibri" w:cs="Arial"/>
          <w:sz w:val="22"/>
          <w:szCs w:val="22"/>
        </w:rPr>
        <w:t xml:space="preserve"> utrzymania ruchu oraz obsługi majątku świadczonych dla Morskiej Stoczni Remontowej Gryfia S.A</w:t>
      </w:r>
      <w:r w:rsidRPr="00292EE0">
        <w:rPr>
          <w:rFonts w:ascii="Calibri" w:hAnsi="Calibri" w:cs="Arial"/>
          <w:sz w:val="22"/>
          <w:szCs w:val="22"/>
        </w:rPr>
        <w:t>.</w:t>
      </w:r>
    </w:p>
    <w:p w14:paraId="070DD293" w14:textId="77777777" w:rsidR="00E5671C" w:rsidRPr="008A7A53" w:rsidRDefault="00976A74" w:rsidP="00E2562A">
      <w:pPr>
        <w:spacing w:line="360" w:lineRule="auto"/>
        <w:jc w:val="center"/>
        <w:rPr>
          <w:rFonts w:ascii="Calibri" w:hAnsi="Calibri"/>
          <w:i/>
          <w:u w:val="single"/>
        </w:rPr>
      </w:pPr>
      <w:r>
        <w:rPr>
          <w:rFonts w:ascii="Calibri" w:hAnsi="Calibri"/>
          <w:i/>
          <w:u w:val="single"/>
        </w:rPr>
        <w:t>Stan</w:t>
      </w:r>
      <w:r w:rsidR="00E5671C" w:rsidRPr="008A7A53">
        <w:rPr>
          <w:rFonts w:ascii="Calibri" w:hAnsi="Calibri"/>
          <w:i/>
          <w:u w:val="single"/>
        </w:rPr>
        <w:t xml:space="preserve"> zatrudnienia w pierwszym półroczu 20</w:t>
      </w:r>
      <w:r w:rsidR="00141101" w:rsidRPr="008A7A53">
        <w:rPr>
          <w:rFonts w:ascii="Calibri" w:hAnsi="Calibri"/>
          <w:i/>
          <w:u w:val="single"/>
        </w:rPr>
        <w:t>1</w:t>
      </w:r>
      <w:r w:rsidR="008A7A53" w:rsidRPr="008A7A53">
        <w:rPr>
          <w:rFonts w:ascii="Calibri" w:hAnsi="Calibri"/>
          <w:i/>
          <w:u w:val="single"/>
        </w:rPr>
        <w:t>6</w:t>
      </w:r>
      <w:r w:rsidR="00E5671C" w:rsidRPr="008A7A53">
        <w:rPr>
          <w:rFonts w:ascii="Calibri" w:hAnsi="Calibri"/>
          <w:i/>
          <w:u w:val="single"/>
        </w:rPr>
        <w:t xml:space="preserve"> roku</w:t>
      </w:r>
      <w:r w:rsidR="00E2562A" w:rsidRPr="008A7A53">
        <w:rPr>
          <w:rFonts w:ascii="Calibri" w:hAnsi="Calibri"/>
          <w:i/>
          <w:u w:val="single"/>
        </w:rPr>
        <w:t xml:space="preserve"> </w:t>
      </w:r>
      <w:r w:rsidR="00E5671C" w:rsidRPr="008A7A53">
        <w:rPr>
          <w:rFonts w:ascii="Calibri" w:hAnsi="Calibri"/>
          <w:i/>
          <w:u w:val="single"/>
        </w:rPr>
        <w:t>(w osobach)</w:t>
      </w:r>
      <w:r w:rsidR="000A63FA" w:rsidRPr="008A7A53">
        <w:rPr>
          <w:rFonts w:ascii="Calibri" w:hAnsi="Calibri"/>
          <w:i/>
          <w:u w:val="single"/>
        </w:rPr>
        <w:t>:</w:t>
      </w:r>
    </w:p>
    <w:p w14:paraId="3853F5E5" w14:textId="77777777" w:rsidR="000369AE" w:rsidRPr="001D361F" w:rsidRDefault="000369AE" w:rsidP="00E2562A">
      <w:pPr>
        <w:spacing w:line="360" w:lineRule="auto"/>
        <w:jc w:val="center"/>
        <w:rPr>
          <w:rFonts w:ascii="Calibri" w:hAnsi="Calibri"/>
          <w:i/>
          <w:sz w:val="16"/>
          <w:szCs w:val="16"/>
          <w:highlight w:val="yellow"/>
        </w:rPr>
      </w:pPr>
    </w:p>
    <w:tbl>
      <w:tblPr>
        <w:tblW w:w="4853" w:type="dxa"/>
        <w:jc w:val="center"/>
        <w:tblCellMar>
          <w:left w:w="70" w:type="dxa"/>
          <w:right w:w="70" w:type="dxa"/>
        </w:tblCellMar>
        <w:tblLook w:val="04A0" w:firstRow="1" w:lastRow="0" w:firstColumn="1" w:lastColumn="0" w:noHBand="0" w:noVBand="1"/>
      </w:tblPr>
      <w:tblGrid>
        <w:gridCol w:w="3708"/>
        <w:gridCol w:w="1145"/>
      </w:tblGrid>
      <w:tr w:rsidR="00976A74" w:rsidRPr="0033014B" w14:paraId="11757372" w14:textId="77777777" w:rsidTr="00F03084">
        <w:trPr>
          <w:trHeight w:val="587"/>
          <w:jc w:val="center"/>
        </w:trPr>
        <w:tc>
          <w:tcPr>
            <w:tcW w:w="3708" w:type="dxa"/>
            <w:tcBorders>
              <w:top w:val="single" w:sz="4" w:space="0" w:color="auto"/>
              <w:left w:val="single" w:sz="4" w:space="0" w:color="auto"/>
              <w:bottom w:val="single" w:sz="4" w:space="0" w:color="auto"/>
              <w:right w:val="single" w:sz="4" w:space="0" w:color="auto"/>
            </w:tcBorders>
            <w:shd w:val="pct10" w:color="000000" w:fill="auto"/>
            <w:noWrap/>
            <w:vAlign w:val="center"/>
            <w:hideMark/>
          </w:tcPr>
          <w:p w14:paraId="080D1747" w14:textId="77777777" w:rsidR="00976A74" w:rsidRPr="008C4CDF" w:rsidRDefault="00976A74" w:rsidP="00976A74">
            <w:pPr>
              <w:jc w:val="center"/>
              <w:rPr>
                <w:rFonts w:ascii="Calibri" w:hAnsi="Calibri" w:cs="Arial"/>
                <w:bCs/>
              </w:rPr>
            </w:pPr>
            <w:r w:rsidRPr="008C4CDF">
              <w:rPr>
                <w:rFonts w:ascii="Calibri" w:hAnsi="Calibri" w:cs="Arial"/>
                <w:bCs/>
              </w:rPr>
              <w:t>Stan na dzień 1 stycznia 201</w:t>
            </w:r>
            <w:r>
              <w:rPr>
                <w:rFonts w:ascii="Calibri" w:hAnsi="Calibri" w:cs="Arial"/>
                <w:bCs/>
              </w:rPr>
              <w:t>6</w:t>
            </w:r>
            <w:r w:rsidRPr="008C4CDF">
              <w:rPr>
                <w:rFonts w:ascii="Calibri" w:hAnsi="Calibri" w:cs="Arial"/>
                <w:bCs/>
              </w:rPr>
              <w:t xml:space="preserve"> roku</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7942C466" w14:textId="77777777" w:rsidR="00976A74" w:rsidRPr="008C4CDF" w:rsidRDefault="00976A74" w:rsidP="00976A74">
            <w:pPr>
              <w:jc w:val="center"/>
              <w:rPr>
                <w:rFonts w:ascii="Calibri" w:hAnsi="Calibri" w:cs="Arial"/>
              </w:rPr>
            </w:pPr>
            <w:r w:rsidRPr="008C4CDF">
              <w:rPr>
                <w:rFonts w:ascii="Calibri" w:hAnsi="Calibri" w:cs="Arial"/>
              </w:rPr>
              <w:t>1</w:t>
            </w:r>
            <w:r>
              <w:rPr>
                <w:rFonts w:ascii="Calibri" w:hAnsi="Calibri" w:cs="Arial"/>
              </w:rPr>
              <w:t>369</w:t>
            </w:r>
          </w:p>
        </w:tc>
      </w:tr>
      <w:tr w:rsidR="00976A74" w:rsidRPr="0033014B" w14:paraId="1CAD3354" w14:textId="77777777" w:rsidTr="00F03084">
        <w:trPr>
          <w:trHeight w:val="566"/>
          <w:jc w:val="center"/>
        </w:trPr>
        <w:tc>
          <w:tcPr>
            <w:tcW w:w="3708" w:type="dxa"/>
            <w:tcBorders>
              <w:top w:val="single" w:sz="4" w:space="0" w:color="auto"/>
              <w:left w:val="single" w:sz="4" w:space="0" w:color="auto"/>
              <w:bottom w:val="single" w:sz="4" w:space="0" w:color="auto"/>
              <w:right w:val="single" w:sz="4" w:space="0" w:color="auto"/>
            </w:tcBorders>
            <w:shd w:val="pct10" w:color="000000" w:fill="auto"/>
            <w:noWrap/>
            <w:vAlign w:val="center"/>
            <w:hideMark/>
          </w:tcPr>
          <w:p w14:paraId="61DA8F97" w14:textId="77777777" w:rsidR="00976A74" w:rsidRPr="006454D7" w:rsidRDefault="00976A74" w:rsidP="00976A74">
            <w:pPr>
              <w:jc w:val="center"/>
              <w:rPr>
                <w:rFonts w:ascii="Calibri" w:hAnsi="Calibri" w:cs="Arial"/>
                <w:b/>
                <w:bCs/>
              </w:rPr>
            </w:pPr>
            <w:r w:rsidRPr="006454D7">
              <w:rPr>
                <w:rFonts w:ascii="Calibri" w:hAnsi="Calibri" w:cs="Arial"/>
                <w:b/>
                <w:bCs/>
              </w:rPr>
              <w:t>Stan na dzień 3</w:t>
            </w:r>
            <w:r>
              <w:rPr>
                <w:rFonts w:ascii="Calibri" w:hAnsi="Calibri" w:cs="Arial"/>
                <w:b/>
                <w:bCs/>
              </w:rPr>
              <w:t>0</w:t>
            </w:r>
            <w:r w:rsidRPr="006454D7">
              <w:rPr>
                <w:rFonts w:ascii="Calibri" w:hAnsi="Calibri" w:cs="Arial"/>
                <w:b/>
                <w:bCs/>
              </w:rPr>
              <w:t xml:space="preserve"> </w:t>
            </w:r>
            <w:r>
              <w:rPr>
                <w:rFonts w:ascii="Calibri" w:hAnsi="Calibri" w:cs="Arial"/>
                <w:b/>
                <w:bCs/>
              </w:rPr>
              <w:t>czerwca</w:t>
            </w:r>
            <w:r w:rsidRPr="006454D7">
              <w:rPr>
                <w:rFonts w:ascii="Calibri" w:hAnsi="Calibri" w:cs="Arial"/>
                <w:b/>
                <w:bCs/>
              </w:rPr>
              <w:t xml:space="preserve"> 201</w:t>
            </w:r>
            <w:r>
              <w:rPr>
                <w:rFonts w:ascii="Calibri" w:hAnsi="Calibri" w:cs="Arial"/>
                <w:b/>
                <w:bCs/>
              </w:rPr>
              <w:t>6</w:t>
            </w:r>
            <w:r w:rsidRPr="006454D7">
              <w:rPr>
                <w:rFonts w:ascii="Calibri" w:hAnsi="Calibri" w:cs="Arial"/>
                <w:b/>
                <w:bCs/>
              </w:rPr>
              <w:t xml:space="preserve"> roku</w:t>
            </w:r>
          </w:p>
        </w:tc>
        <w:tc>
          <w:tcPr>
            <w:tcW w:w="1145" w:type="dxa"/>
            <w:tcBorders>
              <w:top w:val="nil"/>
              <w:left w:val="nil"/>
              <w:bottom w:val="single" w:sz="4" w:space="0" w:color="auto"/>
              <w:right w:val="single" w:sz="4" w:space="0" w:color="auto"/>
            </w:tcBorders>
            <w:shd w:val="clear" w:color="auto" w:fill="auto"/>
            <w:noWrap/>
            <w:vAlign w:val="center"/>
          </w:tcPr>
          <w:p w14:paraId="18C37005" w14:textId="77777777" w:rsidR="00976A74" w:rsidRPr="0049247C" w:rsidRDefault="00976A74" w:rsidP="00976A74">
            <w:pPr>
              <w:jc w:val="center"/>
              <w:rPr>
                <w:rFonts w:ascii="Calibri" w:hAnsi="Calibri" w:cs="Arial"/>
                <w:b/>
              </w:rPr>
            </w:pPr>
            <w:r>
              <w:rPr>
                <w:rFonts w:ascii="Calibri" w:hAnsi="Calibri" w:cs="Arial"/>
                <w:b/>
              </w:rPr>
              <w:t>1353</w:t>
            </w:r>
          </w:p>
        </w:tc>
      </w:tr>
    </w:tbl>
    <w:p w14:paraId="3B96EA3E" w14:textId="77777777" w:rsidR="00976A74" w:rsidRPr="001D361F" w:rsidRDefault="00976A74" w:rsidP="00E2562A">
      <w:pPr>
        <w:spacing w:line="360" w:lineRule="auto"/>
        <w:jc w:val="center"/>
        <w:rPr>
          <w:rFonts w:ascii="Calibri" w:hAnsi="Calibri"/>
          <w:i/>
          <w:sz w:val="16"/>
          <w:szCs w:val="16"/>
          <w:highlight w:val="yellow"/>
        </w:rPr>
      </w:pPr>
    </w:p>
    <w:p w14:paraId="27A5265D" w14:textId="77777777" w:rsidR="0008786B" w:rsidRPr="001D361F" w:rsidRDefault="0008786B" w:rsidP="00E2562A">
      <w:pPr>
        <w:spacing w:line="360" w:lineRule="auto"/>
        <w:jc w:val="center"/>
        <w:rPr>
          <w:rFonts w:ascii="Calibri" w:hAnsi="Calibri"/>
          <w:i/>
          <w:sz w:val="16"/>
          <w:szCs w:val="16"/>
          <w:highlight w:val="yellow"/>
        </w:rPr>
      </w:pPr>
    </w:p>
    <w:p w14:paraId="05BD8F76" w14:textId="77777777" w:rsidR="00864E46" w:rsidRPr="001D361F" w:rsidRDefault="00864E46" w:rsidP="00864E46">
      <w:pPr>
        <w:spacing w:line="360" w:lineRule="auto"/>
        <w:ind w:firstLine="567"/>
        <w:jc w:val="both"/>
        <w:rPr>
          <w:rFonts w:ascii="Calibri" w:hAnsi="Calibri"/>
          <w:sz w:val="22"/>
          <w:szCs w:val="22"/>
          <w:highlight w:val="yellow"/>
        </w:rPr>
      </w:pPr>
      <w:r w:rsidRPr="008A7A53">
        <w:rPr>
          <w:rFonts w:ascii="Calibri" w:hAnsi="Calibri"/>
          <w:sz w:val="22"/>
          <w:szCs w:val="22"/>
        </w:rPr>
        <w:t xml:space="preserve">Z punktu widzenia kadrowego w badanym okresie nie wystąpiły żadne istotne czynniki zagrożeń i ryzyka. Kontynuacja prowadzonej przez Grupę </w:t>
      </w:r>
      <w:r w:rsidR="002E4153" w:rsidRPr="008A7A53">
        <w:rPr>
          <w:rFonts w:ascii="Calibri" w:hAnsi="Calibri"/>
          <w:sz w:val="22"/>
          <w:szCs w:val="22"/>
        </w:rPr>
        <w:t>CHEMOSERVIS-DWORY</w:t>
      </w:r>
      <w:r w:rsidRPr="008A7A53">
        <w:rPr>
          <w:rFonts w:ascii="Calibri" w:hAnsi="Calibri"/>
          <w:sz w:val="22"/>
          <w:szCs w:val="22"/>
        </w:rPr>
        <w:t xml:space="preserve"> racjonalnej </w:t>
      </w:r>
      <w:r w:rsidR="0008786B" w:rsidRPr="008A7A53">
        <w:rPr>
          <w:rFonts w:ascii="Calibri" w:hAnsi="Calibri"/>
          <w:sz w:val="22"/>
          <w:szCs w:val="22"/>
        </w:rPr>
        <w:br/>
      </w:r>
      <w:r w:rsidRPr="008A7A53">
        <w:rPr>
          <w:rFonts w:ascii="Calibri" w:hAnsi="Calibri"/>
          <w:sz w:val="22"/>
          <w:szCs w:val="22"/>
        </w:rPr>
        <w:t>polityki kadrowej, determinowała stabilną sytuację w poziomie zatrudnienia. W pierwszym półroczu 201</w:t>
      </w:r>
      <w:r w:rsidR="008A7A53">
        <w:rPr>
          <w:rFonts w:ascii="Calibri" w:hAnsi="Calibri"/>
          <w:sz w:val="22"/>
          <w:szCs w:val="22"/>
        </w:rPr>
        <w:t>6</w:t>
      </w:r>
      <w:r w:rsidRPr="008A7A53">
        <w:rPr>
          <w:rFonts w:ascii="Calibri" w:hAnsi="Calibri"/>
          <w:sz w:val="22"/>
          <w:szCs w:val="22"/>
        </w:rPr>
        <w:t xml:space="preserve"> roku przeciętne zatrudnienie wyniosło </w:t>
      </w:r>
      <w:r w:rsidR="00976A74" w:rsidRPr="00976A74">
        <w:rPr>
          <w:rFonts w:ascii="Calibri" w:hAnsi="Calibri"/>
          <w:sz w:val="22"/>
          <w:szCs w:val="22"/>
        </w:rPr>
        <w:t>1 353,5</w:t>
      </w:r>
      <w:r w:rsidR="006D7035" w:rsidRPr="00976A74">
        <w:rPr>
          <w:rFonts w:ascii="Calibri" w:hAnsi="Calibri"/>
          <w:sz w:val="22"/>
          <w:szCs w:val="22"/>
        </w:rPr>
        <w:t xml:space="preserve"> osób</w:t>
      </w:r>
      <w:r w:rsidR="006D7035" w:rsidRPr="008A7A53">
        <w:rPr>
          <w:rFonts w:ascii="Calibri" w:hAnsi="Calibri"/>
          <w:sz w:val="22"/>
          <w:szCs w:val="22"/>
        </w:rPr>
        <w:t xml:space="preserve">, </w:t>
      </w:r>
      <w:r w:rsidRPr="008A7A53">
        <w:rPr>
          <w:rFonts w:ascii="Calibri" w:hAnsi="Calibri"/>
          <w:sz w:val="22"/>
          <w:szCs w:val="22"/>
        </w:rPr>
        <w:t>nie wpływając na ocenę ogólnej sytuacji oraz możliwości realizacji zobowiązań przez podmioty Grupy Kapitałowej.</w:t>
      </w:r>
    </w:p>
    <w:p w14:paraId="543554E4" w14:textId="77777777" w:rsidR="008A7A53" w:rsidRDefault="008A7A53" w:rsidP="00BD5704">
      <w:pPr>
        <w:tabs>
          <w:tab w:val="left" w:pos="540"/>
        </w:tabs>
        <w:spacing w:line="360" w:lineRule="auto"/>
        <w:ind w:firstLine="567"/>
        <w:jc w:val="both"/>
        <w:rPr>
          <w:rFonts w:ascii="Calibri" w:hAnsi="Calibri"/>
          <w:sz w:val="22"/>
          <w:szCs w:val="22"/>
          <w:highlight w:val="yellow"/>
        </w:rPr>
      </w:pPr>
    </w:p>
    <w:p w14:paraId="1D06A36B" w14:textId="77777777" w:rsidR="00BD5704" w:rsidRPr="008A7A53" w:rsidRDefault="008A7A53" w:rsidP="00BD5704">
      <w:pPr>
        <w:tabs>
          <w:tab w:val="left" w:pos="540"/>
        </w:tabs>
        <w:spacing w:line="360" w:lineRule="auto"/>
        <w:ind w:firstLine="567"/>
        <w:jc w:val="both"/>
        <w:rPr>
          <w:rFonts w:ascii="Calibri" w:hAnsi="Calibri"/>
          <w:sz w:val="22"/>
          <w:szCs w:val="22"/>
          <w:u w:val="single"/>
        </w:rPr>
      </w:pPr>
      <w:r w:rsidRPr="008A7A53">
        <w:rPr>
          <w:rFonts w:ascii="Calibri" w:hAnsi="Calibri"/>
          <w:sz w:val="22"/>
          <w:szCs w:val="22"/>
          <w:u w:val="single"/>
        </w:rPr>
        <w:t>Struktura</w:t>
      </w:r>
      <w:r w:rsidR="00BD5704" w:rsidRPr="008A7A53">
        <w:rPr>
          <w:rFonts w:ascii="Calibri" w:hAnsi="Calibri"/>
          <w:sz w:val="22"/>
          <w:szCs w:val="22"/>
          <w:u w:val="single"/>
        </w:rPr>
        <w:t xml:space="preserve"> akcji Emitenta, </w:t>
      </w:r>
      <w:r w:rsidRPr="008A7A53">
        <w:rPr>
          <w:rFonts w:ascii="Calibri" w:hAnsi="Calibri"/>
          <w:sz w:val="22"/>
          <w:szCs w:val="22"/>
          <w:u w:val="single"/>
        </w:rPr>
        <w:t>przedstawia</w:t>
      </w:r>
      <w:r w:rsidR="00BD5704" w:rsidRPr="008A7A53">
        <w:rPr>
          <w:rFonts w:ascii="Calibri" w:hAnsi="Calibri"/>
          <w:sz w:val="22"/>
          <w:szCs w:val="22"/>
          <w:u w:val="single"/>
        </w:rPr>
        <w:t xml:space="preserve"> się następująco:</w:t>
      </w:r>
    </w:p>
    <w:p w14:paraId="22B80BA0" w14:textId="77777777" w:rsidR="00BD5704" w:rsidRPr="008A7A53" w:rsidRDefault="00BD5704" w:rsidP="00BD5704">
      <w:pPr>
        <w:tabs>
          <w:tab w:val="left" w:pos="540"/>
        </w:tabs>
        <w:spacing w:line="360" w:lineRule="auto"/>
        <w:ind w:firstLine="567"/>
        <w:jc w:val="both"/>
        <w:rPr>
          <w:rFonts w:ascii="Calibri" w:hAnsi="Calibri"/>
          <w:sz w:val="22"/>
          <w:szCs w:val="22"/>
        </w:rPr>
      </w:pPr>
    </w:p>
    <w:p w14:paraId="09A2C51B" w14:textId="77777777" w:rsidR="00BD5704" w:rsidRPr="008A7A53" w:rsidRDefault="00BD5704" w:rsidP="00BD5704">
      <w:pPr>
        <w:tabs>
          <w:tab w:val="left" w:pos="567"/>
          <w:tab w:val="left" w:pos="1134"/>
          <w:tab w:val="left" w:leader="hyphen" w:pos="8789"/>
        </w:tabs>
        <w:spacing w:line="360" w:lineRule="auto"/>
        <w:ind w:left="1134" w:hanging="1134"/>
        <w:jc w:val="both"/>
        <w:rPr>
          <w:rFonts w:asciiTheme="minorHAnsi" w:hAnsiTheme="minorHAnsi" w:cs="Arial"/>
          <w:i/>
          <w:sz w:val="22"/>
          <w:szCs w:val="22"/>
        </w:rPr>
      </w:pPr>
      <w:r w:rsidRPr="008A7A53">
        <w:rPr>
          <w:rFonts w:asciiTheme="minorHAnsi" w:hAnsiTheme="minorHAnsi" w:cs="Arial"/>
          <w:i/>
          <w:sz w:val="22"/>
          <w:szCs w:val="22"/>
        </w:rPr>
        <w:tab/>
        <w:t>a)</w:t>
      </w:r>
      <w:r w:rsidRPr="008A7A53">
        <w:rPr>
          <w:rFonts w:asciiTheme="minorHAnsi" w:hAnsiTheme="minorHAnsi" w:cs="Arial"/>
          <w:i/>
          <w:sz w:val="22"/>
          <w:szCs w:val="22"/>
        </w:rPr>
        <w:tab/>
        <w:t xml:space="preserve">4.740.000 (cztery miliony siedemset czterdzieści tysięcy)akcji na okaziciela serii „A” </w:t>
      </w:r>
      <w:r w:rsidRPr="008A7A53">
        <w:rPr>
          <w:rFonts w:asciiTheme="minorHAnsi" w:hAnsiTheme="minorHAnsi" w:cs="Arial"/>
          <w:i/>
          <w:sz w:val="22"/>
          <w:szCs w:val="22"/>
        </w:rPr>
        <w:br/>
        <w:t>o numerach od 0.000.001 (jeden) do 4.740.000 (cztery miliony siedemset czterdzieści tysięcy),</w:t>
      </w:r>
    </w:p>
    <w:p w14:paraId="44705754" w14:textId="77777777" w:rsidR="00BD5704" w:rsidRPr="008A7A53" w:rsidRDefault="00BD5704" w:rsidP="00BD5704">
      <w:pPr>
        <w:pStyle w:val="Tekstpodstawowy"/>
        <w:tabs>
          <w:tab w:val="left" w:pos="567"/>
          <w:tab w:val="left" w:pos="1134"/>
          <w:tab w:val="right" w:leader="hyphen" w:pos="8789"/>
        </w:tabs>
        <w:spacing w:line="360" w:lineRule="auto"/>
        <w:ind w:left="1134" w:hanging="1134"/>
        <w:rPr>
          <w:rFonts w:asciiTheme="minorHAnsi" w:hAnsiTheme="minorHAnsi" w:cs="Arial"/>
          <w:b w:val="0"/>
          <w:i/>
          <w:sz w:val="22"/>
          <w:szCs w:val="22"/>
        </w:rPr>
      </w:pPr>
      <w:r w:rsidRPr="008A7A53">
        <w:rPr>
          <w:rFonts w:asciiTheme="minorHAnsi" w:hAnsiTheme="minorHAnsi" w:cs="Arial"/>
          <w:b w:val="0"/>
          <w:i/>
          <w:sz w:val="22"/>
          <w:szCs w:val="22"/>
        </w:rPr>
        <w:tab/>
        <w:t>b)</w:t>
      </w:r>
      <w:r w:rsidRPr="008A7A53">
        <w:rPr>
          <w:rFonts w:asciiTheme="minorHAnsi" w:hAnsiTheme="minorHAnsi" w:cs="Arial"/>
          <w:b w:val="0"/>
          <w:i/>
          <w:sz w:val="22"/>
          <w:szCs w:val="22"/>
        </w:rPr>
        <w:tab/>
        <w:t xml:space="preserve">      3.750.000 (trzy miliony siedemset pięćdziesiąt tysięcy) akcji na okaziciela serii „B” </w:t>
      </w:r>
      <w:r w:rsidRPr="008A7A53">
        <w:rPr>
          <w:rFonts w:asciiTheme="minorHAnsi" w:hAnsiTheme="minorHAnsi" w:cs="Arial"/>
          <w:b w:val="0"/>
          <w:i/>
          <w:sz w:val="22"/>
          <w:szCs w:val="22"/>
        </w:rPr>
        <w:br/>
        <w:t>o numerach od 0.000.001 (jeden) do 3.750.000 (trzy miliony siedemset pięćdziesiąt tysięcy),</w:t>
      </w:r>
    </w:p>
    <w:p w14:paraId="24D30609" w14:textId="77777777" w:rsidR="00BD5704" w:rsidRPr="008A7A53" w:rsidRDefault="00BD5704" w:rsidP="00BD5704">
      <w:pPr>
        <w:pStyle w:val="Tekstpodstawowy"/>
        <w:tabs>
          <w:tab w:val="left" w:pos="567"/>
          <w:tab w:val="left" w:pos="1134"/>
          <w:tab w:val="right" w:leader="hyphen" w:pos="8789"/>
        </w:tabs>
        <w:spacing w:line="360" w:lineRule="auto"/>
        <w:ind w:left="1134" w:hanging="1134"/>
        <w:rPr>
          <w:rFonts w:asciiTheme="minorHAnsi" w:hAnsiTheme="minorHAnsi" w:cs="Arial"/>
          <w:b w:val="0"/>
          <w:i/>
          <w:sz w:val="22"/>
          <w:szCs w:val="22"/>
        </w:rPr>
      </w:pPr>
      <w:r w:rsidRPr="008A7A53">
        <w:rPr>
          <w:rFonts w:asciiTheme="minorHAnsi" w:hAnsiTheme="minorHAnsi" w:cs="Arial"/>
          <w:b w:val="0"/>
          <w:i/>
          <w:sz w:val="22"/>
          <w:szCs w:val="22"/>
        </w:rPr>
        <w:lastRenderedPageBreak/>
        <w:tab/>
        <w:t>c)</w:t>
      </w:r>
      <w:r w:rsidRPr="008A7A53">
        <w:rPr>
          <w:rFonts w:asciiTheme="minorHAnsi" w:hAnsiTheme="minorHAnsi" w:cs="Arial"/>
          <w:b w:val="0"/>
          <w:i/>
          <w:sz w:val="22"/>
          <w:szCs w:val="22"/>
        </w:rPr>
        <w:tab/>
        <w:t xml:space="preserve">      2.830.000 (dwa miliony osiemset trzydzieści tysięcy) akcji na okaziciela serii „C” </w:t>
      </w:r>
      <w:r w:rsidRPr="008A7A53">
        <w:rPr>
          <w:rFonts w:asciiTheme="minorHAnsi" w:hAnsiTheme="minorHAnsi" w:cs="Arial"/>
          <w:b w:val="0"/>
          <w:i/>
          <w:sz w:val="22"/>
          <w:szCs w:val="22"/>
        </w:rPr>
        <w:br/>
        <w:t>o numerach od 0.000.001 (jeden) do 2.830.000 (dwa miliony osiemset trzydzieści tysięcy),</w:t>
      </w:r>
    </w:p>
    <w:p w14:paraId="4E9B5CE9" w14:textId="77777777" w:rsidR="00864E46" w:rsidRPr="001D361F" w:rsidRDefault="00BD5704" w:rsidP="00BD5704">
      <w:pPr>
        <w:spacing w:line="360" w:lineRule="auto"/>
        <w:ind w:left="1134" w:hanging="567"/>
        <w:jc w:val="both"/>
        <w:rPr>
          <w:rFonts w:ascii="Calibri" w:hAnsi="Calibri"/>
          <w:b/>
          <w:sz w:val="28"/>
          <w:szCs w:val="28"/>
        </w:rPr>
      </w:pPr>
      <w:r w:rsidRPr="008A7A53">
        <w:rPr>
          <w:rFonts w:asciiTheme="minorHAnsi" w:hAnsiTheme="minorHAnsi" w:cs="Arial"/>
          <w:i/>
          <w:sz w:val="22"/>
          <w:szCs w:val="22"/>
        </w:rPr>
        <w:t xml:space="preserve">d)    </w:t>
      </w:r>
      <w:r w:rsidRPr="008A7A53">
        <w:rPr>
          <w:rFonts w:asciiTheme="minorHAnsi" w:hAnsiTheme="minorHAnsi" w:cs="Arial"/>
          <w:i/>
          <w:sz w:val="22"/>
          <w:szCs w:val="22"/>
        </w:rPr>
        <w:tab/>
        <w:t>13.687.500 (trzynaście milionów sześćset osiemdziesiąt siedem tysięcy pięćset) akcji na okaziciela serii „D” o numerach od 00.000.001 (jeden) do 13.687.500 (trzynaście milionów sześćset osiemdziesiąt siedem tysięcy pięćset).</w:t>
      </w:r>
    </w:p>
    <w:p w14:paraId="39484816" w14:textId="77777777" w:rsidR="007A09B2" w:rsidRPr="00183773" w:rsidRDefault="007A09B2" w:rsidP="00E5671C">
      <w:pPr>
        <w:spacing w:line="360" w:lineRule="auto"/>
        <w:jc w:val="both"/>
        <w:rPr>
          <w:rFonts w:ascii="Calibri" w:hAnsi="Calibri"/>
          <w:b/>
          <w:highlight w:val="green"/>
        </w:rPr>
      </w:pPr>
    </w:p>
    <w:p w14:paraId="25024DFC" w14:textId="77777777" w:rsidR="003A6307" w:rsidRPr="00360EFC" w:rsidRDefault="003A6307" w:rsidP="00E5671C">
      <w:pPr>
        <w:spacing w:line="360" w:lineRule="auto"/>
        <w:jc w:val="both"/>
        <w:rPr>
          <w:rFonts w:ascii="Calibri" w:hAnsi="Calibri"/>
          <w:b/>
        </w:rPr>
      </w:pPr>
      <w:r w:rsidRPr="00360EFC">
        <w:rPr>
          <w:rFonts w:ascii="Calibri" w:hAnsi="Calibri"/>
          <w:b/>
        </w:rPr>
        <w:t xml:space="preserve">Dane finansowe Grupy Kapitałowej </w:t>
      </w:r>
      <w:r w:rsidR="002E4153">
        <w:rPr>
          <w:rFonts w:ascii="Calibri" w:hAnsi="Calibri"/>
          <w:b/>
        </w:rPr>
        <w:t>CHEMOSERVIS-DWORY</w:t>
      </w:r>
    </w:p>
    <w:p w14:paraId="647675CA" w14:textId="77777777" w:rsidR="00C32E94" w:rsidRPr="00360EFC" w:rsidRDefault="00C32E94" w:rsidP="00E5671C">
      <w:pPr>
        <w:spacing w:line="360" w:lineRule="auto"/>
        <w:jc w:val="both"/>
        <w:rPr>
          <w:rFonts w:ascii="Calibri" w:hAnsi="Calibri"/>
          <w:b/>
        </w:rPr>
      </w:pPr>
    </w:p>
    <w:p w14:paraId="2F91BDE5" w14:textId="77777777" w:rsidR="00304375" w:rsidRPr="00360EFC" w:rsidRDefault="00545E2E" w:rsidP="00545E2E">
      <w:pPr>
        <w:tabs>
          <w:tab w:val="left" w:pos="540"/>
        </w:tabs>
        <w:spacing w:line="360" w:lineRule="auto"/>
        <w:ind w:firstLine="567"/>
        <w:jc w:val="both"/>
        <w:rPr>
          <w:rFonts w:ascii="Calibri" w:hAnsi="Calibri" w:cs="Arial"/>
          <w:sz w:val="22"/>
          <w:szCs w:val="22"/>
        </w:rPr>
      </w:pPr>
      <w:r w:rsidRPr="00360EFC">
        <w:rPr>
          <w:rFonts w:ascii="Calibri" w:hAnsi="Calibri"/>
          <w:sz w:val="22"/>
          <w:szCs w:val="22"/>
        </w:rPr>
        <w:t xml:space="preserve">Grupa Kapitałowa </w:t>
      </w:r>
      <w:r w:rsidR="002E4153">
        <w:rPr>
          <w:rFonts w:ascii="Calibri" w:hAnsi="Calibri"/>
          <w:sz w:val="22"/>
          <w:szCs w:val="22"/>
        </w:rPr>
        <w:t>CHEMOSERVIS-DWORY</w:t>
      </w:r>
      <w:r w:rsidRPr="00360EFC">
        <w:rPr>
          <w:rFonts w:ascii="Calibri" w:hAnsi="Calibri"/>
          <w:sz w:val="22"/>
          <w:szCs w:val="22"/>
        </w:rPr>
        <w:t xml:space="preserve"> w I półroczu 201</w:t>
      </w:r>
      <w:r w:rsidR="00304375" w:rsidRPr="00360EFC">
        <w:rPr>
          <w:rFonts w:ascii="Calibri" w:hAnsi="Calibri"/>
          <w:sz w:val="22"/>
          <w:szCs w:val="22"/>
        </w:rPr>
        <w:t>6</w:t>
      </w:r>
      <w:r w:rsidRPr="00360EFC">
        <w:rPr>
          <w:rFonts w:ascii="Calibri" w:hAnsi="Calibri"/>
          <w:sz w:val="22"/>
          <w:szCs w:val="22"/>
        </w:rPr>
        <w:t xml:space="preserve"> roku </w:t>
      </w:r>
      <w:r w:rsidR="00304375" w:rsidRPr="00360EFC">
        <w:rPr>
          <w:rFonts w:ascii="Calibri" w:hAnsi="Calibri"/>
          <w:sz w:val="22"/>
          <w:szCs w:val="22"/>
        </w:rPr>
        <w:t>odnotowała</w:t>
      </w:r>
      <w:r w:rsidRPr="00360EFC">
        <w:rPr>
          <w:rFonts w:ascii="Calibri" w:hAnsi="Calibri"/>
          <w:sz w:val="22"/>
          <w:szCs w:val="22"/>
        </w:rPr>
        <w:t xml:space="preserve"> </w:t>
      </w:r>
      <w:r w:rsidR="00304375" w:rsidRPr="00360EFC">
        <w:rPr>
          <w:rFonts w:ascii="Calibri" w:hAnsi="Calibri"/>
          <w:sz w:val="22"/>
          <w:szCs w:val="22"/>
        </w:rPr>
        <w:t>spadek</w:t>
      </w:r>
      <w:r w:rsidR="00B43775" w:rsidRPr="00360EFC">
        <w:rPr>
          <w:rFonts w:ascii="Calibri" w:hAnsi="Calibri"/>
          <w:sz w:val="22"/>
          <w:szCs w:val="22"/>
        </w:rPr>
        <w:t xml:space="preserve"> przychodów ze sprzedaży o </w:t>
      </w:r>
      <w:r w:rsidR="00304375" w:rsidRPr="00360EFC">
        <w:rPr>
          <w:rFonts w:ascii="Calibri" w:hAnsi="Calibri"/>
          <w:sz w:val="22"/>
          <w:szCs w:val="22"/>
        </w:rPr>
        <w:t>5</w:t>
      </w:r>
      <w:r w:rsidR="00B43775" w:rsidRPr="00360EFC">
        <w:rPr>
          <w:rFonts w:ascii="Calibri" w:hAnsi="Calibri"/>
          <w:sz w:val="22"/>
          <w:szCs w:val="22"/>
        </w:rPr>
        <w:t xml:space="preserve">%, do wysokości </w:t>
      </w:r>
      <w:r w:rsidR="00304375" w:rsidRPr="00360EFC">
        <w:rPr>
          <w:rFonts w:ascii="Calibri" w:hAnsi="Calibri"/>
          <w:sz w:val="22"/>
          <w:szCs w:val="22"/>
        </w:rPr>
        <w:t>105.900</w:t>
      </w:r>
      <w:r w:rsidRPr="00360EFC">
        <w:rPr>
          <w:rFonts w:ascii="Calibri" w:hAnsi="Calibri"/>
          <w:sz w:val="22"/>
          <w:szCs w:val="22"/>
        </w:rPr>
        <w:t xml:space="preserve"> tys. zł w porównaniu do </w:t>
      </w:r>
      <w:r w:rsidR="00304375" w:rsidRPr="00360EFC">
        <w:rPr>
          <w:rFonts w:ascii="Calibri" w:hAnsi="Calibri"/>
          <w:sz w:val="22"/>
          <w:szCs w:val="22"/>
        </w:rPr>
        <w:t>111.386</w:t>
      </w:r>
      <w:r w:rsidRPr="00360EFC">
        <w:rPr>
          <w:rFonts w:ascii="Calibri" w:hAnsi="Calibri"/>
          <w:sz w:val="22"/>
          <w:szCs w:val="22"/>
        </w:rPr>
        <w:t xml:space="preserve"> tys. zł </w:t>
      </w:r>
      <w:r w:rsidR="009C6F76" w:rsidRPr="00360EFC">
        <w:rPr>
          <w:rFonts w:ascii="Calibri" w:hAnsi="Calibri"/>
          <w:sz w:val="22"/>
          <w:szCs w:val="22"/>
        </w:rPr>
        <w:br/>
      </w:r>
      <w:r w:rsidRPr="00360EFC">
        <w:rPr>
          <w:rFonts w:ascii="Calibri" w:hAnsi="Calibri"/>
          <w:sz w:val="22"/>
          <w:szCs w:val="22"/>
        </w:rPr>
        <w:t>w analogicznym okresie 201</w:t>
      </w:r>
      <w:r w:rsidR="00304375" w:rsidRPr="00360EFC">
        <w:rPr>
          <w:rFonts w:ascii="Calibri" w:hAnsi="Calibri"/>
          <w:sz w:val="22"/>
          <w:szCs w:val="22"/>
        </w:rPr>
        <w:t>5</w:t>
      </w:r>
      <w:r w:rsidRPr="00360EFC">
        <w:rPr>
          <w:rFonts w:ascii="Calibri" w:hAnsi="Calibri"/>
          <w:sz w:val="22"/>
          <w:szCs w:val="22"/>
        </w:rPr>
        <w:t xml:space="preserve"> roku. </w:t>
      </w:r>
      <w:r w:rsidR="00304375" w:rsidRPr="00360EFC">
        <w:rPr>
          <w:rFonts w:ascii="Calibri" w:hAnsi="Calibri"/>
          <w:sz w:val="22"/>
          <w:szCs w:val="22"/>
        </w:rPr>
        <w:t xml:space="preserve">Spadek </w:t>
      </w:r>
      <w:r w:rsidRPr="00360EFC">
        <w:rPr>
          <w:rFonts w:ascii="Calibri" w:hAnsi="Calibri" w:cs="Arial"/>
          <w:sz w:val="22"/>
          <w:szCs w:val="22"/>
        </w:rPr>
        <w:t xml:space="preserve">wartości przychodów jest </w:t>
      </w:r>
      <w:r w:rsidR="00304375" w:rsidRPr="00360EFC">
        <w:rPr>
          <w:rFonts w:ascii="Calibri" w:hAnsi="Calibri" w:cs="Arial"/>
          <w:sz w:val="22"/>
          <w:szCs w:val="22"/>
        </w:rPr>
        <w:t>wynikiem mniejszej ilości realizowanych przez Spółki z Grupy zadań inwestycyjnych</w:t>
      </w:r>
    </w:p>
    <w:p w14:paraId="052EC92B" w14:textId="60D9221E" w:rsidR="00545E2E" w:rsidRPr="00360EFC" w:rsidRDefault="00545E2E" w:rsidP="00545E2E">
      <w:pPr>
        <w:tabs>
          <w:tab w:val="left" w:pos="540"/>
        </w:tabs>
        <w:spacing w:line="360" w:lineRule="auto"/>
        <w:ind w:firstLine="567"/>
        <w:jc w:val="both"/>
        <w:rPr>
          <w:rFonts w:ascii="Calibri" w:hAnsi="Calibri" w:cs="Arial"/>
          <w:sz w:val="22"/>
          <w:szCs w:val="22"/>
        </w:rPr>
      </w:pPr>
      <w:r w:rsidRPr="00360EFC">
        <w:rPr>
          <w:rFonts w:ascii="Calibri" w:hAnsi="Calibri" w:cs="Arial"/>
          <w:sz w:val="22"/>
          <w:szCs w:val="22"/>
        </w:rPr>
        <w:t>Po sześciu miesiącach 201</w:t>
      </w:r>
      <w:r w:rsidR="00304375" w:rsidRPr="00360EFC">
        <w:rPr>
          <w:rFonts w:ascii="Calibri" w:hAnsi="Calibri" w:cs="Arial"/>
          <w:sz w:val="22"/>
          <w:szCs w:val="22"/>
        </w:rPr>
        <w:t>6</w:t>
      </w:r>
      <w:r w:rsidRPr="00360EFC">
        <w:rPr>
          <w:rFonts w:ascii="Calibri" w:hAnsi="Calibri" w:cs="Arial"/>
          <w:sz w:val="22"/>
          <w:szCs w:val="22"/>
        </w:rPr>
        <w:t xml:space="preserve"> roku koszty działalności operacyjnej Grupy Kapitałowej </w:t>
      </w:r>
      <w:r w:rsidR="002E4153">
        <w:rPr>
          <w:rFonts w:ascii="Calibri" w:hAnsi="Calibri" w:cs="Arial"/>
          <w:sz w:val="22"/>
          <w:szCs w:val="22"/>
        </w:rPr>
        <w:t>CHEMOSERVIS-DWORY</w:t>
      </w:r>
      <w:r w:rsidRPr="00360EFC">
        <w:rPr>
          <w:rFonts w:ascii="Calibri" w:hAnsi="Calibri" w:cs="Arial"/>
          <w:sz w:val="22"/>
          <w:szCs w:val="22"/>
        </w:rPr>
        <w:t xml:space="preserve"> wyniosły </w:t>
      </w:r>
      <w:r w:rsidR="00304375" w:rsidRPr="00360EFC">
        <w:rPr>
          <w:rFonts w:ascii="Calibri" w:hAnsi="Calibri" w:cs="Arial"/>
          <w:sz w:val="22"/>
          <w:szCs w:val="22"/>
        </w:rPr>
        <w:t>105.939</w:t>
      </w:r>
      <w:r w:rsidR="00B43775" w:rsidRPr="00360EFC">
        <w:rPr>
          <w:rFonts w:ascii="Calibri" w:hAnsi="Calibri" w:cs="Arial"/>
          <w:sz w:val="22"/>
          <w:szCs w:val="22"/>
        </w:rPr>
        <w:t xml:space="preserve"> </w:t>
      </w:r>
      <w:r w:rsidRPr="00360EFC">
        <w:rPr>
          <w:rFonts w:ascii="Calibri" w:hAnsi="Calibri" w:cs="Arial"/>
          <w:sz w:val="22"/>
          <w:szCs w:val="22"/>
        </w:rPr>
        <w:t xml:space="preserve">tys. zł, w tym koszt sprzedanych produktów, towarów </w:t>
      </w:r>
      <w:r w:rsidR="0008786B" w:rsidRPr="00360EFC">
        <w:rPr>
          <w:rFonts w:ascii="Calibri" w:hAnsi="Calibri" w:cs="Arial"/>
          <w:sz w:val="22"/>
          <w:szCs w:val="22"/>
        </w:rPr>
        <w:br/>
      </w:r>
      <w:r w:rsidRPr="00360EFC">
        <w:rPr>
          <w:rFonts w:ascii="Calibri" w:hAnsi="Calibri" w:cs="Arial"/>
          <w:sz w:val="22"/>
          <w:szCs w:val="22"/>
        </w:rPr>
        <w:t>i materiałów w wy</w:t>
      </w:r>
      <w:r w:rsidR="00B43775" w:rsidRPr="00360EFC">
        <w:rPr>
          <w:rFonts w:ascii="Calibri" w:hAnsi="Calibri" w:cs="Arial"/>
          <w:sz w:val="22"/>
          <w:szCs w:val="22"/>
        </w:rPr>
        <w:t xml:space="preserve">sokości </w:t>
      </w:r>
      <w:r w:rsidR="00304375" w:rsidRPr="00360EFC">
        <w:rPr>
          <w:rFonts w:ascii="Calibri" w:hAnsi="Calibri" w:cs="Arial"/>
          <w:sz w:val="22"/>
          <w:szCs w:val="22"/>
        </w:rPr>
        <w:t>98.326</w:t>
      </w:r>
      <w:r w:rsidR="00B43775" w:rsidRPr="00360EFC">
        <w:rPr>
          <w:rFonts w:ascii="Calibri" w:hAnsi="Calibri" w:cs="Arial"/>
          <w:sz w:val="22"/>
          <w:szCs w:val="22"/>
        </w:rPr>
        <w:t xml:space="preserve"> </w:t>
      </w:r>
      <w:r w:rsidRPr="00360EFC">
        <w:rPr>
          <w:rFonts w:ascii="Calibri" w:hAnsi="Calibri" w:cs="Arial"/>
          <w:sz w:val="22"/>
          <w:szCs w:val="22"/>
        </w:rPr>
        <w:t xml:space="preserve">tys. zł, koszty sprzedaży </w:t>
      </w:r>
      <w:r w:rsidR="00304375" w:rsidRPr="00360EFC">
        <w:rPr>
          <w:rFonts w:ascii="Calibri" w:hAnsi="Calibri" w:cs="Arial"/>
          <w:sz w:val="22"/>
          <w:szCs w:val="22"/>
        </w:rPr>
        <w:t>-508</w:t>
      </w:r>
      <w:r w:rsidR="00B43775" w:rsidRPr="00360EFC">
        <w:rPr>
          <w:rFonts w:ascii="Calibri" w:hAnsi="Calibri" w:cs="Arial"/>
          <w:sz w:val="22"/>
          <w:szCs w:val="22"/>
        </w:rPr>
        <w:t xml:space="preserve"> </w:t>
      </w:r>
      <w:r w:rsidRPr="00360EFC">
        <w:rPr>
          <w:rFonts w:ascii="Calibri" w:hAnsi="Calibri" w:cs="Arial"/>
          <w:sz w:val="22"/>
          <w:szCs w:val="22"/>
        </w:rPr>
        <w:t xml:space="preserve">tys. zł oraz koszty zarządu </w:t>
      </w:r>
      <w:r w:rsidR="00304375" w:rsidRPr="00360EFC">
        <w:rPr>
          <w:rFonts w:ascii="Calibri" w:hAnsi="Calibri" w:cs="Arial"/>
          <w:sz w:val="22"/>
          <w:szCs w:val="22"/>
        </w:rPr>
        <w:t>8.121</w:t>
      </w:r>
      <w:r w:rsidRPr="00360EFC">
        <w:rPr>
          <w:rFonts w:ascii="Calibri" w:hAnsi="Calibri" w:cs="Arial"/>
          <w:sz w:val="22"/>
          <w:szCs w:val="22"/>
        </w:rPr>
        <w:t xml:space="preserve"> tys. zł. Koszty działalności operacyjnej, w porównaniu do analogi</w:t>
      </w:r>
      <w:r w:rsidR="00B43775" w:rsidRPr="00360EFC">
        <w:rPr>
          <w:rFonts w:ascii="Calibri" w:hAnsi="Calibri" w:cs="Arial"/>
          <w:sz w:val="22"/>
          <w:szCs w:val="22"/>
        </w:rPr>
        <w:t>cznych danych za I półrocze 201</w:t>
      </w:r>
      <w:r w:rsidR="00304375" w:rsidRPr="00360EFC">
        <w:rPr>
          <w:rFonts w:ascii="Calibri" w:hAnsi="Calibri" w:cs="Arial"/>
          <w:sz w:val="22"/>
          <w:szCs w:val="22"/>
        </w:rPr>
        <w:t>5</w:t>
      </w:r>
      <w:r w:rsidRPr="00360EFC">
        <w:rPr>
          <w:rFonts w:ascii="Calibri" w:hAnsi="Calibri" w:cs="Arial"/>
          <w:sz w:val="22"/>
          <w:szCs w:val="22"/>
        </w:rPr>
        <w:t xml:space="preserve"> roku, </w:t>
      </w:r>
      <w:r w:rsidR="00304375" w:rsidRPr="00360EFC">
        <w:rPr>
          <w:rFonts w:ascii="Calibri" w:hAnsi="Calibri" w:cs="Arial"/>
          <w:sz w:val="22"/>
          <w:szCs w:val="22"/>
        </w:rPr>
        <w:t>spadły</w:t>
      </w:r>
      <w:r w:rsidRPr="00360EFC">
        <w:rPr>
          <w:rFonts w:ascii="Calibri" w:hAnsi="Calibri" w:cs="Arial"/>
          <w:sz w:val="22"/>
          <w:szCs w:val="22"/>
        </w:rPr>
        <w:t xml:space="preserve"> o </w:t>
      </w:r>
      <w:r w:rsidR="00304375" w:rsidRPr="00360EFC">
        <w:rPr>
          <w:rFonts w:ascii="Calibri" w:hAnsi="Calibri" w:cs="Arial"/>
          <w:sz w:val="22"/>
          <w:szCs w:val="22"/>
        </w:rPr>
        <w:t>2</w:t>
      </w:r>
      <w:r w:rsidRPr="00360EFC">
        <w:rPr>
          <w:rFonts w:ascii="Calibri" w:hAnsi="Calibri" w:cs="Arial"/>
          <w:sz w:val="22"/>
          <w:szCs w:val="22"/>
        </w:rPr>
        <w:t xml:space="preserve">%, to jest o </w:t>
      </w:r>
      <w:r w:rsidR="00304375" w:rsidRPr="00360EFC">
        <w:rPr>
          <w:rFonts w:ascii="Calibri" w:hAnsi="Calibri" w:cs="Arial"/>
          <w:sz w:val="22"/>
          <w:szCs w:val="22"/>
        </w:rPr>
        <w:t>2.103</w:t>
      </w:r>
      <w:r w:rsidR="00B43775" w:rsidRPr="00360EFC">
        <w:rPr>
          <w:rFonts w:ascii="Calibri" w:hAnsi="Calibri" w:cs="Arial"/>
          <w:sz w:val="22"/>
          <w:szCs w:val="22"/>
        </w:rPr>
        <w:t xml:space="preserve"> </w:t>
      </w:r>
      <w:r w:rsidRPr="00360EFC">
        <w:rPr>
          <w:rFonts w:ascii="Calibri" w:hAnsi="Calibri" w:cs="Arial"/>
          <w:sz w:val="22"/>
          <w:szCs w:val="22"/>
        </w:rPr>
        <w:t>tys. zł</w:t>
      </w:r>
      <w:r w:rsidR="00304375" w:rsidRPr="00360EFC">
        <w:rPr>
          <w:rFonts w:ascii="Calibri" w:hAnsi="Calibri" w:cs="Arial"/>
          <w:sz w:val="22"/>
          <w:szCs w:val="22"/>
        </w:rPr>
        <w:t>. Spadek</w:t>
      </w:r>
      <w:r w:rsidRPr="00360EFC">
        <w:rPr>
          <w:rFonts w:ascii="Calibri" w:hAnsi="Calibri" w:cs="Arial"/>
          <w:sz w:val="22"/>
          <w:szCs w:val="22"/>
        </w:rPr>
        <w:t xml:space="preserve"> odnotowano w ramach kosztów sprzedanych produktów, towarów i materiałów o </w:t>
      </w:r>
      <w:r w:rsidR="00304375" w:rsidRPr="00360EFC">
        <w:rPr>
          <w:rFonts w:ascii="Calibri" w:hAnsi="Calibri" w:cs="Arial"/>
          <w:sz w:val="22"/>
          <w:szCs w:val="22"/>
        </w:rPr>
        <w:t>1</w:t>
      </w:r>
      <w:r w:rsidRPr="00360EFC">
        <w:rPr>
          <w:rFonts w:ascii="Calibri" w:hAnsi="Calibri" w:cs="Arial"/>
          <w:sz w:val="22"/>
          <w:szCs w:val="22"/>
        </w:rPr>
        <w:t>% w porównaniu do danych z analogicznego okresu roku ubiegłego</w:t>
      </w:r>
      <w:r w:rsidR="00B43775" w:rsidRPr="00360EFC">
        <w:rPr>
          <w:rFonts w:ascii="Calibri" w:hAnsi="Calibri" w:cs="Arial"/>
          <w:sz w:val="22"/>
          <w:szCs w:val="22"/>
        </w:rPr>
        <w:t>.</w:t>
      </w:r>
      <w:r w:rsidR="001F4E2B">
        <w:rPr>
          <w:rFonts w:ascii="Calibri" w:hAnsi="Calibri" w:cs="Arial"/>
          <w:sz w:val="22"/>
          <w:szCs w:val="22"/>
        </w:rPr>
        <w:br/>
      </w:r>
      <w:r w:rsidRPr="00360EFC">
        <w:rPr>
          <w:rFonts w:ascii="Calibri" w:hAnsi="Calibri" w:cs="Arial"/>
          <w:sz w:val="22"/>
          <w:szCs w:val="22"/>
        </w:rPr>
        <w:t xml:space="preserve">W ramach kosztów ogólnych Grupy Kapitałowej </w:t>
      </w:r>
      <w:r w:rsidR="002E4153">
        <w:rPr>
          <w:rFonts w:ascii="Calibri" w:hAnsi="Calibri" w:cs="Arial"/>
          <w:sz w:val="22"/>
          <w:szCs w:val="22"/>
        </w:rPr>
        <w:t>CHEMOSERVIS-DWORY</w:t>
      </w:r>
      <w:r w:rsidRPr="00360EFC">
        <w:rPr>
          <w:rFonts w:ascii="Calibri" w:hAnsi="Calibri" w:cs="Arial"/>
          <w:sz w:val="22"/>
          <w:szCs w:val="22"/>
        </w:rPr>
        <w:t xml:space="preserve">, odnotowano </w:t>
      </w:r>
      <w:r w:rsidR="00304375" w:rsidRPr="00360EFC">
        <w:rPr>
          <w:rFonts w:ascii="Calibri" w:hAnsi="Calibri" w:cs="Arial"/>
          <w:sz w:val="22"/>
          <w:szCs w:val="22"/>
        </w:rPr>
        <w:t>spadek</w:t>
      </w:r>
      <w:r w:rsidR="00716FA7" w:rsidRPr="00360EFC">
        <w:rPr>
          <w:rFonts w:ascii="Calibri" w:hAnsi="Calibri" w:cs="Arial"/>
          <w:sz w:val="22"/>
          <w:szCs w:val="22"/>
        </w:rPr>
        <w:t xml:space="preserve"> kosztów sprzedaży o </w:t>
      </w:r>
      <w:r w:rsidR="00304375" w:rsidRPr="00360EFC">
        <w:rPr>
          <w:rFonts w:ascii="Calibri" w:hAnsi="Calibri" w:cs="Arial"/>
          <w:sz w:val="22"/>
          <w:szCs w:val="22"/>
        </w:rPr>
        <w:t>124</w:t>
      </w:r>
      <w:r w:rsidRPr="00360EFC">
        <w:rPr>
          <w:rFonts w:ascii="Calibri" w:hAnsi="Calibri" w:cs="Arial"/>
          <w:sz w:val="22"/>
          <w:szCs w:val="22"/>
        </w:rPr>
        <w:t>%</w:t>
      </w:r>
      <w:r w:rsidR="00B43775" w:rsidRPr="00360EFC">
        <w:rPr>
          <w:rFonts w:ascii="Calibri" w:hAnsi="Calibri" w:cs="Arial"/>
          <w:sz w:val="22"/>
          <w:szCs w:val="22"/>
        </w:rPr>
        <w:t xml:space="preserve"> </w:t>
      </w:r>
      <w:r w:rsidRPr="00360EFC">
        <w:rPr>
          <w:rFonts w:ascii="Calibri" w:hAnsi="Calibri" w:cs="Arial"/>
          <w:sz w:val="22"/>
          <w:szCs w:val="22"/>
        </w:rPr>
        <w:t>i</w:t>
      </w:r>
      <w:r w:rsidR="00304375" w:rsidRPr="00360EFC">
        <w:rPr>
          <w:rFonts w:ascii="Calibri" w:hAnsi="Calibri" w:cs="Arial"/>
          <w:sz w:val="22"/>
          <w:szCs w:val="22"/>
        </w:rPr>
        <w:t> </w:t>
      </w:r>
      <w:r w:rsidRPr="00360EFC">
        <w:rPr>
          <w:rFonts w:ascii="Calibri" w:hAnsi="Calibri" w:cs="Arial"/>
          <w:sz w:val="22"/>
          <w:szCs w:val="22"/>
        </w:rPr>
        <w:t xml:space="preserve"> </w:t>
      </w:r>
      <w:r w:rsidR="00E62CB2" w:rsidRPr="00360EFC">
        <w:rPr>
          <w:rFonts w:ascii="Calibri" w:hAnsi="Calibri" w:cs="Arial"/>
          <w:sz w:val="22"/>
          <w:szCs w:val="22"/>
        </w:rPr>
        <w:t xml:space="preserve">wzrost </w:t>
      </w:r>
      <w:r w:rsidRPr="00360EFC">
        <w:rPr>
          <w:rFonts w:ascii="Calibri" w:hAnsi="Calibri" w:cs="Arial"/>
          <w:sz w:val="22"/>
          <w:szCs w:val="22"/>
        </w:rPr>
        <w:t>kosztów zarządu o </w:t>
      </w:r>
      <w:r w:rsidR="00304375" w:rsidRPr="00360EFC">
        <w:rPr>
          <w:rFonts w:ascii="Calibri" w:hAnsi="Calibri" w:cs="Arial"/>
          <w:sz w:val="22"/>
          <w:szCs w:val="22"/>
        </w:rPr>
        <w:t>25</w:t>
      </w:r>
      <w:r w:rsidRPr="00360EFC">
        <w:rPr>
          <w:rFonts w:ascii="Calibri" w:hAnsi="Calibri" w:cs="Arial"/>
          <w:sz w:val="22"/>
          <w:szCs w:val="22"/>
        </w:rPr>
        <w:t xml:space="preserve">%. </w:t>
      </w:r>
    </w:p>
    <w:p w14:paraId="6EE83B54" w14:textId="77777777" w:rsidR="007F4E3D" w:rsidRPr="00360EFC" w:rsidRDefault="00545E2E" w:rsidP="00545E2E">
      <w:pPr>
        <w:tabs>
          <w:tab w:val="left" w:pos="540"/>
        </w:tabs>
        <w:spacing w:line="360" w:lineRule="auto"/>
        <w:ind w:firstLine="567"/>
        <w:jc w:val="both"/>
        <w:rPr>
          <w:rFonts w:ascii="Calibri" w:hAnsi="Calibri" w:cs="Arial"/>
          <w:sz w:val="22"/>
          <w:szCs w:val="22"/>
        </w:rPr>
      </w:pPr>
      <w:r w:rsidRPr="00360EFC">
        <w:rPr>
          <w:rFonts w:ascii="Calibri" w:hAnsi="Calibri" w:cs="Arial"/>
          <w:sz w:val="22"/>
          <w:szCs w:val="22"/>
        </w:rPr>
        <w:t xml:space="preserve">Koszty rodzajowe w Grupie Kapitałowej </w:t>
      </w:r>
      <w:r w:rsidR="002E4153">
        <w:rPr>
          <w:rFonts w:ascii="Calibri" w:hAnsi="Calibri" w:cs="Arial"/>
          <w:sz w:val="22"/>
          <w:szCs w:val="22"/>
        </w:rPr>
        <w:t>CHEMOSERVIS-DWORY</w:t>
      </w:r>
      <w:r w:rsidRPr="00360EFC">
        <w:rPr>
          <w:rFonts w:ascii="Calibri" w:hAnsi="Calibri" w:cs="Arial"/>
          <w:sz w:val="22"/>
          <w:szCs w:val="22"/>
        </w:rPr>
        <w:t xml:space="preserve"> </w:t>
      </w:r>
      <w:r w:rsidR="009C6F76" w:rsidRPr="00360EFC">
        <w:rPr>
          <w:rFonts w:ascii="Calibri" w:hAnsi="Calibri" w:cs="Arial"/>
          <w:sz w:val="22"/>
          <w:szCs w:val="22"/>
        </w:rPr>
        <w:t xml:space="preserve">wartościowo </w:t>
      </w:r>
      <w:r w:rsidR="007F4E3D" w:rsidRPr="00360EFC">
        <w:rPr>
          <w:rFonts w:ascii="Calibri" w:hAnsi="Calibri" w:cs="Arial"/>
          <w:sz w:val="22"/>
          <w:szCs w:val="22"/>
        </w:rPr>
        <w:t xml:space="preserve">pozostały na niezmienionym poziomie w porównaniu do analogicznego okresu roku ubiegłego, zmianie uległa natomiast struktura </w:t>
      </w:r>
      <w:r w:rsidR="006B35B1" w:rsidRPr="00360EFC">
        <w:rPr>
          <w:rFonts w:ascii="Calibri" w:hAnsi="Calibri" w:cs="Arial"/>
          <w:sz w:val="22"/>
          <w:szCs w:val="22"/>
        </w:rPr>
        <w:t xml:space="preserve">w ramach </w:t>
      </w:r>
      <w:r w:rsidR="007F4E3D" w:rsidRPr="00360EFC">
        <w:rPr>
          <w:rFonts w:ascii="Calibri" w:hAnsi="Calibri" w:cs="Arial"/>
          <w:sz w:val="22"/>
          <w:szCs w:val="22"/>
        </w:rPr>
        <w:t>poszczególnych kosztów rodzajowych</w:t>
      </w:r>
      <w:r w:rsidR="006B35B1" w:rsidRPr="00360EFC">
        <w:rPr>
          <w:rFonts w:ascii="Calibri" w:hAnsi="Calibri" w:cs="Arial"/>
          <w:sz w:val="22"/>
          <w:szCs w:val="22"/>
        </w:rPr>
        <w:t>, i tak nastąpił:</w:t>
      </w:r>
    </w:p>
    <w:p w14:paraId="5E38F502" w14:textId="77777777" w:rsidR="00545E2E" w:rsidRPr="00360EFC" w:rsidRDefault="006B35B1" w:rsidP="00D73705">
      <w:pPr>
        <w:pStyle w:val="Akapitzlist"/>
        <w:widowControl w:val="0"/>
        <w:numPr>
          <w:ilvl w:val="0"/>
          <w:numId w:val="5"/>
        </w:numPr>
        <w:spacing w:after="20" w:line="360" w:lineRule="auto"/>
        <w:ind w:left="1134" w:hanging="567"/>
        <w:jc w:val="both"/>
        <w:rPr>
          <w:rFonts w:ascii="Calibri" w:hAnsi="Calibri" w:cs="Arial"/>
          <w:sz w:val="22"/>
          <w:szCs w:val="22"/>
        </w:rPr>
      </w:pPr>
      <w:r w:rsidRPr="00360EFC">
        <w:rPr>
          <w:rFonts w:ascii="Calibri" w:hAnsi="Calibri" w:cs="Arial"/>
          <w:sz w:val="22"/>
          <w:szCs w:val="22"/>
        </w:rPr>
        <w:t>spadek</w:t>
      </w:r>
      <w:r w:rsidR="00545E2E" w:rsidRPr="00360EFC">
        <w:rPr>
          <w:rFonts w:ascii="Calibri" w:hAnsi="Calibri" w:cs="Arial"/>
          <w:sz w:val="22"/>
          <w:szCs w:val="22"/>
        </w:rPr>
        <w:t xml:space="preserve"> kosztów amortyzacji o </w:t>
      </w:r>
      <w:r w:rsidRPr="00360EFC">
        <w:rPr>
          <w:rFonts w:ascii="Calibri" w:hAnsi="Calibri" w:cs="Arial"/>
          <w:sz w:val="22"/>
          <w:szCs w:val="22"/>
        </w:rPr>
        <w:t>9</w:t>
      </w:r>
      <w:r w:rsidR="00545E2E" w:rsidRPr="00360EFC">
        <w:rPr>
          <w:rFonts w:ascii="Calibri" w:hAnsi="Calibri" w:cs="Arial"/>
          <w:sz w:val="22"/>
          <w:szCs w:val="22"/>
        </w:rPr>
        <w:t>%,</w:t>
      </w:r>
    </w:p>
    <w:p w14:paraId="4A1C325B" w14:textId="77777777" w:rsidR="00545E2E" w:rsidRPr="00360EFC" w:rsidRDefault="00E62CB2" w:rsidP="00D73705">
      <w:pPr>
        <w:widowControl w:val="0"/>
        <w:numPr>
          <w:ilvl w:val="0"/>
          <w:numId w:val="5"/>
        </w:numPr>
        <w:spacing w:after="20" w:line="360" w:lineRule="auto"/>
        <w:ind w:left="1134" w:hanging="567"/>
        <w:jc w:val="both"/>
        <w:rPr>
          <w:rFonts w:ascii="Calibri" w:hAnsi="Calibri" w:cs="Arial"/>
          <w:sz w:val="22"/>
          <w:szCs w:val="22"/>
        </w:rPr>
      </w:pPr>
      <w:r w:rsidRPr="00360EFC">
        <w:rPr>
          <w:rFonts w:ascii="Calibri" w:hAnsi="Calibri" w:cs="Arial"/>
          <w:sz w:val="22"/>
          <w:szCs w:val="22"/>
        </w:rPr>
        <w:t>wzrost</w:t>
      </w:r>
      <w:r w:rsidR="00545E2E" w:rsidRPr="00360EFC">
        <w:rPr>
          <w:rFonts w:ascii="Calibri" w:hAnsi="Calibri" w:cs="Arial"/>
          <w:sz w:val="22"/>
          <w:szCs w:val="22"/>
        </w:rPr>
        <w:t xml:space="preserve"> kosztów </w:t>
      </w:r>
      <w:r w:rsidR="00B43775" w:rsidRPr="00360EFC">
        <w:rPr>
          <w:rFonts w:ascii="Calibri" w:hAnsi="Calibri" w:cs="Arial"/>
          <w:sz w:val="22"/>
          <w:szCs w:val="22"/>
        </w:rPr>
        <w:t xml:space="preserve">zużycia materiałów i energii o </w:t>
      </w:r>
      <w:r w:rsidR="006B35B1" w:rsidRPr="00360EFC">
        <w:rPr>
          <w:rFonts w:ascii="Calibri" w:hAnsi="Calibri" w:cs="Arial"/>
          <w:sz w:val="22"/>
          <w:szCs w:val="22"/>
        </w:rPr>
        <w:t>17</w:t>
      </w:r>
      <w:r w:rsidR="00545E2E" w:rsidRPr="00360EFC">
        <w:rPr>
          <w:rFonts w:ascii="Calibri" w:hAnsi="Calibri" w:cs="Arial"/>
          <w:sz w:val="22"/>
          <w:szCs w:val="22"/>
        </w:rPr>
        <w:t>%,</w:t>
      </w:r>
    </w:p>
    <w:p w14:paraId="36C4A4BA" w14:textId="77777777" w:rsidR="00545E2E" w:rsidRPr="00360EFC" w:rsidRDefault="00DF0ED3" w:rsidP="00D73705">
      <w:pPr>
        <w:widowControl w:val="0"/>
        <w:numPr>
          <w:ilvl w:val="0"/>
          <w:numId w:val="5"/>
        </w:numPr>
        <w:spacing w:after="20" w:line="360" w:lineRule="auto"/>
        <w:ind w:left="1134" w:hanging="567"/>
        <w:jc w:val="both"/>
        <w:rPr>
          <w:rFonts w:ascii="Calibri" w:hAnsi="Calibri" w:cs="Arial"/>
          <w:sz w:val="22"/>
          <w:szCs w:val="22"/>
        </w:rPr>
      </w:pPr>
      <w:r w:rsidRPr="00360EFC">
        <w:rPr>
          <w:rFonts w:ascii="Calibri" w:hAnsi="Calibri" w:cs="Arial"/>
          <w:sz w:val="22"/>
          <w:szCs w:val="22"/>
        </w:rPr>
        <w:t>spadek</w:t>
      </w:r>
      <w:r w:rsidR="00545E2E" w:rsidRPr="00360EFC">
        <w:rPr>
          <w:rFonts w:ascii="Calibri" w:hAnsi="Calibri" w:cs="Arial"/>
          <w:sz w:val="22"/>
          <w:szCs w:val="22"/>
        </w:rPr>
        <w:t xml:space="preserve"> kosztów usług obcych o </w:t>
      </w:r>
      <w:r w:rsidR="006B35B1" w:rsidRPr="00360EFC">
        <w:rPr>
          <w:rFonts w:ascii="Calibri" w:hAnsi="Calibri" w:cs="Arial"/>
          <w:sz w:val="22"/>
          <w:szCs w:val="22"/>
        </w:rPr>
        <w:t>9</w:t>
      </w:r>
      <w:r w:rsidR="00545E2E" w:rsidRPr="00360EFC">
        <w:rPr>
          <w:rFonts w:ascii="Calibri" w:hAnsi="Calibri" w:cs="Arial"/>
          <w:sz w:val="22"/>
          <w:szCs w:val="22"/>
        </w:rPr>
        <w:t xml:space="preserve">%, </w:t>
      </w:r>
    </w:p>
    <w:p w14:paraId="30F03AFA" w14:textId="77777777" w:rsidR="00545E2E" w:rsidRPr="00360EFC" w:rsidRDefault="006B35B1" w:rsidP="00D73705">
      <w:pPr>
        <w:widowControl w:val="0"/>
        <w:numPr>
          <w:ilvl w:val="0"/>
          <w:numId w:val="5"/>
        </w:numPr>
        <w:spacing w:after="20" w:line="360" w:lineRule="auto"/>
        <w:ind w:left="1134" w:hanging="567"/>
        <w:jc w:val="both"/>
        <w:rPr>
          <w:rFonts w:ascii="Calibri" w:hAnsi="Calibri" w:cs="Arial"/>
          <w:sz w:val="22"/>
          <w:szCs w:val="22"/>
        </w:rPr>
      </w:pPr>
      <w:r w:rsidRPr="00360EFC">
        <w:rPr>
          <w:rFonts w:ascii="Calibri" w:hAnsi="Calibri" w:cs="Arial"/>
          <w:sz w:val="22"/>
          <w:szCs w:val="22"/>
        </w:rPr>
        <w:t>spadek kosztów świadczeń pracowniczych o 2%</w:t>
      </w:r>
    </w:p>
    <w:p w14:paraId="0B1366A2" w14:textId="77777777" w:rsidR="00545E2E" w:rsidRPr="00360EFC" w:rsidRDefault="00545E2E" w:rsidP="00D73705">
      <w:pPr>
        <w:pStyle w:val="Akapitzlist"/>
        <w:widowControl w:val="0"/>
        <w:numPr>
          <w:ilvl w:val="0"/>
          <w:numId w:val="5"/>
        </w:numPr>
        <w:tabs>
          <w:tab w:val="left" w:pos="1134"/>
        </w:tabs>
        <w:spacing w:after="20" w:line="360" w:lineRule="auto"/>
        <w:ind w:left="1134" w:hanging="567"/>
        <w:jc w:val="both"/>
        <w:rPr>
          <w:rFonts w:ascii="Calibri" w:hAnsi="Calibri" w:cs="Arial"/>
          <w:sz w:val="22"/>
          <w:szCs w:val="22"/>
        </w:rPr>
      </w:pPr>
      <w:r w:rsidRPr="00360EFC">
        <w:rPr>
          <w:rFonts w:ascii="Calibri" w:hAnsi="Calibri" w:cs="Arial"/>
          <w:sz w:val="22"/>
          <w:szCs w:val="22"/>
        </w:rPr>
        <w:t>wzro</w:t>
      </w:r>
      <w:r w:rsidR="00B43775" w:rsidRPr="00360EFC">
        <w:rPr>
          <w:rFonts w:ascii="Calibri" w:hAnsi="Calibri" w:cs="Arial"/>
          <w:sz w:val="22"/>
          <w:szCs w:val="22"/>
        </w:rPr>
        <w:t xml:space="preserve">st kosztów opłat i podatków o </w:t>
      </w:r>
      <w:r w:rsidR="006B35B1" w:rsidRPr="00360EFC">
        <w:rPr>
          <w:rFonts w:ascii="Calibri" w:hAnsi="Calibri" w:cs="Arial"/>
          <w:sz w:val="22"/>
          <w:szCs w:val="22"/>
        </w:rPr>
        <w:t>16</w:t>
      </w:r>
      <w:r w:rsidRPr="00360EFC">
        <w:rPr>
          <w:rFonts w:ascii="Calibri" w:hAnsi="Calibri" w:cs="Arial"/>
          <w:sz w:val="22"/>
          <w:szCs w:val="22"/>
        </w:rPr>
        <w:t>%,</w:t>
      </w:r>
    </w:p>
    <w:p w14:paraId="02551837" w14:textId="77777777" w:rsidR="00545E2E" w:rsidRPr="00360EFC" w:rsidRDefault="006B35B1" w:rsidP="00D73705">
      <w:pPr>
        <w:pStyle w:val="Akapitzlist"/>
        <w:widowControl w:val="0"/>
        <w:numPr>
          <w:ilvl w:val="0"/>
          <w:numId w:val="5"/>
        </w:numPr>
        <w:tabs>
          <w:tab w:val="left" w:pos="1134"/>
        </w:tabs>
        <w:spacing w:after="20" w:line="360" w:lineRule="auto"/>
        <w:ind w:left="1134" w:hanging="567"/>
        <w:jc w:val="both"/>
        <w:rPr>
          <w:rFonts w:ascii="Calibri" w:hAnsi="Calibri" w:cs="Arial"/>
          <w:sz w:val="22"/>
          <w:szCs w:val="22"/>
        </w:rPr>
      </w:pPr>
      <w:r w:rsidRPr="00360EFC">
        <w:rPr>
          <w:rFonts w:ascii="Calibri" w:hAnsi="Calibri" w:cs="Arial"/>
          <w:sz w:val="22"/>
          <w:szCs w:val="22"/>
        </w:rPr>
        <w:t>spadek</w:t>
      </w:r>
      <w:r w:rsidR="00545E2E" w:rsidRPr="00360EFC">
        <w:rPr>
          <w:rFonts w:ascii="Calibri" w:hAnsi="Calibri" w:cs="Arial"/>
          <w:sz w:val="22"/>
          <w:szCs w:val="22"/>
        </w:rPr>
        <w:t xml:space="preserve"> poz</w:t>
      </w:r>
      <w:r w:rsidR="00B43775" w:rsidRPr="00360EFC">
        <w:rPr>
          <w:rFonts w:ascii="Calibri" w:hAnsi="Calibri" w:cs="Arial"/>
          <w:sz w:val="22"/>
          <w:szCs w:val="22"/>
        </w:rPr>
        <w:t xml:space="preserve">ostałych kosztów rodzajowych o </w:t>
      </w:r>
      <w:r w:rsidRPr="00360EFC">
        <w:rPr>
          <w:rFonts w:ascii="Calibri" w:hAnsi="Calibri" w:cs="Arial"/>
          <w:sz w:val="22"/>
          <w:szCs w:val="22"/>
        </w:rPr>
        <w:t>13</w:t>
      </w:r>
      <w:r w:rsidR="00545E2E" w:rsidRPr="00360EFC">
        <w:rPr>
          <w:rFonts w:ascii="Calibri" w:hAnsi="Calibri" w:cs="Arial"/>
          <w:sz w:val="22"/>
          <w:szCs w:val="22"/>
        </w:rPr>
        <w:t>%.</w:t>
      </w:r>
    </w:p>
    <w:p w14:paraId="158EB4C6" w14:textId="77777777" w:rsidR="00545E2E" w:rsidRPr="00360EFC" w:rsidRDefault="00545E2E" w:rsidP="00545E2E">
      <w:pPr>
        <w:pStyle w:val="Akapitzlist"/>
        <w:widowControl w:val="0"/>
        <w:tabs>
          <w:tab w:val="left" w:pos="1134"/>
        </w:tabs>
        <w:spacing w:after="60" w:line="360" w:lineRule="auto"/>
        <w:ind w:left="1134"/>
        <w:jc w:val="both"/>
        <w:rPr>
          <w:rFonts w:ascii="Calibri" w:hAnsi="Calibri" w:cs="Arial"/>
          <w:sz w:val="22"/>
          <w:szCs w:val="22"/>
        </w:rPr>
      </w:pPr>
    </w:p>
    <w:p w14:paraId="1EB9CBA7" w14:textId="3FB23B52" w:rsidR="00545E2E" w:rsidRPr="00360EFC" w:rsidRDefault="00545E2E" w:rsidP="00545E2E">
      <w:pPr>
        <w:tabs>
          <w:tab w:val="left" w:pos="567"/>
        </w:tabs>
        <w:spacing w:line="360" w:lineRule="auto"/>
        <w:ind w:firstLine="567"/>
        <w:jc w:val="both"/>
        <w:rPr>
          <w:rFonts w:ascii="Calibri" w:hAnsi="Calibri" w:cs="Arial"/>
          <w:sz w:val="22"/>
          <w:szCs w:val="22"/>
        </w:rPr>
      </w:pPr>
      <w:r w:rsidRPr="00360EFC">
        <w:rPr>
          <w:rFonts w:ascii="Calibri" w:hAnsi="Calibri" w:cs="Arial"/>
          <w:sz w:val="22"/>
          <w:szCs w:val="22"/>
        </w:rPr>
        <w:t xml:space="preserve">Grupa Kapitałowa </w:t>
      </w:r>
      <w:r w:rsidR="002E4153">
        <w:rPr>
          <w:rFonts w:ascii="Calibri" w:hAnsi="Calibri" w:cs="Arial"/>
          <w:sz w:val="22"/>
          <w:szCs w:val="22"/>
        </w:rPr>
        <w:t>CHEMOSERVIS-DWORY</w:t>
      </w:r>
      <w:r w:rsidRPr="00360EFC">
        <w:rPr>
          <w:rFonts w:ascii="Calibri" w:hAnsi="Calibri" w:cs="Arial"/>
          <w:sz w:val="22"/>
          <w:szCs w:val="22"/>
        </w:rPr>
        <w:t xml:space="preserve">, w konsekwencji wyżej opisanych czynników, </w:t>
      </w:r>
      <w:r w:rsidR="0008786B" w:rsidRPr="00360EFC">
        <w:rPr>
          <w:rFonts w:ascii="Calibri" w:hAnsi="Calibri" w:cs="Arial"/>
          <w:sz w:val="22"/>
          <w:szCs w:val="22"/>
        </w:rPr>
        <w:br/>
      </w:r>
      <w:r w:rsidRPr="00360EFC">
        <w:rPr>
          <w:rFonts w:ascii="Calibri" w:hAnsi="Calibri" w:cs="Arial"/>
          <w:sz w:val="22"/>
          <w:szCs w:val="22"/>
        </w:rPr>
        <w:t>w I półroczu 201</w:t>
      </w:r>
      <w:r w:rsidR="006B35B1" w:rsidRPr="00360EFC">
        <w:rPr>
          <w:rFonts w:ascii="Calibri" w:hAnsi="Calibri" w:cs="Arial"/>
          <w:sz w:val="22"/>
          <w:szCs w:val="22"/>
        </w:rPr>
        <w:t>6</w:t>
      </w:r>
      <w:r w:rsidRPr="00360EFC">
        <w:rPr>
          <w:rFonts w:ascii="Calibri" w:hAnsi="Calibri" w:cs="Arial"/>
          <w:sz w:val="22"/>
          <w:szCs w:val="22"/>
        </w:rPr>
        <w:t xml:space="preserve"> roku</w:t>
      </w:r>
      <w:r w:rsidR="006B35B1" w:rsidRPr="00360EFC">
        <w:rPr>
          <w:rFonts w:ascii="Calibri" w:hAnsi="Calibri" w:cs="Arial"/>
          <w:sz w:val="22"/>
          <w:szCs w:val="22"/>
        </w:rPr>
        <w:t xml:space="preserve"> </w:t>
      </w:r>
      <w:r w:rsidR="00AA6DC9" w:rsidRPr="00360EFC">
        <w:rPr>
          <w:rFonts w:ascii="Calibri" w:hAnsi="Calibri" w:cs="Arial"/>
          <w:sz w:val="22"/>
          <w:szCs w:val="22"/>
        </w:rPr>
        <w:t>odnotowała stratę</w:t>
      </w:r>
      <w:r w:rsidRPr="00360EFC">
        <w:rPr>
          <w:rFonts w:ascii="Calibri" w:hAnsi="Calibri" w:cs="Arial"/>
          <w:sz w:val="22"/>
          <w:szCs w:val="22"/>
        </w:rPr>
        <w:t xml:space="preserve"> netto </w:t>
      </w:r>
      <w:r w:rsidR="00AA6DC9" w:rsidRPr="00360EFC">
        <w:rPr>
          <w:rFonts w:ascii="Calibri" w:hAnsi="Calibri" w:cs="Arial"/>
          <w:sz w:val="22"/>
          <w:szCs w:val="22"/>
        </w:rPr>
        <w:t>w wysokości 1.30</w:t>
      </w:r>
      <w:r w:rsidR="00B1209E">
        <w:rPr>
          <w:rFonts w:ascii="Calibri" w:hAnsi="Calibri" w:cs="Arial"/>
          <w:sz w:val="22"/>
          <w:szCs w:val="22"/>
        </w:rPr>
        <w:t>9</w:t>
      </w:r>
      <w:r w:rsidR="00B43775" w:rsidRPr="00360EFC">
        <w:rPr>
          <w:rFonts w:ascii="Calibri" w:hAnsi="Calibri" w:cs="Arial"/>
          <w:sz w:val="22"/>
          <w:szCs w:val="22"/>
        </w:rPr>
        <w:t xml:space="preserve"> tys. zł, w porównaniu do </w:t>
      </w:r>
      <w:r w:rsidR="009C6F76" w:rsidRPr="00360EFC">
        <w:rPr>
          <w:rFonts w:ascii="Calibri" w:hAnsi="Calibri" w:cs="Arial"/>
          <w:sz w:val="22"/>
          <w:szCs w:val="22"/>
        </w:rPr>
        <w:br/>
      </w:r>
      <w:r w:rsidR="00AA6DC9" w:rsidRPr="00360EFC">
        <w:rPr>
          <w:rFonts w:ascii="Calibri" w:hAnsi="Calibri" w:cs="Arial"/>
          <w:sz w:val="22"/>
          <w:szCs w:val="22"/>
        </w:rPr>
        <w:lastRenderedPageBreak/>
        <w:t>2.032</w:t>
      </w:r>
      <w:r w:rsidRPr="00360EFC">
        <w:rPr>
          <w:rFonts w:ascii="Calibri" w:hAnsi="Calibri" w:cs="Arial"/>
          <w:sz w:val="22"/>
          <w:szCs w:val="22"/>
        </w:rPr>
        <w:t xml:space="preserve"> tys. zł zysku w analogicznym okresie 201</w:t>
      </w:r>
      <w:r w:rsidR="00AA6DC9" w:rsidRPr="00360EFC">
        <w:rPr>
          <w:rFonts w:ascii="Calibri" w:hAnsi="Calibri" w:cs="Arial"/>
          <w:sz w:val="22"/>
          <w:szCs w:val="22"/>
        </w:rPr>
        <w:t>5</w:t>
      </w:r>
      <w:r w:rsidRPr="00360EFC">
        <w:rPr>
          <w:rFonts w:ascii="Calibri" w:hAnsi="Calibri" w:cs="Arial"/>
          <w:sz w:val="22"/>
          <w:szCs w:val="22"/>
        </w:rPr>
        <w:t xml:space="preserve"> roku. Zysk brutto ze sprzedaży w I półroczu</w:t>
      </w:r>
      <w:r w:rsidR="00EB2E85" w:rsidRPr="00360EFC">
        <w:rPr>
          <w:rFonts w:ascii="Calibri" w:hAnsi="Calibri" w:cs="Arial"/>
          <w:sz w:val="22"/>
          <w:szCs w:val="22"/>
        </w:rPr>
        <w:t xml:space="preserve"> </w:t>
      </w:r>
      <w:r w:rsidRPr="00360EFC">
        <w:rPr>
          <w:rFonts w:ascii="Calibri" w:hAnsi="Calibri" w:cs="Arial"/>
          <w:sz w:val="22"/>
          <w:szCs w:val="22"/>
        </w:rPr>
        <w:t>201</w:t>
      </w:r>
      <w:r w:rsidR="009E661F" w:rsidRPr="00360EFC">
        <w:rPr>
          <w:rFonts w:ascii="Calibri" w:hAnsi="Calibri" w:cs="Arial"/>
          <w:sz w:val="22"/>
          <w:szCs w:val="22"/>
        </w:rPr>
        <w:t>6</w:t>
      </w:r>
      <w:r w:rsidRPr="00360EFC">
        <w:rPr>
          <w:rFonts w:ascii="Calibri" w:hAnsi="Calibri" w:cs="Arial"/>
          <w:sz w:val="22"/>
          <w:szCs w:val="22"/>
        </w:rPr>
        <w:t xml:space="preserve"> roku wyniósł </w:t>
      </w:r>
      <w:r w:rsidR="009E661F" w:rsidRPr="00360EFC">
        <w:rPr>
          <w:rFonts w:ascii="Calibri" w:hAnsi="Calibri" w:cs="Arial"/>
          <w:sz w:val="22"/>
          <w:szCs w:val="22"/>
        </w:rPr>
        <w:t>7.574</w:t>
      </w:r>
      <w:r w:rsidR="00B43775" w:rsidRPr="00360EFC">
        <w:rPr>
          <w:rFonts w:ascii="Calibri" w:hAnsi="Calibri" w:cs="Arial"/>
          <w:sz w:val="22"/>
          <w:szCs w:val="22"/>
        </w:rPr>
        <w:t xml:space="preserve"> t</w:t>
      </w:r>
      <w:r w:rsidRPr="00360EFC">
        <w:rPr>
          <w:rFonts w:ascii="Calibri" w:hAnsi="Calibri" w:cs="Arial"/>
          <w:sz w:val="22"/>
          <w:szCs w:val="22"/>
        </w:rPr>
        <w:t>ys. zł, i w porówna</w:t>
      </w:r>
      <w:r w:rsidR="00B43775" w:rsidRPr="00360EFC">
        <w:rPr>
          <w:rFonts w:ascii="Calibri" w:hAnsi="Calibri" w:cs="Arial"/>
          <w:sz w:val="22"/>
          <w:szCs w:val="22"/>
        </w:rPr>
        <w:t>niu do danych za I półrocze 201</w:t>
      </w:r>
      <w:r w:rsidR="009E661F" w:rsidRPr="00360EFC">
        <w:rPr>
          <w:rFonts w:ascii="Calibri" w:hAnsi="Calibri" w:cs="Arial"/>
          <w:sz w:val="22"/>
          <w:szCs w:val="22"/>
        </w:rPr>
        <w:t>5</w:t>
      </w:r>
      <w:r w:rsidRPr="00360EFC">
        <w:rPr>
          <w:rFonts w:ascii="Calibri" w:hAnsi="Calibri" w:cs="Arial"/>
          <w:sz w:val="22"/>
          <w:szCs w:val="22"/>
        </w:rPr>
        <w:t xml:space="preserve"> roku, </w:t>
      </w:r>
      <w:r w:rsidR="009E661F" w:rsidRPr="00360EFC">
        <w:rPr>
          <w:rFonts w:ascii="Calibri" w:hAnsi="Calibri" w:cs="Arial"/>
          <w:sz w:val="22"/>
          <w:szCs w:val="22"/>
        </w:rPr>
        <w:t>spadł</w:t>
      </w:r>
      <w:r w:rsidRPr="00360EFC">
        <w:rPr>
          <w:rFonts w:ascii="Calibri" w:hAnsi="Calibri" w:cs="Arial"/>
          <w:sz w:val="22"/>
          <w:szCs w:val="22"/>
        </w:rPr>
        <w:t xml:space="preserve"> o </w:t>
      </w:r>
      <w:r w:rsidR="009E661F" w:rsidRPr="00360EFC">
        <w:rPr>
          <w:rFonts w:ascii="Calibri" w:hAnsi="Calibri" w:cs="Arial"/>
          <w:sz w:val="22"/>
          <w:szCs w:val="22"/>
        </w:rPr>
        <w:t>37</w:t>
      </w:r>
      <w:r w:rsidRPr="00360EFC">
        <w:rPr>
          <w:rFonts w:ascii="Calibri" w:hAnsi="Calibri" w:cs="Arial"/>
          <w:sz w:val="22"/>
          <w:szCs w:val="22"/>
        </w:rPr>
        <w:t xml:space="preserve">%. Wynik na pozostałej działalności operacyjnej, po odjęciu od pozostałych przychodów operacyjnych, pozostałych kosztów operacyjnych, wynosi </w:t>
      </w:r>
      <w:r w:rsidR="009E661F" w:rsidRPr="00360EFC">
        <w:rPr>
          <w:rFonts w:ascii="Calibri" w:hAnsi="Calibri" w:cs="Arial"/>
          <w:sz w:val="22"/>
          <w:szCs w:val="22"/>
        </w:rPr>
        <w:t>1</w:t>
      </w:r>
      <w:r w:rsidRPr="00360EFC">
        <w:rPr>
          <w:rFonts w:ascii="Calibri" w:hAnsi="Calibri" w:cs="Arial"/>
          <w:sz w:val="22"/>
          <w:szCs w:val="22"/>
        </w:rPr>
        <w:t xml:space="preserve"> tys. zł. W analogicznym okresie roku poprzedniego, wynik na pozostałej dzia</w:t>
      </w:r>
      <w:r w:rsidR="00053177" w:rsidRPr="00360EFC">
        <w:rPr>
          <w:rFonts w:ascii="Calibri" w:hAnsi="Calibri" w:cs="Arial"/>
          <w:sz w:val="22"/>
          <w:szCs w:val="22"/>
        </w:rPr>
        <w:t xml:space="preserve">łalności operacyjnej </w:t>
      </w:r>
      <w:r w:rsidR="00A96B7F" w:rsidRPr="00360EFC">
        <w:rPr>
          <w:rFonts w:ascii="Calibri" w:hAnsi="Calibri" w:cs="Arial"/>
          <w:sz w:val="22"/>
          <w:szCs w:val="22"/>
        </w:rPr>
        <w:t xml:space="preserve">również był dodatni </w:t>
      </w:r>
      <w:r w:rsidRPr="00360EFC">
        <w:rPr>
          <w:rFonts w:ascii="Calibri" w:hAnsi="Calibri" w:cs="Arial"/>
          <w:sz w:val="22"/>
          <w:szCs w:val="22"/>
        </w:rPr>
        <w:t xml:space="preserve">i wynosił </w:t>
      </w:r>
      <w:r w:rsidR="009E661F" w:rsidRPr="00360EFC">
        <w:rPr>
          <w:rFonts w:ascii="Calibri" w:hAnsi="Calibri" w:cs="Arial"/>
          <w:sz w:val="22"/>
          <w:szCs w:val="22"/>
        </w:rPr>
        <w:t>22</w:t>
      </w:r>
      <w:r w:rsidRPr="00360EFC">
        <w:rPr>
          <w:rFonts w:ascii="Calibri" w:hAnsi="Calibri" w:cs="Arial"/>
          <w:sz w:val="22"/>
          <w:szCs w:val="22"/>
        </w:rPr>
        <w:t xml:space="preserve"> tys. zł. Wynik na działalności finansowej </w:t>
      </w:r>
      <w:r w:rsidR="00EB2E85" w:rsidRPr="00360EFC">
        <w:rPr>
          <w:rFonts w:ascii="Calibri" w:hAnsi="Calibri" w:cs="Arial"/>
          <w:sz w:val="22"/>
          <w:szCs w:val="22"/>
        </w:rPr>
        <w:t xml:space="preserve">jest ujemny, </w:t>
      </w:r>
      <w:r w:rsidR="00A96B7F" w:rsidRPr="00360EFC">
        <w:rPr>
          <w:rFonts w:ascii="Calibri" w:hAnsi="Calibri" w:cs="Arial"/>
          <w:sz w:val="22"/>
          <w:szCs w:val="22"/>
        </w:rPr>
        <w:t>wyniósł -</w:t>
      </w:r>
      <w:r w:rsidR="00E62CB2" w:rsidRPr="00360EFC">
        <w:rPr>
          <w:rFonts w:ascii="Calibri" w:hAnsi="Calibri" w:cs="Arial"/>
          <w:sz w:val="22"/>
          <w:szCs w:val="22"/>
        </w:rPr>
        <w:t>1</w:t>
      </w:r>
      <w:r w:rsidR="00E776FC" w:rsidRPr="00360EFC">
        <w:rPr>
          <w:rFonts w:ascii="Calibri" w:hAnsi="Calibri" w:cs="Arial"/>
          <w:sz w:val="22"/>
          <w:szCs w:val="22"/>
        </w:rPr>
        <w:t xml:space="preserve"> 0</w:t>
      </w:r>
      <w:r w:rsidR="009E661F" w:rsidRPr="00360EFC">
        <w:rPr>
          <w:rFonts w:ascii="Calibri" w:hAnsi="Calibri" w:cs="Arial"/>
          <w:sz w:val="22"/>
          <w:szCs w:val="22"/>
        </w:rPr>
        <w:t>95</w:t>
      </w:r>
      <w:r w:rsidRPr="00360EFC">
        <w:rPr>
          <w:rFonts w:ascii="Calibri" w:hAnsi="Calibri" w:cs="Arial"/>
          <w:sz w:val="22"/>
          <w:szCs w:val="22"/>
        </w:rPr>
        <w:t xml:space="preserve"> tys. zł</w:t>
      </w:r>
      <w:r w:rsidR="00EB2E85" w:rsidRPr="00360EFC">
        <w:rPr>
          <w:rFonts w:ascii="Calibri" w:hAnsi="Calibri" w:cs="Arial"/>
          <w:sz w:val="22"/>
          <w:szCs w:val="22"/>
        </w:rPr>
        <w:t>,</w:t>
      </w:r>
      <w:r w:rsidRPr="00360EFC">
        <w:rPr>
          <w:rFonts w:ascii="Calibri" w:hAnsi="Calibri" w:cs="Arial"/>
          <w:sz w:val="22"/>
          <w:szCs w:val="22"/>
        </w:rPr>
        <w:t xml:space="preserve"> i jest </w:t>
      </w:r>
      <w:r w:rsidR="00B1209E">
        <w:rPr>
          <w:rFonts w:ascii="Calibri" w:hAnsi="Calibri" w:cs="Arial"/>
          <w:sz w:val="22"/>
          <w:szCs w:val="22"/>
        </w:rPr>
        <w:t xml:space="preserve">niższy </w:t>
      </w:r>
      <w:r w:rsidRPr="00360EFC">
        <w:rPr>
          <w:rFonts w:ascii="Calibri" w:hAnsi="Calibri" w:cs="Arial"/>
          <w:sz w:val="22"/>
          <w:szCs w:val="22"/>
        </w:rPr>
        <w:t>o </w:t>
      </w:r>
      <w:r w:rsidR="009E661F" w:rsidRPr="00360EFC">
        <w:rPr>
          <w:rFonts w:ascii="Calibri" w:hAnsi="Calibri" w:cs="Arial"/>
          <w:sz w:val="22"/>
          <w:szCs w:val="22"/>
        </w:rPr>
        <w:t>64</w:t>
      </w:r>
      <w:r w:rsidR="00A96B7F" w:rsidRPr="00360EFC">
        <w:rPr>
          <w:rFonts w:ascii="Calibri" w:hAnsi="Calibri" w:cs="Arial"/>
          <w:sz w:val="22"/>
          <w:szCs w:val="22"/>
        </w:rPr>
        <w:t xml:space="preserve"> tys. zł, to jest o </w:t>
      </w:r>
      <w:r w:rsidR="009E661F" w:rsidRPr="00360EFC">
        <w:rPr>
          <w:rFonts w:ascii="Calibri" w:hAnsi="Calibri" w:cs="Arial"/>
          <w:sz w:val="22"/>
          <w:szCs w:val="22"/>
        </w:rPr>
        <w:t>6</w:t>
      </w:r>
      <w:r w:rsidRPr="00360EFC">
        <w:rPr>
          <w:rFonts w:ascii="Calibri" w:hAnsi="Calibri" w:cs="Arial"/>
          <w:sz w:val="22"/>
          <w:szCs w:val="22"/>
        </w:rPr>
        <w:t xml:space="preserve">%, </w:t>
      </w:r>
      <w:r w:rsidR="001F4E2B">
        <w:rPr>
          <w:rFonts w:ascii="Calibri" w:hAnsi="Calibri" w:cs="Arial"/>
          <w:sz w:val="22"/>
          <w:szCs w:val="22"/>
        </w:rPr>
        <w:br/>
      </w:r>
      <w:r w:rsidRPr="00360EFC">
        <w:rPr>
          <w:rFonts w:ascii="Calibri" w:hAnsi="Calibri" w:cs="Arial"/>
          <w:sz w:val="22"/>
          <w:szCs w:val="22"/>
        </w:rPr>
        <w:t>w porówna</w:t>
      </w:r>
      <w:r w:rsidR="00A96B7F" w:rsidRPr="00360EFC">
        <w:rPr>
          <w:rFonts w:ascii="Calibri" w:hAnsi="Calibri" w:cs="Arial"/>
          <w:sz w:val="22"/>
          <w:szCs w:val="22"/>
        </w:rPr>
        <w:t>niu do danych za I półrocze 201</w:t>
      </w:r>
      <w:r w:rsidR="009E661F" w:rsidRPr="00360EFC">
        <w:rPr>
          <w:rFonts w:ascii="Calibri" w:hAnsi="Calibri" w:cs="Arial"/>
          <w:sz w:val="22"/>
          <w:szCs w:val="22"/>
        </w:rPr>
        <w:t>5</w:t>
      </w:r>
      <w:r w:rsidRPr="00360EFC">
        <w:rPr>
          <w:rFonts w:ascii="Calibri" w:hAnsi="Calibri" w:cs="Arial"/>
          <w:sz w:val="22"/>
          <w:szCs w:val="22"/>
        </w:rPr>
        <w:t xml:space="preserve"> roku. Przychody finansowe uzyskane w I półroczu 201</w:t>
      </w:r>
      <w:r w:rsidR="009E661F" w:rsidRPr="00360EFC">
        <w:rPr>
          <w:rFonts w:ascii="Calibri" w:hAnsi="Calibri" w:cs="Arial"/>
          <w:sz w:val="22"/>
          <w:szCs w:val="22"/>
        </w:rPr>
        <w:t>6</w:t>
      </w:r>
      <w:r w:rsidR="00A96B7F" w:rsidRPr="00360EFC">
        <w:rPr>
          <w:rFonts w:ascii="Calibri" w:hAnsi="Calibri" w:cs="Arial"/>
          <w:sz w:val="22"/>
          <w:szCs w:val="22"/>
        </w:rPr>
        <w:t xml:space="preserve"> roku są </w:t>
      </w:r>
      <w:r w:rsidR="009E661F" w:rsidRPr="00360EFC">
        <w:rPr>
          <w:rFonts w:ascii="Calibri" w:hAnsi="Calibri" w:cs="Arial"/>
          <w:sz w:val="22"/>
          <w:szCs w:val="22"/>
        </w:rPr>
        <w:t>wyższe</w:t>
      </w:r>
      <w:r w:rsidR="00E62CB2" w:rsidRPr="00360EFC">
        <w:rPr>
          <w:rFonts w:ascii="Calibri" w:hAnsi="Calibri" w:cs="Arial"/>
          <w:sz w:val="22"/>
          <w:szCs w:val="22"/>
        </w:rPr>
        <w:t xml:space="preserve"> </w:t>
      </w:r>
      <w:r w:rsidRPr="00360EFC">
        <w:rPr>
          <w:rFonts w:ascii="Calibri" w:hAnsi="Calibri" w:cs="Arial"/>
          <w:sz w:val="22"/>
          <w:szCs w:val="22"/>
        </w:rPr>
        <w:t xml:space="preserve">o </w:t>
      </w:r>
      <w:r w:rsidR="009E661F" w:rsidRPr="00360EFC">
        <w:rPr>
          <w:rFonts w:ascii="Calibri" w:hAnsi="Calibri" w:cs="Arial"/>
          <w:sz w:val="22"/>
          <w:szCs w:val="22"/>
        </w:rPr>
        <w:t>1.</w:t>
      </w:r>
      <w:r w:rsidR="00E776FC" w:rsidRPr="00360EFC">
        <w:rPr>
          <w:rFonts w:ascii="Calibri" w:hAnsi="Calibri" w:cs="Arial"/>
          <w:sz w:val="22"/>
          <w:szCs w:val="22"/>
        </w:rPr>
        <w:t>2</w:t>
      </w:r>
      <w:r w:rsidR="009E661F" w:rsidRPr="00360EFC">
        <w:rPr>
          <w:rFonts w:ascii="Calibri" w:hAnsi="Calibri" w:cs="Arial"/>
          <w:sz w:val="22"/>
          <w:szCs w:val="22"/>
        </w:rPr>
        <w:t>78</w:t>
      </w:r>
      <w:r w:rsidR="00A96B7F" w:rsidRPr="00360EFC">
        <w:rPr>
          <w:rFonts w:ascii="Calibri" w:hAnsi="Calibri" w:cs="Arial"/>
          <w:sz w:val="22"/>
          <w:szCs w:val="22"/>
        </w:rPr>
        <w:t xml:space="preserve"> </w:t>
      </w:r>
      <w:r w:rsidRPr="00360EFC">
        <w:rPr>
          <w:rFonts w:ascii="Calibri" w:hAnsi="Calibri" w:cs="Arial"/>
          <w:sz w:val="22"/>
          <w:szCs w:val="22"/>
        </w:rPr>
        <w:t>tys. zł w porównaniu do danych za analogiczny okres 201</w:t>
      </w:r>
      <w:r w:rsidR="009E661F" w:rsidRPr="00360EFC">
        <w:rPr>
          <w:rFonts w:ascii="Calibri" w:hAnsi="Calibri" w:cs="Arial"/>
          <w:sz w:val="22"/>
          <w:szCs w:val="22"/>
        </w:rPr>
        <w:t>5</w:t>
      </w:r>
      <w:r w:rsidRPr="00360EFC">
        <w:rPr>
          <w:rFonts w:ascii="Calibri" w:hAnsi="Calibri" w:cs="Arial"/>
          <w:sz w:val="22"/>
          <w:szCs w:val="22"/>
        </w:rPr>
        <w:t xml:space="preserve"> roku. Natomiast koszty finansowe wzrosły o </w:t>
      </w:r>
      <w:r w:rsidR="00A003A2" w:rsidRPr="00360EFC">
        <w:rPr>
          <w:rFonts w:ascii="Calibri" w:hAnsi="Calibri" w:cs="Arial"/>
          <w:sz w:val="22"/>
          <w:szCs w:val="22"/>
        </w:rPr>
        <w:t>1.342</w:t>
      </w:r>
      <w:r w:rsidR="00A96B7F" w:rsidRPr="00360EFC">
        <w:rPr>
          <w:rFonts w:ascii="Calibri" w:hAnsi="Calibri" w:cs="Arial"/>
          <w:sz w:val="22"/>
          <w:szCs w:val="22"/>
        </w:rPr>
        <w:t xml:space="preserve"> </w:t>
      </w:r>
      <w:r w:rsidRPr="00360EFC">
        <w:rPr>
          <w:rFonts w:ascii="Calibri" w:hAnsi="Calibri" w:cs="Arial"/>
          <w:sz w:val="22"/>
          <w:szCs w:val="22"/>
        </w:rPr>
        <w:t>tys. zł, głównie poprzez wzrost kosztów finansowych odsetek od kredytów</w:t>
      </w:r>
      <w:r w:rsidR="00E776FC" w:rsidRPr="00360EFC">
        <w:rPr>
          <w:rFonts w:ascii="Calibri" w:hAnsi="Calibri" w:cs="Arial"/>
          <w:sz w:val="22"/>
          <w:szCs w:val="22"/>
        </w:rPr>
        <w:t xml:space="preserve"> oraz emisji obligacji przez Jednostkę Dominującą</w:t>
      </w:r>
      <w:r w:rsidR="009C6F76" w:rsidRPr="00360EFC">
        <w:rPr>
          <w:rFonts w:ascii="Calibri" w:hAnsi="Calibri" w:cs="Arial"/>
          <w:sz w:val="22"/>
          <w:szCs w:val="22"/>
        </w:rPr>
        <w:t xml:space="preserve"> oraz są efektem rozliczenia i wyceny instrumentów finansowych w Spółce Zależnej MONEA XII Sp. z o.o.</w:t>
      </w:r>
      <w:r w:rsidRPr="00360EFC">
        <w:rPr>
          <w:rFonts w:ascii="Calibri" w:hAnsi="Calibri" w:cs="Arial"/>
          <w:sz w:val="22"/>
          <w:szCs w:val="22"/>
        </w:rPr>
        <w:t xml:space="preserve"> Grupa Kapitałowa </w:t>
      </w:r>
      <w:r w:rsidR="002E4153">
        <w:rPr>
          <w:rFonts w:ascii="Calibri" w:hAnsi="Calibri" w:cs="Arial"/>
          <w:sz w:val="22"/>
          <w:szCs w:val="22"/>
        </w:rPr>
        <w:t>CHEMOSERVIS-DWORY</w:t>
      </w:r>
      <w:r w:rsidRPr="00360EFC">
        <w:rPr>
          <w:rFonts w:ascii="Calibri" w:hAnsi="Calibri" w:cs="Arial"/>
          <w:sz w:val="22"/>
          <w:szCs w:val="22"/>
        </w:rPr>
        <w:t xml:space="preserve"> </w:t>
      </w:r>
      <w:r w:rsidR="00A003A2" w:rsidRPr="00360EFC">
        <w:rPr>
          <w:rFonts w:ascii="Calibri" w:hAnsi="Calibri" w:cs="Arial"/>
          <w:sz w:val="22"/>
          <w:szCs w:val="22"/>
        </w:rPr>
        <w:t>poniosła stratę</w:t>
      </w:r>
      <w:r w:rsidRPr="00360EFC">
        <w:rPr>
          <w:rFonts w:ascii="Calibri" w:hAnsi="Calibri" w:cs="Arial"/>
          <w:sz w:val="22"/>
          <w:szCs w:val="22"/>
        </w:rPr>
        <w:t xml:space="preserve"> przed o</w:t>
      </w:r>
      <w:r w:rsidR="00A96B7F" w:rsidRPr="00360EFC">
        <w:rPr>
          <w:rFonts w:ascii="Calibri" w:hAnsi="Calibri" w:cs="Arial"/>
          <w:sz w:val="22"/>
          <w:szCs w:val="22"/>
        </w:rPr>
        <w:t>podatkowaniem za 6 miesięcy 201</w:t>
      </w:r>
      <w:r w:rsidR="00A003A2" w:rsidRPr="00360EFC">
        <w:rPr>
          <w:rFonts w:ascii="Calibri" w:hAnsi="Calibri" w:cs="Arial"/>
          <w:sz w:val="22"/>
          <w:szCs w:val="22"/>
        </w:rPr>
        <w:t>6</w:t>
      </w:r>
      <w:r w:rsidRPr="00360EFC">
        <w:rPr>
          <w:rFonts w:ascii="Calibri" w:hAnsi="Calibri" w:cs="Arial"/>
          <w:sz w:val="22"/>
          <w:szCs w:val="22"/>
        </w:rPr>
        <w:t xml:space="preserve"> roku w wysokości</w:t>
      </w:r>
      <w:r w:rsidR="00E62CB2" w:rsidRPr="00360EFC">
        <w:rPr>
          <w:rFonts w:ascii="Calibri" w:hAnsi="Calibri" w:cs="Arial"/>
          <w:sz w:val="22"/>
          <w:szCs w:val="22"/>
        </w:rPr>
        <w:t xml:space="preserve"> </w:t>
      </w:r>
      <w:r w:rsidR="00A003A2" w:rsidRPr="00360EFC">
        <w:rPr>
          <w:rFonts w:ascii="Calibri" w:hAnsi="Calibri" w:cs="Arial"/>
          <w:sz w:val="22"/>
          <w:szCs w:val="22"/>
        </w:rPr>
        <w:t>-967</w:t>
      </w:r>
      <w:r w:rsidR="00A96B7F" w:rsidRPr="00360EFC">
        <w:rPr>
          <w:rFonts w:ascii="Calibri" w:hAnsi="Calibri" w:cs="Arial"/>
          <w:sz w:val="22"/>
          <w:szCs w:val="22"/>
        </w:rPr>
        <w:t xml:space="preserve"> </w:t>
      </w:r>
      <w:r w:rsidRPr="00360EFC">
        <w:rPr>
          <w:rFonts w:ascii="Calibri" w:hAnsi="Calibri" w:cs="Arial"/>
          <w:sz w:val="22"/>
          <w:szCs w:val="22"/>
        </w:rPr>
        <w:t xml:space="preserve">tys. zł, </w:t>
      </w:r>
      <w:r w:rsidR="001F4E2B">
        <w:rPr>
          <w:rFonts w:ascii="Calibri" w:hAnsi="Calibri" w:cs="Arial"/>
          <w:sz w:val="22"/>
          <w:szCs w:val="22"/>
        </w:rPr>
        <w:br/>
      </w:r>
      <w:r w:rsidRPr="00360EFC">
        <w:rPr>
          <w:rFonts w:ascii="Calibri" w:hAnsi="Calibri" w:cs="Arial"/>
          <w:sz w:val="22"/>
          <w:szCs w:val="22"/>
        </w:rPr>
        <w:t xml:space="preserve">co dało </w:t>
      </w:r>
      <w:r w:rsidR="00050F1C" w:rsidRPr="00360EFC">
        <w:rPr>
          <w:rFonts w:ascii="Calibri" w:hAnsi="Calibri" w:cs="Arial"/>
          <w:sz w:val="22"/>
          <w:szCs w:val="22"/>
        </w:rPr>
        <w:t>spadek</w:t>
      </w:r>
      <w:r w:rsidRPr="00360EFC">
        <w:rPr>
          <w:rFonts w:ascii="Calibri" w:hAnsi="Calibri" w:cs="Arial"/>
          <w:sz w:val="22"/>
          <w:szCs w:val="22"/>
        </w:rPr>
        <w:t xml:space="preserve"> tej kategorii o</w:t>
      </w:r>
      <w:r w:rsidR="00050F1C" w:rsidRPr="00360EFC">
        <w:rPr>
          <w:rFonts w:ascii="Calibri" w:hAnsi="Calibri" w:cs="Arial"/>
          <w:sz w:val="22"/>
          <w:szCs w:val="22"/>
        </w:rPr>
        <w:t> </w:t>
      </w:r>
      <w:r w:rsidR="00A003A2" w:rsidRPr="00360EFC">
        <w:rPr>
          <w:rFonts w:ascii="Calibri" w:hAnsi="Calibri" w:cs="Arial"/>
          <w:sz w:val="22"/>
          <w:szCs w:val="22"/>
        </w:rPr>
        <w:t>3.375</w:t>
      </w:r>
      <w:r w:rsidR="00A96B7F" w:rsidRPr="00360EFC">
        <w:rPr>
          <w:rFonts w:ascii="Calibri" w:hAnsi="Calibri" w:cs="Arial"/>
          <w:sz w:val="22"/>
          <w:szCs w:val="22"/>
        </w:rPr>
        <w:t xml:space="preserve"> </w:t>
      </w:r>
      <w:r w:rsidRPr="00360EFC">
        <w:rPr>
          <w:rFonts w:ascii="Calibri" w:hAnsi="Calibri" w:cs="Arial"/>
          <w:sz w:val="22"/>
          <w:szCs w:val="22"/>
        </w:rPr>
        <w:t>tys. zł</w:t>
      </w:r>
      <w:r w:rsidR="00EB2E85" w:rsidRPr="00360EFC">
        <w:rPr>
          <w:rFonts w:ascii="Calibri" w:hAnsi="Calibri" w:cs="Arial"/>
          <w:sz w:val="22"/>
          <w:szCs w:val="22"/>
        </w:rPr>
        <w:t>,</w:t>
      </w:r>
      <w:r w:rsidRPr="00360EFC">
        <w:rPr>
          <w:rFonts w:ascii="Calibri" w:hAnsi="Calibri" w:cs="Arial"/>
          <w:sz w:val="22"/>
          <w:szCs w:val="22"/>
        </w:rPr>
        <w:t xml:space="preserve"> czyli o </w:t>
      </w:r>
      <w:r w:rsidR="00A003A2" w:rsidRPr="00360EFC">
        <w:rPr>
          <w:rFonts w:ascii="Calibri" w:hAnsi="Calibri" w:cs="Arial"/>
          <w:sz w:val="22"/>
          <w:szCs w:val="22"/>
        </w:rPr>
        <w:t>140</w:t>
      </w:r>
      <w:r w:rsidRPr="00360EFC">
        <w:rPr>
          <w:rFonts w:ascii="Calibri" w:hAnsi="Calibri" w:cs="Arial"/>
          <w:sz w:val="22"/>
          <w:szCs w:val="22"/>
        </w:rPr>
        <w:t>% w porównaniu do analogicznych danych poprzedniego okresu.</w:t>
      </w:r>
      <w:r w:rsidR="00A96B7F" w:rsidRPr="00360EFC">
        <w:rPr>
          <w:rFonts w:ascii="Calibri" w:hAnsi="Calibri" w:cs="Arial"/>
          <w:sz w:val="22"/>
          <w:szCs w:val="22"/>
        </w:rPr>
        <w:t xml:space="preserve"> Skonsolidowan</w:t>
      </w:r>
      <w:r w:rsidR="00A003A2" w:rsidRPr="00360EFC">
        <w:rPr>
          <w:rFonts w:ascii="Calibri" w:hAnsi="Calibri" w:cs="Arial"/>
          <w:sz w:val="22"/>
          <w:szCs w:val="22"/>
        </w:rPr>
        <w:t>a</w:t>
      </w:r>
      <w:r w:rsidR="0043380F" w:rsidRPr="00360EFC">
        <w:rPr>
          <w:rFonts w:ascii="Calibri" w:hAnsi="Calibri" w:cs="Arial"/>
          <w:sz w:val="22"/>
          <w:szCs w:val="22"/>
        </w:rPr>
        <w:t xml:space="preserve"> strata netto przypadająca</w:t>
      </w:r>
      <w:r w:rsidR="00A96B7F" w:rsidRPr="00360EFC">
        <w:rPr>
          <w:rFonts w:ascii="Calibri" w:hAnsi="Calibri" w:cs="Arial"/>
          <w:sz w:val="22"/>
          <w:szCs w:val="22"/>
        </w:rPr>
        <w:t xml:space="preserve"> Akcjonariuszom Jednostki Dominującej wynosi </w:t>
      </w:r>
      <w:r w:rsidR="0043380F" w:rsidRPr="00360EFC">
        <w:rPr>
          <w:rFonts w:ascii="Calibri" w:hAnsi="Calibri" w:cs="Arial"/>
          <w:sz w:val="22"/>
          <w:szCs w:val="22"/>
        </w:rPr>
        <w:t>-24</w:t>
      </w:r>
      <w:r w:rsidR="00B1209E">
        <w:rPr>
          <w:rFonts w:ascii="Calibri" w:hAnsi="Calibri" w:cs="Arial"/>
          <w:sz w:val="22"/>
          <w:szCs w:val="22"/>
        </w:rPr>
        <w:t>6</w:t>
      </w:r>
      <w:r w:rsidR="0043380F" w:rsidRPr="00360EFC">
        <w:rPr>
          <w:rFonts w:ascii="Calibri" w:hAnsi="Calibri" w:cs="Arial"/>
          <w:sz w:val="22"/>
          <w:szCs w:val="22"/>
        </w:rPr>
        <w:t xml:space="preserve"> tys. zł w porównaniu do zysku netto </w:t>
      </w:r>
      <w:r w:rsidR="00E62CB2" w:rsidRPr="00360EFC">
        <w:rPr>
          <w:rFonts w:ascii="Calibri" w:hAnsi="Calibri" w:cs="Arial"/>
          <w:sz w:val="22"/>
          <w:szCs w:val="22"/>
        </w:rPr>
        <w:t xml:space="preserve"> 2</w:t>
      </w:r>
      <w:r w:rsidR="00B1209E">
        <w:rPr>
          <w:rFonts w:ascii="Calibri" w:hAnsi="Calibri" w:cs="Arial"/>
          <w:sz w:val="22"/>
          <w:szCs w:val="22"/>
        </w:rPr>
        <w:t>.</w:t>
      </w:r>
      <w:r w:rsidR="00050F1C" w:rsidRPr="00360EFC">
        <w:rPr>
          <w:rFonts w:ascii="Calibri" w:hAnsi="Calibri" w:cs="Arial"/>
          <w:sz w:val="22"/>
          <w:szCs w:val="22"/>
        </w:rPr>
        <w:t>001</w:t>
      </w:r>
      <w:r w:rsidR="00A96B7F" w:rsidRPr="00360EFC">
        <w:rPr>
          <w:rFonts w:ascii="Calibri" w:hAnsi="Calibri" w:cs="Arial"/>
          <w:sz w:val="22"/>
          <w:szCs w:val="22"/>
        </w:rPr>
        <w:t xml:space="preserve"> tys. zł, w poprzednim analogicznym okresie roku 201</w:t>
      </w:r>
      <w:r w:rsidR="0043380F" w:rsidRPr="00360EFC">
        <w:rPr>
          <w:rFonts w:ascii="Calibri" w:hAnsi="Calibri" w:cs="Arial"/>
          <w:sz w:val="22"/>
          <w:szCs w:val="22"/>
        </w:rPr>
        <w:t>5 roku</w:t>
      </w:r>
      <w:r w:rsidR="00A96B7F" w:rsidRPr="00360EFC">
        <w:rPr>
          <w:rFonts w:ascii="Calibri" w:hAnsi="Calibri" w:cs="Arial"/>
          <w:sz w:val="22"/>
          <w:szCs w:val="22"/>
        </w:rPr>
        <w:t xml:space="preserve">. </w:t>
      </w:r>
    </w:p>
    <w:p w14:paraId="58C6873B" w14:textId="2B2FD5F4" w:rsidR="00545E2E" w:rsidRPr="00360EFC" w:rsidRDefault="00545E2E" w:rsidP="00545E2E">
      <w:pPr>
        <w:tabs>
          <w:tab w:val="left" w:pos="567"/>
        </w:tabs>
        <w:spacing w:line="360" w:lineRule="auto"/>
        <w:ind w:firstLine="567"/>
        <w:jc w:val="both"/>
        <w:rPr>
          <w:rFonts w:ascii="Calibri" w:hAnsi="Calibri" w:cs="Arial"/>
          <w:sz w:val="22"/>
          <w:szCs w:val="22"/>
        </w:rPr>
      </w:pPr>
      <w:r w:rsidRPr="00360EFC">
        <w:rPr>
          <w:rFonts w:ascii="Calibri" w:hAnsi="Calibri" w:cs="Arial"/>
          <w:sz w:val="22"/>
          <w:szCs w:val="22"/>
        </w:rPr>
        <w:t xml:space="preserve">Po uwzględnieniu </w:t>
      </w:r>
      <w:r w:rsidR="00A96B7F" w:rsidRPr="00360EFC">
        <w:rPr>
          <w:rFonts w:ascii="Calibri" w:hAnsi="Calibri" w:cs="Arial"/>
          <w:sz w:val="22"/>
          <w:szCs w:val="22"/>
        </w:rPr>
        <w:t xml:space="preserve">pozostałych </w:t>
      </w:r>
      <w:r w:rsidRPr="00360EFC">
        <w:rPr>
          <w:rFonts w:ascii="Calibri" w:hAnsi="Calibri" w:cs="Arial"/>
          <w:sz w:val="22"/>
          <w:szCs w:val="22"/>
        </w:rPr>
        <w:t>całkowitych do</w:t>
      </w:r>
      <w:r w:rsidR="00A96B7F" w:rsidRPr="00360EFC">
        <w:rPr>
          <w:rFonts w:ascii="Calibri" w:hAnsi="Calibri" w:cs="Arial"/>
          <w:sz w:val="22"/>
          <w:szCs w:val="22"/>
        </w:rPr>
        <w:t xml:space="preserve">chodów netto przedstawiających </w:t>
      </w:r>
      <w:r w:rsidR="00E45A9B" w:rsidRPr="00360EFC">
        <w:rPr>
          <w:rFonts w:ascii="Calibri" w:hAnsi="Calibri" w:cs="Arial"/>
          <w:sz w:val="22"/>
          <w:szCs w:val="22"/>
        </w:rPr>
        <w:t xml:space="preserve">dodatni wynik finansowy </w:t>
      </w:r>
      <w:r w:rsidRPr="00360EFC">
        <w:rPr>
          <w:rFonts w:ascii="Calibri" w:hAnsi="Calibri" w:cs="Arial"/>
          <w:sz w:val="22"/>
          <w:szCs w:val="22"/>
        </w:rPr>
        <w:t xml:space="preserve">w wysokości </w:t>
      </w:r>
      <w:r w:rsidR="0043380F" w:rsidRPr="00360EFC">
        <w:rPr>
          <w:rFonts w:ascii="Calibri" w:hAnsi="Calibri" w:cs="Arial"/>
          <w:sz w:val="22"/>
          <w:szCs w:val="22"/>
        </w:rPr>
        <w:t>824</w:t>
      </w:r>
      <w:r w:rsidR="00A96B7F" w:rsidRPr="00360EFC">
        <w:rPr>
          <w:rFonts w:ascii="Calibri" w:hAnsi="Calibri" w:cs="Arial"/>
          <w:sz w:val="22"/>
          <w:szCs w:val="22"/>
        </w:rPr>
        <w:t xml:space="preserve"> </w:t>
      </w:r>
      <w:r w:rsidRPr="00360EFC">
        <w:rPr>
          <w:rFonts w:ascii="Calibri" w:hAnsi="Calibri" w:cs="Arial"/>
          <w:sz w:val="22"/>
          <w:szCs w:val="22"/>
        </w:rPr>
        <w:t>tys. zł, powstał</w:t>
      </w:r>
      <w:r w:rsidR="00A96B7F" w:rsidRPr="00360EFC">
        <w:rPr>
          <w:rFonts w:ascii="Calibri" w:hAnsi="Calibri" w:cs="Arial"/>
          <w:sz w:val="22"/>
          <w:szCs w:val="22"/>
        </w:rPr>
        <w:t>y</w:t>
      </w:r>
      <w:r w:rsidRPr="00360EFC">
        <w:rPr>
          <w:rFonts w:ascii="Calibri" w:hAnsi="Calibri" w:cs="Arial"/>
          <w:sz w:val="22"/>
          <w:szCs w:val="22"/>
        </w:rPr>
        <w:t xml:space="preserve"> w wyniku przeliczenia jednostki zagranicznej, całkowite dochody netto Grupy Kapitałowej </w:t>
      </w:r>
      <w:r w:rsidR="002E4153">
        <w:rPr>
          <w:rFonts w:ascii="Calibri" w:hAnsi="Calibri" w:cs="Arial"/>
          <w:sz w:val="22"/>
          <w:szCs w:val="22"/>
        </w:rPr>
        <w:t>CHEMOSERVIS-DWORY</w:t>
      </w:r>
      <w:r w:rsidRPr="00360EFC">
        <w:rPr>
          <w:rFonts w:ascii="Calibri" w:hAnsi="Calibri" w:cs="Arial"/>
          <w:sz w:val="22"/>
          <w:szCs w:val="22"/>
        </w:rPr>
        <w:t xml:space="preserve"> wykazują </w:t>
      </w:r>
      <w:r w:rsidR="0043380F" w:rsidRPr="00360EFC">
        <w:rPr>
          <w:rFonts w:ascii="Calibri" w:hAnsi="Calibri" w:cs="Arial"/>
          <w:sz w:val="22"/>
          <w:szCs w:val="22"/>
        </w:rPr>
        <w:t>stratę</w:t>
      </w:r>
      <w:r w:rsidR="00A96B7F" w:rsidRPr="00360EFC">
        <w:rPr>
          <w:rFonts w:ascii="Calibri" w:hAnsi="Calibri" w:cs="Arial"/>
          <w:sz w:val="22"/>
          <w:szCs w:val="22"/>
        </w:rPr>
        <w:t xml:space="preserve"> </w:t>
      </w:r>
      <w:r w:rsidR="00EB2E85" w:rsidRPr="00360EFC">
        <w:rPr>
          <w:rFonts w:ascii="Calibri" w:hAnsi="Calibri" w:cs="Arial"/>
          <w:sz w:val="22"/>
          <w:szCs w:val="22"/>
        </w:rPr>
        <w:t>w wysokości</w:t>
      </w:r>
      <w:r w:rsidRPr="00360EFC">
        <w:rPr>
          <w:rFonts w:ascii="Calibri" w:hAnsi="Calibri" w:cs="Arial"/>
          <w:sz w:val="22"/>
          <w:szCs w:val="22"/>
        </w:rPr>
        <w:t xml:space="preserve"> </w:t>
      </w:r>
      <w:r w:rsidR="0043380F" w:rsidRPr="00360EFC">
        <w:rPr>
          <w:rFonts w:ascii="Calibri" w:hAnsi="Calibri" w:cs="Arial"/>
          <w:sz w:val="22"/>
          <w:szCs w:val="22"/>
        </w:rPr>
        <w:t>-48</w:t>
      </w:r>
      <w:r w:rsidR="00B1209E">
        <w:rPr>
          <w:rFonts w:ascii="Calibri" w:hAnsi="Calibri" w:cs="Arial"/>
          <w:sz w:val="22"/>
          <w:szCs w:val="22"/>
        </w:rPr>
        <w:t>5</w:t>
      </w:r>
      <w:r w:rsidRPr="00360EFC">
        <w:rPr>
          <w:rFonts w:ascii="Calibri" w:hAnsi="Calibri" w:cs="Arial"/>
          <w:sz w:val="22"/>
          <w:szCs w:val="22"/>
        </w:rPr>
        <w:t xml:space="preserve"> tys. zł. </w:t>
      </w:r>
      <w:r w:rsidR="0008786B" w:rsidRPr="00360EFC">
        <w:rPr>
          <w:rFonts w:ascii="Calibri" w:hAnsi="Calibri" w:cs="Arial"/>
          <w:sz w:val="22"/>
          <w:szCs w:val="22"/>
        </w:rPr>
        <w:br/>
      </w:r>
      <w:r w:rsidRPr="00360EFC">
        <w:rPr>
          <w:rFonts w:ascii="Calibri" w:hAnsi="Calibri" w:cs="Arial"/>
          <w:sz w:val="22"/>
          <w:szCs w:val="22"/>
        </w:rPr>
        <w:t>W porównaniu do analogicznych danych za 201</w:t>
      </w:r>
      <w:r w:rsidR="0043380F" w:rsidRPr="00360EFC">
        <w:rPr>
          <w:rFonts w:ascii="Calibri" w:hAnsi="Calibri" w:cs="Arial"/>
          <w:sz w:val="22"/>
          <w:szCs w:val="22"/>
        </w:rPr>
        <w:t>5</w:t>
      </w:r>
      <w:r w:rsidR="00EB2E85" w:rsidRPr="00360EFC">
        <w:rPr>
          <w:rFonts w:ascii="Calibri" w:hAnsi="Calibri" w:cs="Arial"/>
          <w:sz w:val="22"/>
          <w:szCs w:val="22"/>
        </w:rPr>
        <w:t xml:space="preserve"> </w:t>
      </w:r>
      <w:r w:rsidRPr="00360EFC">
        <w:rPr>
          <w:rFonts w:ascii="Calibri" w:hAnsi="Calibri" w:cs="Arial"/>
          <w:sz w:val="22"/>
          <w:szCs w:val="22"/>
        </w:rPr>
        <w:t xml:space="preserve">rok, nastąpił </w:t>
      </w:r>
      <w:r w:rsidR="0043380F" w:rsidRPr="00360EFC">
        <w:rPr>
          <w:rFonts w:ascii="Calibri" w:hAnsi="Calibri" w:cs="Arial"/>
          <w:sz w:val="22"/>
          <w:szCs w:val="22"/>
        </w:rPr>
        <w:t>spadek</w:t>
      </w:r>
      <w:r w:rsidR="00A96B7F" w:rsidRPr="00360EFC">
        <w:rPr>
          <w:rFonts w:ascii="Calibri" w:hAnsi="Calibri" w:cs="Arial"/>
          <w:sz w:val="22"/>
          <w:szCs w:val="22"/>
        </w:rPr>
        <w:t xml:space="preserve"> </w:t>
      </w:r>
      <w:r w:rsidRPr="00360EFC">
        <w:rPr>
          <w:rFonts w:ascii="Calibri" w:hAnsi="Calibri" w:cs="Arial"/>
          <w:sz w:val="22"/>
          <w:szCs w:val="22"/>
        </w:rPr>
        <w:t xml:space="preserve">całkowitych dochodów netto </w:t>
      </w:r>
      <w:r w:rsidR="0008786B" w:rsidRPr="00360EFC">
        <w:rPr>
          <w:rFonts w:ascii="Calibri" w:hAnsi="Calibri" w:cs="Arial"/>
          <w:sz w:val="22"/>
          <w:szCs w:val="22"/>
        </w:rPr>
        <w:br/>
      </w:r>
      <w:r w:rsidRPr="00360EFC">
        <w:rPr>
          <w:rFonts w:ascii="Calibri" w:hAnsi="Calibri" w:cs="Arial"/>
          <w:sz w:val="22"/>
          <w:szCs w:val="22"/>
        </w:rPr>
        <w:t xml:space="preserve">o </w:t>
      </w:r>
      <w:r w:rsidR="0043380F" w:rsidRPr="00360EFC">
        <w:rPr>
          <w:rFonts w:ascii="Calibri" w:hAnsi="Calibri" w:cs="Arial"/>
          <w:sz w:val="22"/>
          <w:szCs w:val="22"/>
        </w:rPr>
        <w:t>2.55</w:t>
      </w:r>
      <w:r w:rsidR="00B1209E">
        <w:rPr>
          <w:rFonts w:ascii="Calibri" w:hAnsi="Calibri" w:cs="Arial"/>
          <w:sz w:val="22"/>
          <w:szCs w:val="22"/>
        </w:rPr>
        <w:t>5</w:t>
      </w:r>
      <w:r w:rsidR="00A96B7F" w:rsidRPr="00360EFC">
        <w:rPr>
          <w:rFonts w:ascii="Calibri" w:hAnsi="Calibri" w:cs="Arial"/>
          <w:sz w:val="22"/>
          <w:szCs w:val="22"/>
        </w:rPr>
        <w:t xml:space="preserve"> </w:t>
      </w:r>
      <w:r w:rsidR="0043380F" w:rsidRPr="00360EFC">
        <w:rPr>
          <w:rFonts w:ascii="Calibri" w:hAnsi="Calibri" w:cs="Arial"/>
          <w:sz w:val="22"/>
          <w:szCs w:val="22"/>
        </w:rPr>
        <w:t xml:space="preserve">tys. zł. </w:t>
      </w:r>
      <w:r w:rsidR="00A96B7F" w:rsidRPr="00360EFC">
        <w:rPr>
          <w:rFonts w:ascii="Calibri" w:hAnsi="Calibri" w:cs="Arial"/>
          <w:sz w:val="22"/>
          <w:szCs w:val="22"/>
        </w:rPr>
        <w:t xml:space="preserve">Całkowite dochody netto przypadające Akcjonariuszom Jednostki Dominującej wynoszą </w:t>
      </w:r>
      <w:r w:rsidR="0043380F" w:rsidRPr="00360EFC">
        <w:rPr>
          <w:rFonts w:ascii="Calibri" w:hAnsi="Calibri" w:cs="Arial"/>
          <w:sz w:val="22"/>
          <w:szCs w:val="22"/>
        </w:rPr>
        <w:t>579</w:t>
      </w:r>
      <w:r w:rsidR="00A96B7F" w:rsidRPr="00360EFC">
        <w:rPr>
          <w:rFonts w:ascii="Calibri" w:hAnsi="Calibri" w:cs="Arial"/>
          <w:sz w:val="22"/>
          <w:szCs w:val="22"/>
        </w:rPr>
        <w:t xml:space="preserve"> tys. zł za I półrocze 201</w:t>
      </w:r>
      <w:r w:rsidR="0043380F" w:rsidRPr="00360EFC">
        <w:rPr>
          <w:rFonts w:ascii="Calibri" w:hAnsi="Calibri" w:cs="Arial"/>
          <w:sz w:val="22"/>
          <w:szCs w:val="22"/>
        </w:rPr>
        <w:t>6</w:t>
      </w:r>
      <w:r w:rsidR="00E45A9B" w:rsidRPr="00360EFC">
        <w:rPr>
          <w:rFonts w:ascii="Calibri" w:hAnsi="Calibri" w:cs="Arial"/>
          <w:sz w:val="22"/>
          <w:szCs w:val="22"/>
        </w:rPr>
        <w:t xml:space="preserve"> (w poprzednim okresie sprawozdawczym </w:t>
      </w:r>
      <w:r w:rsidR="0043380F" w:rsidRPr="00360EFC">
        <w:rPr>
          <w:rFonts w:ascii="Calibri" w:hAnsi="Calibri" w:cs="Arial"/>
          <w:sz w:val="22"/>
          <w:szCs w:val="22"/>
        </w:rPr>
        <w:t>2.039</w:t>
      </w:r>
      <w:r w:rsidR="00E45A9B" w:rsidRPr="00360EFC">
        <w:rPr>
          <w:rFonts w:ascii="Calibri" w:hAnsi="Calibri" w:cs="Arial"/>
          <w:sz w:val="22"/>
          <w:szCs w:val="22"/>
        </w:rPr>
        <w:t xml:space="preserve"> tys. zł)</w:t>
      </w:r>
      <w:r w:rsidR="00A96B7F" w:rsidRPr="00360EFC">
        <w:rPr>
          <w:rFonts w:ascii="Calibri" w:hAnsi="Calibri" w:cs="Arial"/>
          <w:sz w:val="22"/>
          <w:szCs w:val="22"/>
        </w:rPr>
        <w:t xml:space="preserve">. </w:t>
      </w:r>
    </w:p>
    <w:p w14:paraId="533EB9CD" w14:textId="77777777" w:rsidR="00E45A9B" w:rsidRPr="00360EFC" w:rsidRDefault="00E45A9B" w:rsidP="00545E2E">
      <w:pPr>
        <w:tabs>
          <w:tab w:val="left" w:pos="567"/>
        </w:tabs>
        <w:spacing w:line="360" w:lineRule="auto"/>
        <w:ind w:firstLine="567"/>
        <w:jc w:val="both"/>
        <w:rPr>
          <w:rFonts w:ascii="Calibri" w:hAnsi="Calibri" w:cs="Arial"/>
          <w:sz w:val="22"/>
          <w:szCs w:val="22"/>
        </w:rPr>
      </w:pPr>
      <w:r w:rsidRPr="00360EFC">
        <w:rPr>
          <w:rFonts w:ascii="Calibri" w:hAnsi="Calibri" w:cs="Arial"/>
          <w:sz w:val="22"/>
          <w:szCs w:val="22"/>
        </w:rPr>
        <w:t xml:space="preserve">Analizując wysokość marż na poszczególnych poziomach uzyskanych </w:t>
      </w:r>
      <w:r w:rsidR="00667EE4" w:rsidRPr="00360EFC">
        <w:rPr>
          <w:rFonts w:ascii="Calibri" w:hAnsi="Calibri" w:cs="Arial"/>
          <w:sz w:val="22"/>
          <w:szCs w:val="22"/>
        </w:rPr>
        <w:t xml:space="preserve">skonsolidowanych </w:t>
      </w:r>
      <w:r w:rsidRPr="00360EFC">
        <w:rPr>
          <w:rFonts w:ascii="Calibri" w:hAnsi="Calibri" w:cs="Arial"/>
          <w:sz w:val="22"/>
          <w:szCs w:val="22"/>
        </w:rPr>
        <w:t xml:space="preserve">wyników finansowych, </w:t>
      </w:r>
      <w:r w:rsidR="0043380F" w:rsidRPr="00360EFC">
        <w:rPr>
          <w:rFonts w:ascii="Calibri" w:hAnsi="Calibri" w:cs="Arial"/>
          <w:sz w:val="22"/>
          <w:szCs w:val="22"/>
        </w:rPr>
        <w:t xml:space="preserve">marża brutto na sprzedaży osiągnęła poziom 7%, </w:t>
      </w:r>
      <w:r w:rsidRPr="00360EFC">
        <w:rPr>
          <w:rFonts w:ascii="Calibri" w:hAnsi="Calibri" w:cs="Arial"/>
          <w:sz w:val="22"/>
          <w:szCs w:val="22"/>
        </w:rPr>
        <w:t>marża netto</w:t>
      </w:r>
      <w:r w:rsidR="00667EE4" w:rsidRPr="00360EFC">
        <w:rPr>
          <w:rFonts w:ascii="Calibri" w:hAnsi="Calibri" w:cs="Arial"/>
          <w:sz w:val="22"/>
          <w:szCs w:val="22"/>
        </w:rPr>
        <w:t xml:space="preserve">, </w:t>
      </w:r>
      <w:r w:rsidRPr="00360EFC">
        <w:rPr>
          <w:rFonts w:ascii="Calibri" w:hAnsi="Calibri" w:cs="Arial"/>
          <w:sz w:val="22"/>
          <w:szCs w:val="22"/>
        </w:rPr>
        <w:t>marża brutto</w:t>
      </w:r>
      <w:r w:rsidR="00667EE4" w:rsidRPr="00360EFC">
        <w:rPr>
          <w:rFonts w:ascii="Calibri" w:hAnsi="Calibri" w:cs="Arial"/>
          <w:sz w:val="22"/>
          <w:szCs w:val="22"/>
        </w:rPr>
        <w:t>,  marża brutto na działalności operacyjnej</w:t>
      </w:r>
      <w:r w:rsidR="001C2B5D" w:rsidRPr="00360EFC">
        <w:rPr>
          <w:rFonts w:ascii="Calibri" w:hAnsi="Calibri" w:cs="Arial"/>
          <w:sz w:val="22"/>
          <w:szCs w:val="22"/>
        </w:rPr>
        <w:t xml:space="preserve"> </w:t>
      </w:r>
      <w:r w:rsidR="0043380F" w:rsidRPr="00360EFC">
        <w:rPr>
          <w:rFonts w:ascii="Calibri" w:hAnsi="Calibri" w:cs="Arial"/>
          <w:sz w:val="22"/>
          <w:szCs w:val="22"/>
        </w:rPr>
        <w:t xml:space="preserve">uzyskały ujemny poziom -1%, </w:t>
      </w:r>
      <w:r w:rsidR="001C2B5D" w:rsidRPr="00360EFC">
        <w:rPr>
          <w:rFonts w:ascii="Calibri" w:hAnsi="Calibri" w:cs="Arial"/>
          <w:sz w:val="22"/>
          <w:szCs w:val="22"/>
        </w:rPr>
        <w:t>marża netto zysku przypadającego Akcjonariuszom Jednostki Dominującej</w:t>
      </w:r>
      <w:r w:rsidR="00050F1C" w:rsidRPr="00360EFC">
        <w:rPr>
          <w:rFonts w:ascii="Calibri" w:hAnsi="Calibri" w:cs="Arial"/>
          <w:sz w:val="22"/>
          <w:szCs w:val="22"/>
        </w:rPr>
        <w:t xml:space="preserve"> </w:t>
      </w:r>
      <w:r w:rsidR="0043380F" w:rsidRPr="00360EFC">
        <w:rPr>
          <w:rFonts w:ascii="Calibri" w:hAnsi="Calibri" w:cs="Arial"/>
          <w:sz w:val="22"/>
          <w:szCs w:val="22"/>
        </w:rPr>
        <w:t>wyniosła 0%. Wszystkie marże na każdym poziomie wyniku w porównaniu do roku ubiegłego zanotowały spadek</w:t>
      </w:r>
      <w:r w:rsidRPr="00360EFC">
        <w:rPr>
          <w:rFonts w:ascii="Calibri" w:hAnsi="Calibri" w:cs="Arial"/>
          <w:sz w:val="22"/>
          <w:szCs w:val="22"/>
        </w:rPr>
        <w:t xml:space="preserve"> </w:t>
      </w:r>
    </w:p>
    <w:p w14:paraId="286ABF5F" w14:textId="77777777" w:rsidR="00643D5F" w:rsidRPr="00360EFC" w:rsidRDefault="00643D5F" w:rsidP="003A6307">
      <w:pPr>
        <w:tabs>
          <w:tab w:val="left" w:pos="567"/>
        </w:tabs>
        <w:spacing w:line="360" w:lineRule="auto"/>
        <w:jc w:val="both"/>
        <w:rPr>
          <w:rFonts w:ascii="Calibri" w:hAnsi="Calibri" w:cs="Arial"/>
          <w:u w:val="single"/>
        </w:rPr>
      </w:pPr>
    </w:p>
    <w:p w14:paraId="223C6772" w14:textId="77777777" w:rsidR="00360408" w:rsidRPr="00360EFC" w:rsidRDefault="00360408" w:rsidP="003A6307">
      <w:pPr>
        <w:tabs>
          <w:tab w:val="left" w:pos="567"/>
        </w:tabs>
        <w:spacing w:line="360" w:lineRule="auto"/>
        <w:jc w:val="both"/>
        <w:rPr>
          <w:rFonts w:ascii="Calibri" w:hAnsi="Calibri"/>
          <w:b/>
          <w:u w:val="single"/>
        </w:rPr>
      </w:pPr>
      <w:r w:rsidRPr="00360EFC">
        <w:rPr>
          <w:rFonts w:ascii="Calibri" w:hAnsi="Calibri" w:cs="Arial"/>
          <w:u w:val="single"/>
        </w:rPr>
        <w:t xml:space="preserve">Dane </w:t>
      </w:r>
      <w:r w:rsidR="003A6307" w:rsidRPr="00360EFC">
        <w:rPr>
          <w:rFonts w:ascii="Calibri" w:hAnsi="Calibri" w:cs="Arial"/>
          <w:u w:val="single"/>
        </w:rPr>
        <w:t xml:space="preserve">finansowe </w:t>
      </w:r>
      <w:r w:rsidRPr="00360EFC">
        <w:rPr>
          <w:rFonts w:ascii="Calibri" w:hAnsi="Calibri" w:cs="Arial"/>
          <w:u w:val="single"/>
        </w:rPr>
        <w:t xml:space="preserve">jednostkowe dotyczące </w:t>
      </w:r>
      <w:r w:rsidR="00DE17C4" w:rsidRPr="00360EFC">
        <w:rPr>
          <w:rFonts w:ascii="Calibri" w:hAnsi="Calibri" w:cs="Arial"/>
          <w:u w:val="single"/>
        </w:rPr>
        <w:t>Spółki</w:t>
      </w:r>
      <w:r w:rsidRPr="00360EFC">
        <w:rPr>
          <w:rFonts w:ascii="Calibri" w:hAnsi="Calibri" w:cs="Arial"/>
          <w:u w:val="single"/>
        </w:rPr>
        <w:t xml:space="preserve"> dominującej – </w:t>
      </w:r>
      <w:r w:rsidR="002E4153">
        <w:rPr>
          <w:rFonts w:ascii="Calibri" w:hAnsi="Calibri" w:cs="Arial"/>
          <w:u w:val="single"/>
        </w:rPr>
        <w:t>CHEMOSERVIS-DWORY</w:t>
      </w:r>
      <w:r w:rsidRPr="00360EFC">
        <w:rPr>
          <w:rFonts w:ascii="Calibri" w:hAnsi="Calibri" w:cs="Arial"/>
          <w:u w:val="single"/>
        </w:rPr>
        <w:t xml:space="preserve"> S.A.</w:t>
      </w:r>
    </w:p>
    <w:p w14:paraId="02594248" w14:textId="77777777" w:rsidR="00C32E94" w:rsidRPr="00360EFC" w:rsidRDefault="00C32E94" w:rsidP="00C32E94">
      <w:pPr>
        <w:tabs>
          <w:tab w:val="left" w:pos="540"/>
        </w:tabs>
        <w:spacing w:line="360" w:lineRule="auto"/>
        <w:jc w:val="center"/>
        <w:rPr>
          <w:rFonts w:ascii="Calibri" w:hAnsi="Calibri"/>
          <w:i/>
        </w:rPr>
      </w:pPr>
    </w:p>
    <w:p w14:paraId="35506AAC" w14:textId="652FB766" w:rsidR="009B7D59" w:rsidRPr="00360EFC" w:rsidRDefault="009B7D59" w:rsidP="009B7D59">
      <w:pPr>
        <w:tabs>
          <w:tab w:val="left" w:pos="540"/>
        </w:tabs>
        <w:spacing w:line="360" w:lineRule="auto"/>
        <w:jc w:val="both"/>
        <w:rPr>
          <w:rFonts w:ascii="Calibri" w:hAnsi="Calibri"/>
          <w:sz w:val="22"/>
          <w:szCs w:val="22"/>
        </w:rPr>
      </w:pPr>
      <w:r w:rsidRPr="00360EFC">
        <w:rPr>
          <w:rFonts w:ascii="Calibri" w:hAnsi="Calibri"/>
          <w:sz w:val="22"/>
          <w:szCs w:val="22"/>
        </w:rPr>
        <w:t xml:space="preserve">W pierwszym półroczu 2016 roku Spółka </w:t>
      </w:r>
      <w:r w:rsidR="002E4153">
        <w:rPr>
          <w:rFonts w:ascii="Calibri" w:hAnsi="Calibri"/>
          <w:sz w:val="22"/>
          <w:szCs w:val="22"/>
        </w:rPr>
        <w:t>CHEMOSERVIS-DWORY</w:t>
      </w:r>
      <w:r w:rsidRPr="00360EFC">
        <w:rPr>
          <w:rFonts w:ascii="Calibri" w:hAnsi="Calibri"/>
          <w:sz w:val="22"/>
          <w:szCs w:val="22"/>
        </w:rPr>
        <w:t xml:space="preserve"> S.A. zanotowała spadek przychodów ze sprzedaży o 12.96</w:t>
      </w:r>
      <w:r w:rsidR="00B1209E">
        <w:rPr>
          <w:rFonts w:ascii="Calibri" w:hAnsi="Calibri"/>
          <w:sz w:val="22"/>
          <w:szCs w:val="22"/>
        </w:rPr>
        <w:t>6</w:t>
      </w:r>
      <w:r w:rsidRPr="00360EFC">
        <w:rPr>
          <w:rFonts w:ascii="Calibri" w:hAnsi="Calibri"/>
          <w:sz w:val="22"/>
          <w:szCs w:val="22"/>
        </w:rPr>
        <w:t xml:space="preserve"> tys. zł, tj. o 28%, do wysokości 33.484 tys. zł, w porównaniu do 46.450 tys. zł </w:t>
      </w:r>
      <w:r w:rsidR="009C6F76" w:rsidRPr="00360EFC">
        <w:rPr>
          <w:rFonts w:ascii="Calibri" w:hAnsi="Calibri"/>
          <w:sz w:val="22"/>
          <w:szCs w:val="22"/>
        </w:rPr>
        <w:br/>
      </w:r>
      <w:r w:rsidRPr="00360EFC">
        <w:rPr>
          <w:rFonts w:ascii="Calibri" w:hAnsi="Calibri"/>
          <w:sz w:val="22"/>
          <w:szCs w:val="22"/>
        </w:rPr>
        <w:t xml:space="preserve">w analogicznym okresie 2015 roku. Uzyskane przychody odzwierciedlają strukturę przedmiotową </w:t>
      </w:r>
      <w:r w:rsidRPr="00360EFC">
        <w:rPr>
          <w:rFonts w:ascii="Calibri" w:hAnsi="Calibri"/>
          <w:sz w:val="22"/>
          <w:szCs w:val="22"/>
        </w:rPr>
        <w:lastRenderedPageBreak/>
        <w:t xml:space="preserve">realizowanych w okresie sprawozdawczym zadań produkcyjnych. </w:t>
      </w:r>
      <w:r w:rsidR="009C6F76" w:rsidRPr="00360EFC">
        <w:rPr>
          <w:rFonts w:ascii="Calibri" w:hAnsi="Calibri"/>
          <w:sz w:val="22"/>
          <w:szCs w:val="22"/>
        </w:rPr>
        <w:t xml:space="preserve">W ramach sprzedaży usług </w:t>
      </w:r>
      <w:r w:rsidRPr="00360EFC">
        <w:rPr>
          <w:rFonts w:ascii="Calibri" w:hAnsi="Calibri"/>
          <w:sz w:val="22"/>
          <w:szCs w:val="22"/>
        </w:rPr>
        <w:t xml:space="preserve">wzrost nastąpił w segmencie remontów urządzeń i aparatury o 37%, w  segmencie sprzedaży pozostałej </w:t>
      </w:r>
      <w:r w:rsidR="009C6F76" w:rsidRPr="00360EFC">
        <w:rPr>
          <w:rFonts w:ascii="Calibri" w:hAnsi="Calibri"/>
          <w:sz w:val="22"/>
          <w:szCs w:val="22"/>
        </w:rPr>
        <w:br/>
      </w:r>
      <w:r w:rsidRPr="00360EFC">
        <w:rPr>
          <w:rFonts w:ascii="Calibri" w:hAnsi="Calibri"/>
          <w:sz w:val="22"/>
          <w:szCs w:val="22"/>
        </w:rPr>
        <w:t>o 16%</w:t>
      </w:r>
      <w:r w:rsidR="00B1209E">
        <w:rPr>
          <w:rFonts w:ascii="Calibri" w:hAnsi="Calibri"/>
          <w:sz w:val="22"/>
          <w:szCs w:val="22"/>
        </w:rPr>
        <w:t xml:space="preserve"> </w:t>
      </w:r>
      <w:r w:rsidRPr="00360EFC">
        <w:rPr>
          <w:rFonts w:ascii="Calibri" w:hAnsi="Calibri"/>
          <w:sz w:val="22"/>
          <w:szCs w:val="22"/>
        </w:rPr>
        <w:t xml:space="preserve">oraz w segmencie utrzymania ruchu o 8%. W segmencie obróbki skrawaniem przychody pozostały na niezmienionym poziomie w porównaniu do analogicznego okresu roku ubiegłego, </w:t>
      </w:r>
      <w:r w:rsidR="000A3917">
        <w:rPr>
          <w:rFonts w:ascii="Calibri" w:hAnsi="Calibri"/>
          <w:sz w:val="22"/>
          <w:szCs w:val="22"/>
        </w:rPr>
        <w:br/>
      </w:r>
      <w:r w:rsidRPr="00360EFC">
        <w:rPr>
          <w:rFonts w:ascii="Calibri" w:hAnsi="Calibri"/>
          <w:sz w:val="22"/>
          <w:szCs w:val="22"/>
        </w:rPr>
        <w:t>zaś w segmencie robót budowlano-montażowych, zanot</w:t>
      </w:r>
      <w:r w:rsidR="000A3917">
        <w:rPr>
          <w:rFonts w:ascii="Calibri" w:hAnsi="Calibri"/>
          <w:sz w:val="22"/>
          <w:szCs w:val="22"/>
        </w:rPr>
        <w:t xml:space="preserve">owano spadek przychodów o 46% </w:t>
      </w:r>
      <w:r w:rsidR="000A3917">
        <w:rPr>
          <w:rFonts w:ascii="Calibri" w:hAnsi="Calibri"/>
          <w:sz w:val="22"/>
          <w:szCs w:val="22"/>
        </w:rPr>
        <w:br/>
        <w:t>(</w:t>
      </w:r>
      <w:r w:rsidRPr="00360EFC">
        <w:rPr>
          <w:rFonts w:ascii="Calibri" w:hAnsi="Calibri"/>
          <w:sz w:val="22"/>
          <w:szCs w:val="22"/>
        </w:rPr>
        <w:t>o 15.008 tys. zł).</w:t>
      </w:r>
    </w:p>
    <w:p w14:paraId="691909E6" w14:textId="77777777" w:rsidR="009B7D59" w:rsidRPr="00360EFC" w:rsidRDefault="009B7D59" w:rsidP="009B7D59">
      <w:pPr>
        <w:tabs>
          <w:tab w:val="left" w:pos="540"/>
        </w:tabs>
        <w:spacing w:line="360" w:lineRule="auto"/>
        <w:jc w:val="both"/>
        <w:rPr>
          <w:rFonts w:ascii="Calibri" w:hAnsi="Calibri" w:cs="Arial"/>
          <w:sz w:val="22"/>
          <w:szCs w:val="22"/>
        </w:rPr>
      </w:pPr>
      <w:r w:rsidRPr="00360EFC">
        <w:rPr>
          <w:rFonts w:ascii="Calibri" w:hAnsi="Calibri"/>
          <w:sz w:val="22"/>
          <w:szCs w:val="22"/>
        </w:rPr>
        <w:tab/>
      </w:r>
      <w:r w:rsidRPr="00360EFC">
        <w:rPr>
          <w:rFonts w:ascii="Calibri" w:hAnsi="Calibri" w:cs="Arial"/>
          <w:sz w:val="22"/>
          <w:szCs w:val="22"/>
        </w:rPr>
        <w:t>Po sześciu miesiącach 2016 roku koszty działalności operacyjnej Spółki CHEMOSERVIS</w:t>
      </w:r>
      <w:r w:rsidR="009C6F76" w:rsidRPr="00360EFC">
        <w:rPr>
          <w:rFonts w:ascii="Calibri" w:hAnsi="Calibri" w:cs="Arial"/>
          <w:sz w:val="22"/>
          <w:szCs w:val="22"/>
        </w:rPr>
        <w:br/>
      </w:r>
      <w:r w:rsidRPr="00360EFC">
        <w:rPr>
          <w:rFonts w:ascii="Calibri" w:hAnsi="Calibri" w:cs="Arial"/>
          <w:sz w:val="22"/>
          <w:szCs w:val="22"/>
        </w:rPr>
        <w:t xml:space="preserve">-DWORY S.A. wyniosły 32.906 tys. zł, w tym koszt sprzedanych produktów, towarów i materiałów </w:t>
      </w:r>
      <w:r w:rsidRPr="00360EFC">
        <w:rPr>
          <w:rFonts w:ascii="Calibri" w:hAnsi="Calibri" w:cs="Arial"/>
          <w:sz w:val="22"/>
          <w:szCs w:val="22"/>
        </w:rPr>
        <w:br/>
        <w:t xml:space="preserve">w wysokości 30.534 tys. zł, koszty sprzedaży 442 tys. zł oraz koszty zarządu 1.930 tys. zł. </w:t>
      </w:r>
      <w:r w:rsidRPr="00360EFC">
        <w:rPr>
          <w:rFonts w:ascii="Calibri" w:hAnsi="Calibri" w:cs="Arial"/>
          <w:sz w:val="22"/>
          <w:szCs w:val="22"/>
        </w:rPr>
        <w:br/>
        <w:t xml:space="preserve">Koszty działalności operacyjnej Spółki, w porównaniu do analogicznych danych za pierwsze </w:t>
      </w:r>
      <w:r w:rsidRPr="00360EFC">
        <w:rPr>
          <w:rFonts w:ascii="Calibri" w:hAnsi="Calibri" w:cs="Arial"/>
          <w:sz w:val="22"/>
          <w:szCs w:val="22"/>
        </w:rPr>
        <w:br/>
        <w:t xml:space="preserve">półrocze 2015 roku, spadły o 11.140 tys. zł, to jest o 25%. Znaczący spadek odnotowano w ramach kosztów sprzedanych produktów, towarów i materiałów o 27% w porównaniu do danych </w:t>
      </w:r>
      <w:r w:rsidRPr="00360EFC">
        <w:rPr>
          <w:rFonts w:ascii="Calibri" w:hAnsi="Calibri" w:cs="Arial"/>
          <w:sz w:val="22"/>
          <w:szCs w:val="22"/>
        </w:rPr>
        <w:br/>
        <w:t>z analogicznego okresu roku ubiegłego (kwota spadku 11.428 tys. zł). W ramach kosztów ogólnych Spółki, odnotowano spadek kosztów sprzedaży (o 3%), oraz wzrost kosztów zarządu o 19%. Ogółem wzrost kosztów ogólnych Spółki w pierwszym półroczu 20</w:t>
      </w:r>
      <w:r w:rsidR="00B1209E">
        <w:rPr>
          <w:rFonts w:ascii="Calibri" w:hAnsi="Calibri" w:cs="Arial"/>
          <w:sz w:val="22"/>
          <w:szCs w:val="22"/>
        </w:rPr>
        <w:t>1</w:t>
      </w:r>
      <w:r w:rsidRPr="00360EFC">
        <w:rPr>
          <w:rFonts w:ascii="Calibri" w:hAnsi="Calibri" w:cs="Arial"/>
          <w:sz w:val="22"/>
          <w:szCs w:val="22"/>
        </w:rPr>
        <w:t xml:space="preserve">6 roku, w porównaniu do pierwszego półrocza 2015 roku, wyniósł 288 tys. zł. </w:t>
      </w:r>
    </w:p>
    <w:p w14:paraId="009D9CFE" w14:textId="77777777" w:rsidR="009B7D59" w:rsidRPr="00360EFC" w:rsidRDefault="009B7D59" w:rsidP="009B7D59">
      <w:pPr>
        <w:tabs>
          <w:tab w:val="left" w:pos="0"/>
          <w:tab w:val="left" w:pos="540"/>
        </w:tabs>
        <w:spacing w:line="360" w:lineRule="auto"/>
        <w:jc w:val="both"/>
        <w:rPr>
          <w:rFonts w:ascii="Calibri" w:hAnsi="Calibri" w:cs="Arial"/>
          <w:sz w:val="22"/>
          <w:szCs w:val="22"/>
        </w:rPr>
      </w:pPr>
      <w:r w:rsidRPr="00360EFC">
        <w:rPr>
          <w:rFonts w:ascii="Calibri" w:hAnsi="Calibri" w:cs="Arial"/>
          <w:sz w:val="22"/>
          <w:szCs w:val="22"/>
        </w:rPr>
        <w:tab/>
        <w:t xml:space="preserve">W ramach kosztów rodzajowych </w:t>
      </w:r>
      <w:r w:rsidR="002E4153">
        <w:rPr>
          <w:rFonts w:ascii="Calibri" w:hAnsi="Calibri" w:cs="Arial"/>
          <w:sz w:val="22"/>
          <w:szCs w:val="22"/>
        </w:rPr>
        <w:t>CHEMOSERVIS-DWORY</w:t>
      </w:r>
      <w:r w:rsidRPr="00360EFC">
        <w:rPr>
          <w:rFonts w:ascii="Calibri" w:hAnsi="Calibri" w:cs="Arial"/>
          <w:sz w:val="22"/>
          <w:szCs w:val="22"/>
        </w:rPr>
        <w:t xml:space="preserve"> S.A. zanotowano spadek kosztów </w:t>
      </w:r>
      <w:r w:rsidR="000A3917">
        <w:rPr>
          <w:rFonts w:ascii="Calibri" w:hAnsi="Calibri" w:cs="Arial"/>
          <w:sz w:val="22"/>
          <w:szCs w:val="22"/>
        </w:rPr>
        <w:br/>
      </w:r>
      <w:r w:rsidRPr="00360EFC">
        <w:rPr>
          <w:rFonts w:ascii="Calibri" w:hAnsi="Calibri" w:cs="Arial"/>
          <w:sz w:val="22"/>
          <w:szCs w:val="22"/>
        </w:rPr>
        <w:t>o 24%, wynikający ze zmian w następujących pozycjach kosztów, w porównaniu do okresu analogicznego ubiegłego roku:</w:t>
      </w:r>
    </w:p>
    <w:p w14:paraId="399C66FC" w14:textId="77777777" w:rsidR="009B7D59" w:rsidRPr="00360EFC" w:rsidRDefault="009B7D59" w:rsidP="009B7D59">
      <w:pPr>
        <w:tabs>
          <w:tab w:val="left" w:pos="0"/>
          <w:tab w:val="left" w:pos="540"/>
        </w:tabs>
        <w:spacing w:line="360" w:lineRule="auto"/>
        <w:jc w:val="both"/>
        <w:rPr>
          <w:rFonts w:ascii="Calibri" w:hAnsi="Calibri" w:cs="Arial"/>
          <w:sz w:val="22"/>
          <w:szCs w:val="22"/>
        </w:rPr>
      </w:pPr>
    </w:p>
    <w:p w14:paraId="4027998E" w14:textId="77777777" w:rsidR="009B7D59" w:rsidRPr="00360EFC" w:rsidRDefault="009B7D59" w:rsidP="009B7D59">
      <w:pPr>
        <w:widowControl w:val="0"/>
        <w:numPr>
          <w:ilvl w:val="0"/>
          <w:numId w:val="1"/>
        </w:numPr>
        <w:spacing w:line="360" w:lineRule="auto"/>
        <w:ind w:left="1134" w:hanging="567"/>
        <w:jc w:val="both"/>
        <w:rPr>
          <w:rFonts w:ascii="Calibri" w:hAnsi="Calibri" w:cs="Arial"/>
          <w:sz w:val="22"/>
          <w:szCs w:val="22"/>
        </w:rPr>
      </w:pPr>
      <w:r w:rsidRPr="00360EFC">
        <w:rPr>
          <w:rFonts w:ascii="Calibri" w:hAnsi="Calibri" w:cs="Arial"/>
          <w:sz w:val="22"/>
          <w:szCs w:val="22"/>
        </w:rPr>
        <w:t>wzrost kosztów amortyzacji o 1%, będący konsekwencją bieżących zakupów inwestycyjnych,</w:t>
      </w:r>
    </w:p>
    <w:p w14:paraId="4A3AB0E1" w14:textId="77777777" w:rsidR="009B7D59" w:rsidRPr="00360EFC" w:rsidRDefault="009B7D59" w:rsidP="009B7D59">
      <w:pPr>
        <w:widowControl w:val="0"/>
        <w:numPr>
          <w:ilvl w:val="0"/>
          <w:numId w:val="1"/>
        </w:numPr>
        <w:spacing w:line="360" w:lineRule="auto"/>
        <w:ind w:left="1134" w:hanging="567"/>
        <w:jc w:val="both"/>
        <w:rPr>
          <w:rFonts w:ascii="Calibri" w:hAnsi="Calibri" w:cs="Arial"/>
          <w:sz w:val="22"/>
          <w:szCs w:val="22"/>
        </w:rPr>
      </w:pPr>
      <w:r w:rsidRPr="00360EFC">
        <w:rPr>
          <w:rFonts w:ascii="Calibri" w:hAnsi="Calibri" w:cs="Arial"/>
          <w:sz w:val="22"/>
          <w:szCs w:val="22"/>
        </w:rPr>
        <w:t xml:space="preserve">spadek kosztów zużycia materiałów i energii o 1%, wynikający z mniejszego zapotrzebowania na materiały przy realizowanych zadaniach, </w:t>
      </w:r>
    </w:p>
    <w:p w14:paraId="48A08ED7" w14:textId="77777777" w:rsidR="009B7D59" w:rsidRPr="00360EFC" w:rsidRDefault="009B7D59" w:rsidP="009B7D59">
      <w:pPr>
        <w:widowControl w:val="0"/>
        <w:numPr>
          <w:ilvl w:val="0"/>
          <w:numId w:val="1"/>
        </w:numPr>
        <w:spacing w:line="360" w:lineRule="auto"/>
        <w:ind w:left="1134" w:hanging="567"/>
        <w:jc w:val="both"/>
        <w:rPr>
          <w:rFonts w:ascii="Calibri" w:hAnsi="Calibri" w:cs="Arial"/>
          <w:sz w:val="22"/>
          <w:szCs w:val="22"/>
        </w:rPr>
      </w:pPr>
      <w:r w:rsidRPr="00360EFC">
        <w:rPr>
          <w:rFonts w:ascii="Calibri" w:hAnsi="Calibri" w:cs="Arial"/>
          <w:sz w:val="22"/>
          <w:szCs w:val="22"/>
        </w:rPr>
        <w:t xml:space="preserve">spadek kosztów usług obcych o 47%, wynikający ze zmniejszonej realizacji zleceń w  kooperacji z podwykonawcami, </w:t>
      </w:r>
    </w:p>
    <w:p w14:paraId="5294A58C" w14:textId="77777777" w:rsidR="00B1209E" w:rsidRPr="001D2DEC" w:rsidRDefault="00B1209E" w:rsidP="00B1209E">
      <w:pPr>
        <w:widowControl w:val="0"/>
        <w:numPr>
          <w:ilvl w:val="0"/>
          <w:numId w:val="1"/>
        </w:numPr>
        <w:spacing w:line="360" w:lineRule="auto"/>
        <w:ind w:left="1134" w:hanging="567"/>
        <w:jc w:val="both"/>
        <w:rPr>
          <w:rFonts w:ascii="Calibri" w:hAnsi="Calibri" w:cs="Arial"/>
          <w:sz w:val="22"/>
          <w:szCs w:val="22"/>
        </w:rPr>
      </w:pPr>
      <w:r w:rsidRPr="001D2DEC">
        <w:rPr>
          <w:rFonts w:ascii="Calibri" w:hAnsi="Calibri" w:cs="Arial"/>
          <w:sz w:val="22"/>
          <w:szCs w:val="22"/>
        </w:rPr>
        <w:t xml:space="preserve">spadek kosztów świadczeń pracowniczych o 2%, w tym spadek kosztów wynagrodzeń </w:t>
      </w:r>
      <w:r w:rsidRPr="001D2DEC">
        <w:rPr>
          <w:rFonts w:ascii="Calibri" w:hAnsi="Calibri" w:cs="Arial"/>
          <w:sz w:val="22"/>
          <w:szCs w:val="22"/>
        </w:rPr>
        <w:br/>
        <w:t>o 4%, wynikający w głównej mierze z ograniczenia funduszu premiowego dla pracowników, wzrost kosztów ubezpieczeń społecznych o 1% oraz wzrost kosztów pozostałych świadczeń pracowniczych o 18%, w tym przede wszystkim kosztów delegacji,</w:t>
      </w:r>
    </w:p>
    <w:p w14:paraId="71358CD6" w14:textId="77777777" w:rsidR="009B7D59" w:rsidRPr="00360EFC" w:rsidRDefault="009B7D59" w:rsidP="009B7D59">
      <w:pPr>
        <w:widowControl w:val="0"/>
        <w:numPr>
          <w:ilvl w:val="0"/>
          <w:numId w:val="1"/>
        </w:numPr>
        <w:tabs>
          <w:tab w:val="left" w:pos="1134"/>
        </w:tabs>
        <w:spacing w:line="360" w:lineRule="auto"/>
        <w:ind w:left="1134" w:hanging="567"/>
        <w:jc w:val="both"/>
        <w:rPr>
          <w:rFonts w:ascii="Calibri" w:hAnsi="Calibri" w:cs="Arial"/>
          <w:sz w:val="22"/>
          <w:szCs w:val="22"/>
        </w:rPr>
      </w:pPr>
      <w:r w:rsidRPr="00360EFC">
        <w:rPr>
          <w:rFonts w:ascii="Calibri" w:hAnsi="Calibri" w:cs="Arial"/>
          <w:sz w:val="22"/>
          <w:szCs w:val="22"/>
        </w:rPr>
        <w:t xml:space="preserve">wzrost pozostałych kosztów rodzajowych o 126%, w związku z większymi kosztami ponoszonych opłat za gwarancje ubezpieczeniowe, </w:t>
      </w:r>
    </w:p>
    <w:p w14:paraId="2E68DD76" w14:textId="77777777" w:rsidR="009B7D59" w:rsidRPr="00360EFC" w:rsidRDefault="009B7D59" w:rsidP="009B7D59">
      <w:pPr>
        <w:widowControl w:val="0"/>
        <w:numPr>
          <w:ilvl w:val="0"/>
          <w:numId w:val="1"/>
        </w:numPr>
        <w:spacing w:line="360" w:lineRule="auto"/>
        <w:ind w:left="1134" w:hanging="567"/>
        <w:jc w:val="both"/>
        <w:rPr>
          <w:rFonts w:ascii="Calibri" w:hAnsi="Calibri" w:cs="Arial"/>
          <w:sz w:val="22"/>
          <w:szCs w:val="22"/>
        </w:rPr>
      </w:pPr>
      <w:r w:rsidRPr="00360EFC">
        <w:rPr>
          <w:rFonts w:ascii="Calibri" w:hAnsi="Calibri" w:cs="Arial"/>
          <w:sz w:val="22"/>
          <w:szCs w:val="22"/>
        </w:rPr>
        <w:lastRenderedPageBreak/>
        <w:t xml:space="preserve">wzrost kosztów opłat i podatków o 5%, wynikający ze zmian stawek podatków lokalnych. </w:t>
      </w:r>
    </w:p>
    <w:p w14:paraId="0804CB1E" w14:textId="77777777" w:rsidR="009B7D59" w:rsidRPr="00360EFC" w:rsidRDefault="009B7D59" w:rsidP="009B7D59">
      <w:pPr>
        <w:widowControl w:val="0"/>
        <w:spacing w:line="360" w:lineRule="auto"/>
        <w:ind w:left="1134"/>
        <w:jc w:val="both"/>
        <w:rPr>
          <w:rFonts w:ascii="Calibri" w:hAnsi="Calibri" w:cs="Arial"/>
          <w:sz w:val="22"/>
          <w:szCs w:val="22"/>
        </w:rPr>
      </w:pPr>
    </w:p>
    <w:p w14:paraId="3AF0E9CF" w14:textId="4EB235DE" w:rsidR="009B7D59" w:rsidRPr="00360EFC" w:rsidRDefault="009B7D59" w:rsidP="009B7D59">
      <w:pPr>
        <w:tabs>
          <w:tab w:val="left" w:pos="540"/>
        </w:tabs>
        <w:spacing w:line="360" w:lineRule="auto"/>
        <w:jc w:val="both"/>
        <w:rPr>
          <w:rFonts w:ascii="Calibri" w:hAnsi="Calibri" w:cs="Arial"/>
          <w:sz w:val="22"/>
          <w:szCs w:val="22"/>
        </w:rPr>
      </w:pPr>
      <w:r w:rsidRPr="00360EFC">
        <w:rPr>
          <w:rFonts w:ascii="Calibri" w:hAnsi="Calibri" w:cs="Arial"/>
          <w:sz w:val="22"/>
          <w:szCs w:val="22"/>
        </w:rPr>
        <w:tab/>
        <w:t xml:space="preserve">W konsekwencji wyżej opisanych czynników, w pierwszym półroczu 2016 roku Spółka </w:t>
      </w:r>
      <w:r w:rsidR="002E4153">
        <w:rPr>
          <w:rFonts w:ascii="Calibri" w:hAnsi="Calibri" w:cs="Arial"/>
          <w:sz w:val="22"/>
          <w:szCs w:val="22"/>
        </w:rPr>
        <w:t>CHEMOSERVIS-DWORY</w:t>
      </w:r>
      <w:r w:rsidRPr="00360EFC">
        <w:rPr>
          <w:rFonts w:ascii="Calibri" w:hAnsi="Calibri" w:cs="Arial"/>
          <w:sz w:val="22"/>
          <w:szCs w:val="22"/>
        </w:rPr>
        <w:t xml:space="preserve"> S.A. uzyskała zysk netto w wysokości 1.783 tys. zł w porównaniu </w:t>
      </w:r>
      <w:r w:rsidR="009C6F76" w:rsidRPr="00360EFC">
        <w:rPr>
          <w:rFonts w:ascii="Calibri" w:hAnsi="Calibri" w:cs="Arial"/>
          <w:sz w:val="22"/>
          <w:szCs w:val="22"/>
        </w:rPr>
        <w:br/>
      </w:r>
      <w:r w:rsidRPr="00360EFC">
        <w:rPr>
          <w:rFonts w:ascii="Calibri" w:hAnsi="Calibri" w:cs="Arial"/>
          <w:sz w:val="22"/>
          <w:szCs w:val="22"/>
        </w:rPr>
        <w:t>do 2.22</w:t>
      </w:r>
      <w:r w:rsidR="00B1209E">
        <w:rPr>
          <w:rFonts w:ascii="Calibri" w:hAnsi="Calibri" w:cs="Arial"/>
          <w:sz w:val="22"/>
          <w:szCs w:val="22"/>
        </w:rPr>
        <w:t>2</w:t>
      </w:r>
      <w:r w:rsidRPr="00360EFC">
        <w:rPr>
          <w:rFonts w:ascii="Calibri" w:hAnsi="Calibri" w:cs="Arial"/>
          <w:sz w:val="22"/>
          <w:szCs w:val="22"/>
        </w:rPr>
        <w:t xml:space="preserve"> tys. zł zysku w analogicznym okresie 2015 roku. Zysk brutto ze sprzedaży </w:t>
      </w:r>
      <w:r w:rsidRPr="00360EFC">
        <w:rPr>
          <w:rFonts w:ascii="Calibri" w:hAnsi="Calibri" w:cs="Arial"/>
          <w:sz w:val="22"/>
          <w:szCs w:val="22"/>
        </w:rPr>
        <w:br/>
        <w:t xml:space="preserve">w pierwszym półroczu 2016 roku wyniósł 2.950 tys. zł, i w porównaniu do danych za pierwsze półrocze 2015 roku, spadł o 34%. Wynik na pozostałej działalności operacyjnej, po odjęciu </w:t>
      </w:r>
      <w:r w:rsidRPr="00360EFC">
        <w:rPr>
          <w:rFonts w:ascii="Calibri" w:hAnsi="Calibri" w:cs="Arial"/>
          <w:sz w:val="22"/>
          <w:szCs w:val="22"/>
        </w:rPr>
        <w:br/>
        <w:t xml:space="preserve">od pozostałych przychodów operacyjnych, pozostałych kosztów operacyjnych, wynosi </w:t>
      </w:r>
      <w:r w:rsidR="00B1209E">
        <w:rPr>
          <w:rFonts w:ascii="Calibri" w:hAnsi="Calibri" w:cs="Arial"/>
          <w:sz w:val="22"/>
          <w:szCs w:val="22"/>
        </w:rPr>
        <w:t>53</w:t>
      </w:r>
      <w:r w:rsidRPr="00360EFC">
        <w:rPr>
          <w:rFonts w:ascii="Calibri" w:hAnsi="Calibri" w:cs="Arial"/>
          <w:sz w:val="22"/>
          <w:szCs w:val="22"/>
        </w:rPr>
        <w:t xml:space="preserve"> tys. zł</w:t>
      </w:r>
      <w:r w:rsidRPr="00360EFC">
        <w:rPr>
          <w:rFonts w:ascii="Calibri" w:hAnsi="Calibri" w:cs="Arial"/>
          <w:sz w:val="22"/>
          <w:szCs w:val="22"/>
        </w:rPr>
        <w:br/>
        <w:t xml:space="preserve"> i jest wyższy o </w:t>
      </w:r>
      <w:r w:rsidR="00B1209E">
        <w:rPr>
          <w:rFonts w:ascii="Calibri" w:hAnsi="Calibri" w:cs="Arial"/>
          <w:sz w:val="22"/>
          <w:szCs w:val="22"/>
        </w:rPr>
        <w:t>53</w:t>
      </w:r>
      <w:r w:rsidRPr="00360EFC">
        <w:rPr>
          <w:rFonts w:ascii="Calibri" w:hAnsi="Calibri" w:cs="Arial"/>
          <w:sz w:val="22"/>
          <w:szCs w:val="22"/>
        </w:rPr>
        <w:t xml:space="preserve"> tys. zł od danych analogicznych za 2015 rok. Wynik na działalności finansowej wyniósł 1.2</w:t>
      </w:r>
      <w:r w:rsidR="00B1209E">
        <w:rPr>
          <w:rFonts w:ascii="Calibri" w:hAnsi="Calibri" w:cs="Arial"/>
          <w:sz w:val="22"/>
          <w:szCs w:val="22"/>
        </w:rPr>
        <w:t>72</w:t>
      </w:r>
      <w:r w:rsidRPr="00360EFC">
        <w:rPr>
          <w:rFonts w:ascii="Calibri" w:hAnsi="Calibri" w:cs="Arial"/>
          <w:sz w:val="22"/>
          <w:szCs w:val="22"/>
        </w:rPr>
        <w:t xml:space="preserve"> tys. zł i jest wyższy o 1.</w:t>
      </w:r>
      <w:r w:rsidR="00B1209E">
        <w:rPr>
          <w:rFonts w:ascii="Calibri" w:hAnsi="Calibri" w:cs="Arial"/>
          <w:sz w:val="22"/>
          <w:szCs w:val="22"/>
        </w:rPr>
        <w:t>105</w:t>
      </w:r>
      <w:r w:rsidRPr="00360EFC">
        <w:rPr>
          <w:rFonts w:ascii="Calibri" w:hAnsi="Calibri" w:cs="Arial"/>
          <w:sz w:val="22"/>
          <w:szCs w:val="22"/>
        </w:rPr>
        <w:t xml:space="preserve"> tys. zł, wzrost o 6</w:t>
      </w:r>
      <w:r w:rsidR="00355BAA">
        <w:rPr>
          <w:rFonts w:ascii="Calibri" w:hAnsi="Calibri" w:cs="Arial"/>
          <w:sz w:val="22"/>
          <w:szCs w:val="22"/>
        </w:rPr>
        <w:t>62</w:t>
      </w:r>
      <w:r w:rsidRPr="00360EFC">
        <w:rPr>
          <w:rFonts w:ascii="Calibri" w:hAnsi="Calibri" w:cs="Arial"/>
          <w:sz w:val="22"/>
          <w:szCs w:val="22"/>
        </w:rPr>
        <w:t xml:space="preserve">%, w porównaniu do danych za </w:t>
      </w:r>
      <w:r w:rsidR="000A3917">
        <w:rPr>
          <w:rFonts w:ascii="Calibri" w:hAnsi="Calibri" w:cs="Arial"/>
          <w:sz w:val="22"/>
          <w:szCs w:val="22"/>
        </w:rPr>
        <w:br/>
      </w:r>
      <w:r w:rsidRPr="00360EFC">
        <w:rPr>
          <w:rFonts w:ascii="Calibri" w:hAnsi="Calibri" w:cs="Arial"/>
          <w:sz w:val="22"/>
          <w:szCs w:val="22"/>
        </w:rPr>
        <w:t xml:space="preserve">I półrocze 2015 roku. Przychody finansowe uzyskane w pierwszym półroczu 2016 roku są wyższe </w:t>
      </w:r>
      <w:r w:rsidR="000A3917">
        <w:rPr>
          <w:rFonts w:ascii="Calibri" w:hAnsi="Calibri" w:cs="Arial"/>
          <w:sz w:val="22"/>
          <w:szCs w:val="22"/>
        </w:rPr>
        <w:br/>
      </w:r>
      <w:r w:rsidRPr="00360EFC">
        <w:rPr>
          <w:rFonts w:ascii="Calibri" w:hAnsi="Calibri" w:cs="Arial"/>
          <w:sz w:val="22"/>
          <w:szCs w:val="22"/>
        </w:rPr>
        <w:t>o 1.6</w:t>
      </w:r>
      <w:r w:rsidR="00355BAA">
        <w:rPr>
          <w:rFonts w:ascii="Calibri" w:hAnsi="Calibri" w:cs="Arial"/>
          <w:sz w:val="22"/>
          <w:szCs w:val="22"/>
        </w:rPr>
        <w:t>42</w:t>
      </w:r>
      <w:r w:rsidRPr="00360EFC">
        <w:rPr>
          <w:rFonts w:ascii="Calibri" w:hAnsi="Calibri" w:cs="Arial"/>
          <w:sz w:val="22"/>
          <w:szCs w:val="22"/>
        </w:rPr>
        <w:t xml:space="preserve"> tys. zł w porównaniu do danych za analogiczny okres 2015 roku, zaś koszty finansowe wzrosły o 537 tys. zł. W ramach przychodów finansowych prezentowana jest wpłacona przez Spółkę Zależną K-</w:t>
      </w:r>
      <w:proofErr w:type="spellStart"/>
      <w:r w:rsidRPr="00360EFC">
        <w:rPr>
          <w:rFonts w:ascii="Calibri" w:hAnsi="Calibri" w:cs="Arial"/>
          <w:sz w:val="22"/>
          <w:szCs w:val="22"/>
        </w:rPr>
        <w:t>Protos</w:t>
      </w:r>
      <w:proofErr w:type="spellEnd"/>
      <w:r w:rsidRPr="00360EFC">
        <w:rPr>
          <w:rFonts w:ascii="Calibri" w:hAnsi="Calibri" w:cs="Arial"/>
          <w:sz w:val="22"/>
          <w:szCs w:val="22"/>
        </w:rPr>
        <w:t xml:space="preserve"> </w:t>
      </w:r>
      <w:proofErr w:type="spellStart"/>
      <w:r w:rsidRPr="00360EFC">
        <w:rPr>
          <w:rFonts w:ascii="Calibri" w:hAnsi="Calibri" w:cs="Arial"/>
          <w:sz w:val="22"/>
          <w:szCs w:val="22"/>
        </w:rPr>
        <w:t>a.s</w:t>
      </w:r>
      <w:proofErr w:type="spellEnd"/>
      <w:r w:rsidRPr="00360EFC">
        <w:rPr>
          <w:rFonts w:ascii="Calibri" w:hAnsi="Calibri" w:cs="Arial"/>
          <w:sz w:val="22"/>
          <w:szCs w:val="22"/>
        </w:rPr>
        <w:t xml:space="preserve">. dywidenda w wysokości 1.144 tys. zł uwzględniająca różnice kursowe (7.291 tys. CZK), </w:t>
      </w:r>
      <w:r w:rsidR="000A3917">
        <w:rPr>
          <w:rFonts w:ascii="Calibri" w:hAnsi="Calibri" w:cs="Arial"/>
          <w:sz w:val="22"/>
          <w:szCs w:val="22"/>
        </w:rPr>
        <w:br/>
      </w:r>
      <w:r w:rsidRPr="00360EFC">
        <w:rPr>
          <w:rFonts w:ascii="Calibri" w:hAnsi="Calibri" w:cs="Arial"/>
          <w:sz w:val="22"/>
          <w:szCs w:val="22"/>
        </w:rPr>
        <w:t xml:space="preserve">w porównaniu do poprzedniego roku wyższa o 6,7 mln CZK. Przychody finansowe uwzględniają również zadeklarowaną przez Spółkę Zależną ZE ZEN Sp. z o.o. dywidendę w wysokości 250 tys. </w:t>
      </w:r>
      <w:r w:rsidR="009C6F76" w:rsidRPr="00360EFC">
        <w:rPr>
          <w:rFonts w:ascii="Calibri" w:hAnsi="Calibri" w:cs="Arial"/>
          <w:sz w:val="22"/>
          <w:szCs w:val="22"/>
        </w:rPr>
        <w:t xml:space="preserve">zł. </w:t>
      </w:r>
      <w:r w:rsidRPr="00360EFC">
        <w:rPr>
          <w:rFonts w:ascii="Calibri" w:hAnsi="Calibri" w:cs="Arial"/>
          <w:sz w:val="22"/>
          <w:szCs w:val="22"/>
        </w:rPr>
        <w:t xml:space="preserve">Odsetki od udzielonych pożyczek jednostkom powiązanym oraz zysk ze zbycia aktywów finansowych. Wzrost kosztów finansowych jest konsekwencją wykorzystywania przez Spółkę dostępnych limitów kredytowych oraz prowizji od zawartych umów z bankami, jak również kosztami poniesionymi na emisję obligacji oraz naliczonymi odsetkami od emisji przypadającymi na prezentowany okres. </w:t>
      </w:r>
      <w:r w:rsidR="009C6F76" w:rsidRPr="00360EFC">
        <w:rPr>
          <w:rFonts w:ascii="Calibri" w:hAnsi="Calibri" w:cs="Arial"/>
          <w:sz w:val="22"/>
          <w:szCs w:val="22"/>
        </w:rPr>
        <w:br/>
      </w:r>
      <w:r w:rsidRPr="00360EFC">
        <w:rPr>
          <w:rFonts w:ascii="Calibri" w:hAnsi="Calibri" w:cs="Arial"/>
          <w:sz w:val="22"/>
          <w:szCs w:val="22"/>
        </w:rPr>
        <w:t xml:space="preserve">Zysk przed opodatkowaniem za 6 miesięcy 2016 roku Spółka uzyskała w wysokości 1.903 tys. zł, </w:t>
      </w:r>
      <w:r w:rsidR="009C6F76" w:rsidRPr="00360EFC">
        <w:rPr>
          <w:rFonts w:ascii="Calibri" w:hAnsi="Calibri" w:cs="Arial"/>
          <w:sz w:val="22"/>
          <w:szCs w:val="22"/>
        </w:rPr>
        <w:br/>
      </w:r>
      <w:r w:rsidRPr="00360EFC">
        <w:rPr>
          <w:rFonts w:ascii="Calibri" w:hAnsi="Calibri" w:cs="Arial"/>
          <w:sz w:val="22"/>
          <w:szCs w:val="22"/>
        </w:rPr>
        <w:t>w porównaniu do 2.571</w:t>
      </w:r>
      <w:r w:rsidR="00355BAA">
        <w:rPr>
          <w:rFonts w:ascii="Calibri" w:hAnsi="Calibri" w:cs="Arial"/>
          <w:sz w:val="22"/>
          <w:szCs w:val="22"/>
        </w:rPr>
        <w:t xml:space="preserve"> </w:t>
      </w:r>
      <w:r w:rsidRPr="00360EFC">
        <w:rPr>
          <w:rFonts w:ascii="Calibri" w:hAnsi="Calibri" w:cs="Arial"/>
          <w:sz w:val="22"/>
          <w:szCs w:val="22"/>
        </w:rPr>
        <w:t>tys. zł w analogicznym okresie 2015 roku.</w:t>
      </w:r>
    </w:p>
    <w:p w14:paraId="47466E9C" w14:textId="77777777" w:rsidR="00E776FC" w:rsidRDefault="00E776FC" w:rsidP="0031729E">
      <w:pPr>
        <w:widowControl w:val="0"/>
        <w:tabs>
          <w:tab w:val="left" w:pos="540"/>
        </w:tabs>
        <w:ind w:left="567"/>
        <w:jc w:val="both"/>
        <w:rPr>
          <w:rFonts w:ascii="Calibri" w:hAnsi="Calibri" w:cs="Arial"/>
          <w:b/>
          <w:highlight w:val="green"/>
        </w:rPr>
      </w:pPr>
    </w:p>
    <w:p w14:paraId="740E2A4A" w14:textId="77777777" w:rsidR="0031729E" w:rsidRPr="00360EFC" w:rsidRDefault="0031729E" w:rsidP="0031729E">
      <w:pPr>
        <w:widowControl w:val="0"/>
        <w:tabs>
          <w:tab w:val="left" w:pos="540"/>
        </w:tabs>
        <w:ind w:left="567"/>
        <w:jc w:val="both"/>
        <w:rPr>
          <w:rFonts w:ascii="Calibri" w:hAnsi="Calibri" w:cs="Arial"/>
          <w:b/>
        </w:rPr>
      </w:pPr>
      <w:r w:rsidRPr="00360EFC">
        <w:rPr>
          <w:rFonts w:ascii="Calibri" w:hAnsi="Calibri" w:cs="Arial"/>
          <w:b/>
        </w:rPr>
        <w:t>Segmenty działalności</w:t>
      </w:r>
    </w:p>
    <w:p w14:paraId="5E794DFF" w14:textId="77777777" w:rsidR="0095771B" w:rsidRPr="00183773" w:rsidRDefault="0095771B" w:rsidP="0031729E">
      <w:pPr>
        <w:widowControl w:val="0"/>
        <w:tabs>
          <w:tab w:val="left" w:pos="540"/>
        </w:tabs>
        <w:ind w:left="567"/>
        <w:jc w:val="both"/>
        <w:rPr>
          <w:rFonts w:ascii="Calibri" w:hAnsi="Calibri" w:cs="Arial"/>
          <w:b/>
          <w:highlight w:val="green"/>
        </w:rPr>
      </w:pPr>
    </w:p>
    <w:tbl>
      <w:tblPr>
        <w:tblW w:w="9267" w:type="dxa"/>
        <w:jc w:val="center"/>
        <w:tblCellMar>
          <w:left w:w="70" w:type="dxa"/>
          <w:right w:w="70" w:type="dxa"/>
        </w:tblCellMar>
        <w:tblLook w:val="04A0" w:firstRow="1" w:lastRow="0" w:firstColumn="1" w:lastColumn="0" w:noHBand="0" w:noVBand="1"/>
      </w:tblPr>
      <w:tblGrid>
        <w:gridCol w:w="5103"/>
        <w:gridCol w:w="1985"/>
        <w:gridCol w:w="1984"/>
        <w:gridCol w:w="195"/>
      </w:tblGrid>
      <w:tr w:rsidR="00D46A98" w14:paraId="776F350F" w14:textId="77777777" w:rsidTr="00D46A98">
        <w:trPr>
          <w:trHeight w:val="240"/>
          <w:jc w:val="center"/>
        </w:trPr>
        <w:tc>
          <w:tcPr>
            <w:tcW w:w="5103" w:type="dxa"/>
            <w:tcBorders>
              <w:top w:val="nil"/>
              <w:left w:val="nil"/>
              <w:bottom w:val="nil"/>
              <w:right w:val="nil"/>
            </w:tcBorders>
            <w:shd w:val="clear" w:color="auto" w:fill="auto"/>
            <w:noWrap/>
            <w:vAlign w:val="center"/>
            <w:hideMark/>
          </w:tcPr>
          <w:p w14:paraId="6EB205E0" w14:textId="77777777" w:rsidR="00D46A98" w:rsidRPr="00D46A98" w:rsidRDefault="00D46A98" w:rsidP="003D2FE3">
            <w:pPr>
              <w:rPr>
                <w:rFonts w:ascii="Calibri" w:hAnsi="Calibri" w:cs="Arial"/>
                <w:b/>
                <w:bCs/>
                <w:sz w:val="18"/>
                <w:szCs w:val="18"/>
                <w:highlight w:val="green"/>
              </w:rPr>
            </w:pPr>
          </w:p>
        </w:tc>
        <w:tc>
          <w:tcPr>
            <w:tcW w:w="4164" w:type="dxa"/>
            <w:gridSpan w:val="3"/>
            <w:tcBorders>
              <w:top w:val="nil"/>
              <w:left w:val="nil"/>
              <w:bottom w:val="nil"/>
              <w:right w:val="nil"/>
            </w:tcBorders>
            <w:shd w:val="clear" w:color="auto" w:fill="auto"/>
            <w:vAlign w:val="center"/>
            <w:hideMark/>
          </w:tcPr>
          <w:p w14:paraId="3E986533" w14:textId="77777777" w:rsidR="00D46A98" w:rsidRPr="00D46A98" w:rsidRDefault="00D46A98" w:rsidP="003D2FE3">
            <w:pPr>
              <w:jc w:val="center"/>
              <w:rPr>
                <w:rFonts w:ascii="Calibri" w:hAnsi="Calibri" w:cs="Arial"/>
                <w:b/>
                <w:bCs/>
                <w:sz w:val="18"/>
                <w:szCs w:val="18"/>
                <w:highlight w:val="lightGray"/>
              </w:rPr>
            </w:pPr>
            <w:r w:rsidRPr="00D46A98">
              <w:rPr>
                <w:rFonts w:ascii="Calibri" w:hAnsi="Calibri" w:cs="Arial"/>
                <w:b/>
                <w:bCs/>
                <w:sz w:val="18"/>
                <w:szCs w:val="18"/>
                <w:highlight w:val="lightGray"/>
              </w:rPr>
              <w:t>okres sprawozdawczy</w:t>
            </w:r>
          </w:p>
        </w:tc>
      </w:tr>
      <w:tr w:rsidR="00D46A98" w14:paraId="1D359EA7"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005370FF" w14:textId="77777777" w:rsidR="00D46A98" w:rsidRDefault="00D46A98" w:rsidP="003D2FE3">
            <w:pPr>
              <w:jc w:val="center"/>
              <w:rPr>
                <w:rFonts w:ascii="Calibri" w:hAnsi="Calibri" w:cs="Arial"/>
                <w:b/>
                <w:bCs/>
                <w:sz w:val="18"/>
                <w:szCs w:val="18"/>
              </w:rPr>
            </w:pPr>
          </w:p>
        </w:tc>
        <w:tc>
          <w:tcPr>
            <w:tcW w:w="1985" w:type="dxa"/>
            <w:tcBorders>
              <w:top w:val="nil"/>
              <w:left w:val="nil"/>
              <w:bottom w:val="nil"/>
              <w:right w:val="nil"/>
            </w:tcBorders>
            <w:shd w:val="clear" w:color="auto" w:fill="D9D9D9" w:themeFill="background1" w:themeFillShade="D9"/>
            <w:vAlign w:val="center"/>
            <w:hideMark/>
          </w:tcPr>
          <w:p w14:paraId="1C229385" w14:textId="77777777" w:rsidR="00D46A98" w:rsidRDefault="00D46A98" w:rsidP="003D2FE3">
            <w:pPr>
              <w:jc w:val="center"/>
              <w:rPr>
                <w:rFonts w:ascii="Calibri" w:hAnsi="Calibri" w:cs="Arial"/>
                <w:b/>
                <w:bCs/>
                <w:sz w:val="18"/>
                <w:szCs w:val="18"/>
              </w:rPr>
            </w:pPr>
            <w:r>
              <w:rPr>
                <w:rFonts w:ascii="Calibri" w:hAnsi="Calibri" w:cs="Arial"/>
                <w:b/>
                <w:bCs/>
                <w:sz w:val="18"/>
                <w:szCs w:val="18"/>
              </w:rPr>
              <w:t xml:space="preserve">za 6 miesięcy </w:t>
            </w:r>
          </w:p>
        </w:tc>
        <w:tc>
          <w:tcPr>
            <w:tcW w:w="1984" w:type="dxa"/>
            <w:tcBorders>
              <w:top w:val="nil"/>
              <w:left w:val="nil"/>
              <w:bottom w:val="nil"/>
              <w:right w:val="nil"/>
            </w:tcBorders>
            <w:shd w:val="clear" w:color="auto" w:fill="auto"/>
            <w:vAlign w:val="center"/>
            <w:hideMark/>
          </w:tcPr>
          <w:p w14:paraId="75822796" w14:textId="77777777" w:rsidR="00D46A98" w:rsidRDefault="00D46A98" w:rsidP="003D2FE3">
            <w:pPr>
              <w:jc w:val="center"/>
              <w:rPr>
                <w:rFonts w:ascii="Calibri" w:hAnsi="Calibri" w:cs="Arial"/>
                <w:b/>
                <w:bCs/>
                <w:sz w:val="18"/>
                <w:szCs w:val="18"/>
              </w:rPr>
            </w:pPr>
            <w:r>
              <w:rPr>
                <w:rFonts w:ascii="Calibri" w:hAnsi="Calibri" w:cs="Arial"/>
                <w:b/>
                <w:bCs/>
                <w:sz w:val="18"/>
                <w:szCs w:val="18"/>
              </w:rPr>
              <w:t xml:space="preserve">za 6 miesięcy </w:t>
            </w:r>
          </w:p>
        </w:tc>
      </w:tr>
      <w:tr w:rsidR="00D46A98" w14:paraId="62486E9C"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2D143B92" w14:textId="77777777" w:rsidR="00D46A98" w:rsidRDefault="00D46A98" w:rsidP="003D2FE3">
            <w:pPr>
              <w:jc w:val="center"/>
              <w:rPr>
                <w:rFonts w:ascii="Calibri" w:hAnsi="Calibri" w:cs="Arial"/>
                <w:b/>
                <w:bCs/>
                <w:sz w:val="18"/>
                <w:szCs w:val="18"/>
              </w:rPr>
            </w:pPr>
          </w:p>
        </w:tc>
        <w:tc>
          <w:tcPr>
            <w:tcW w:w="1985" w:type="dxa"/>
            <w:tcBorders>
              <w:top w:val="nil"/>
              <w:left w:val="nil"/>
              <w:bottom w:val="nil"/>
              <w:right w:val="nil"/>
            </w:tcBorders>
            <w:shd w:val="clear" w:color="auto" w:fill="D9D9D9" w:themeFill="background1" w:themeFillShade="D9"/>
            <w:vAlign w:val="center"/>
            <w:hideMark/>
          </w:tcPr>
          <w:p w14:paraId="7C3E0DC7" w14:textId="77777777" w:rsidR="00D46A98" w:rsidRDefault="00D46A98" w:rsidP="003D2FE3">
            <w:pPr>
              <w:jc w:val="center"/>
              <w:rPr>
                <w:rFonts w:ascii="Calibri" w:hAnsi="Calibri" w:cs="Arial"/>
                <w:b/>
                <w:bCs/>
                <w:sz w:val="18"/>
                <w:szCs w:val="18"/>
              </w:rPr>
            </w:pPr>
            <w:r>
              <w:rPr>
                <w:rFonts w:ascii="Calibri" w:hAnsi="Calibri" w:cs="Arial"/>
                <w:b/>
                <w:bCs/>
                <w:sz w:val="18"/>
                <w:szCs w:val="18"/>
              </w:rPr>
              <w:t>od 01.01.2016</w:t>
            </w:r>
          </w:p>
        </w:tc>
        <w:tc>
          <w:tcPr>
            <w:tcW w:w="1984" w:type="dxa"/>
            <w:tcBorders>
              <w:top w:val="nil"/>
              <w:left w:val="nil"/>
              <w:bottom w:val="nil"/>
              <w:right w:val="nil"/>
            </w:tcBorders>
            <w:shd w:val="clear" w:color="auto" w:fill="auto"/>
            <w:vAlign w:val="center"/>
            <w:hideMark/>
          </w:tcPr>
          <w:p w14:paraId="73A37EE8" w14:textId="77777777" w:rsidR="00D46A98" w:rsidRDefault="00D46A98" w:rsidP="003D2FE3">
            <w:pPr>
              <w:jc w:val="center"/>
              <w:rPr>
                <w:rFonts w:ascii="Calibri" w:hAnsi="Calibri" w:cs="Arial"/>
                <w:b/>
                <w:bCs/>
                <w:sz w:val="18"/>
                <w:szCs w:val="18"/>
              </w:rPr>
            </w:pPr>
            <w:r>
              <w:rPr>
                <w:rFonts w:ascii="Calibri" w:hAnsi="Calibri" w:cs="Arial"/>
                <w:b/>
                <w:bCs/>
                <w:sz w:val="18"/>
                <w:szCs w:val="18"/>
              </w:rPr>
              <w:t>od 01.01.2015</w:t>
            </w:r>
          </w:p>
        </w:tc>
      </w:tr>
      <w:tr w:rsidR="00D46A98" w14:paraId="1C589CDF"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0FC838E8" w14:textId="77777777" w:rsidR="00D46A98" w:rsidRDefault="00D46A98" w:rsidP="003D2FE3">
            <w:pPr>
              <w:jc w:val="center"/>
              <w:rPr>
                <w:rFonts w:ascii="Calibri" w:hAnsi="Calibri" w:cs="Arial"/>
                <w:b/>
                <w:bCs/>
                <w:sz w:val="18"/>
                <w:szCs w:val="18"/>
              </w:rPr>
            </w:pPr>
          </w:p>
        </w:tc>
        <w:tc>
          <w:tcPr>
            <w:tcW w:w="1985" w:type="dxa"/>
            <w:tcBorders>
              <w:top w:val="nil"/>
              <w:left w:val="nil"/>
              <w:bottom w:val="nil"/>
              <w:right w:val="nil"/>
            </w:tcBorders>
            <w:shd w:val="clear" w:color="auto" w:fill="D9D9D9" w:themeFill="background1" w:themeFillShade="D9"/>
            <w:vAlign w:val="center"/>
            <w:hideMark/>
          </w:tcPr>
          <w:p w14:paraId="0F3BD4C8" w14:textId="77777777" w:rsidR="00D46A98" w:rsidRDefault="00D46A98" w:rsidP="003D2FE3">
            <w:pPr>
              <w:jc w:val="center"/>
              <w:rPr>
                <w:rFonts w:ascii="Calibri" w:hAnsi="Calibri" w:cs="Arial"/>
                <w:b/>
                <w:bCs/>
                <w:color w:val="000000"/>
                <w:sz w:val="18"/>
                <w:szCs w:val="18"/>
              </w:rPr>
            </w:pPr>
            <w:r>
              <w:rPr>
                <w:rFonts w:ascii="Calibri" w:hAnsi="Calibri" w:cs="Arial"/>
                <w:b/>
                <w:bCs/>
                <w:color w:val="000000"/>
                <w:sz w:val="18"/>
                <w:szCs w:val="18"/>
              </w:rPr>
              <w:t>do 30.06.2016</w:t>
            </w:r>
          </w:p>
        </w:tc>
        <w:tc>
          <w:tcPr>
            <w:tcW w:w="1984" w:type="dxa"/>
            <w:tcBorders>
              <w:top w:val="nil"/>
              <w:left w:val="nil"/>
              <w:bottom w:val="nil"/>
              <w:right w:val="nil"/>
            </w:tcBorders>
            <w:shd w:val="clear" w:color="auto" w:fill="auto"/>
            <w:vAlign w:val="center"/>
            <w:hideMark/>
          </w:tcPr>
          <w:p w14:paraId="055EAE7D" w14:textId="77777777" w:rsidR="00D46A98" w:rsidRDefault="00D46A98" w:rsidP="003D2FE3">
            <w:pPr>
              <w:jc w:val="center"/>
              <w:rPr>
                <w:rFonts w:ascii="Calibri" w:hAnsi="Calibri" w:cs="Arial"/>
                <w:b/>
                <w:bCs/>
                <w:color w:val="000000"/>
                <w:sz w:val="18"/>
                <w:szCs w:val="18"/>
              </w:rPr>
            </w:pPr>
            <w:r>
              <w:rPr>
                <w:rFonts w:ascii="Calibri" w:hAnsi="Calibri" w:cs="Arial"/>
                <w:b/>
                <w:bCs/>
                <w:color w:val="000000"/>
                <w:sz w:val="18"/>
                <w:szCs w:val="18"/>
              </w:rPr>
              <w:t>do 30.06.2015</w:t>
            </w:r>
          </w:p>
        </w:tc>
      </w:tr>
      <w:tr w:rsidR="00D46A98" w14:paraId="7FB03C89"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0E86D7FA" w14:textId="77777777" w:rsidR="00D46A98" w:rsidRDefault="00D46A98" w:rsidP="003D2FE3">
            <w:pPr>
              <w:jc w:val="center"/>
              <w:rPr>
                <w:rFonts w:ascii="Calibri" w:hAnsi="Calibri" w:cs="Arial"/>
                <w:b/>
                <w:bCs/>
                <w:color w:val="000000"/>
                <w:sz w:val="18"/>
                <w:szCs w:val="18"/>
              </w:rPr>
            </w:pPr>
          </w:p>
        </w:tc>
        <w:tc>
          <w:tcPr>
            <w:tcW w:w="1985" w:type="dxa"/>
            <w:tcBorders>
              <w:top w:val="single" w:sz="4" w:space="0" w:color="auto"/>
              <w:left w:val="nil"/>
              <w:bottom w:val="nil"/>
              <w:right w:val="nil"/>
            </w:tcBorders>
            <w:shd w:val="clear" w:color="auto" w:fill="D9D9D9" w:themeFill="background1" w:themeFillShade="D9"/>
            <w:vAlign w:val="center"/>
            <w:hideMark/>
          </w:tcPr>
          <w:p w14:paraId="661857CD" w14:textId="77777777" w:rsidR="00D46A98" w:rsidRDefault="00D46A98" w:rsidP="003D2FE3">
            <w:pPr>
              <w:jc w:val="center"/>
              <w:rPr>
                <w:rFonts w:ascii="Calibri" w:hAnsi="Calibri" w:cs="Arial"/>
                <w:b/>
                <w:bCs/>
                <w:color w:val="000000"/>
                <w:sz w:val="18"/>
                <w:szCs w:val="18"/>
              </w:rPr>
            </w:pPr>
            <w:r>
              <w:rPr>
                <w:rFonts w:ascii="Calibri" w:hAnsi="Calibri" w:cs="Arial"/>
                <w:b/>
                <w:bCs/>
                <w:color w:val="000000"/>
                <w:sz w:val="18"/>
                <w:szCs w:val="18"/>
              </w:rPr>
              <w:t>(niebadany)</w:t>
            </w:r>
          </w:p>
        </w:tc>
        <w:tc>
          <w:tcPr>
            <w:tcW w:w="1984" w:type="dxa"/>
            <w:tcBorders>
              <w:top w:val="single" w:sz="4" w:space="0" w:color="auto"/>
              <w:left w:val="nil"/>
              <w:bottom w:val="nil"/>
              <w:right w:val="nil"/>
            </w:tcBorders>
            <w:shd w:val="clear" w:color="auto" w:fill="auto"/>
            <w:vAlign w:val="center"/>
            <w:hideMark/>
          </w:tcPr>
          <w:p w14:paraId="4EED4656" w14:textId="77777777" w:rsidR="00D46A98" w:rsidRDefault="00D46A98" w:rsidP="003D2FE3">
            <w:pPr>
              <w:jc w:val="center"/>
              <w:rPr>
                <w:rFonts w:ascii="Calibri" w:hAnsi="Calibri" w:cs="Arial"/>
                <w:b/>
                <w:bCs/>
                <w:color w:val="000000"/>
                <w:sz w:val="18"/>
                <w:szCs w:val="18"/>
              </w:rPr>
            </w:pPr>
            <w:r>
              <w:rPr>
                <w:rFonts w:ascii="Calibri" w:hAnsi="Calibri" w:cs="Arial"/>
                <w:b/>
                <w:bCs/>
                <w:color w:val="000000"/>
                <w:sz w:val="18"/>
                <w:szCs w:val="18"/>
              </w:rPr>
              <w:t>(niebadany)</w:t>
            </w:r>
          </w:p>
        </w:tc>
      </w:tr>
      <w:tr w:rsidR="00D46A98" w14:paraId="1C475CB6"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270F582B" w14:textId="77777777" w:rsidR="00D46A98" w:rsidRDefault="00D46A98" w:rsidP="003D2FE3">
            <w:pPr>
              <w:jc w:val="center"/>
              <w:rPr>
                <w:rFonts w:ascii="Calibri" w:hAnsi="Calibri" w:cs="Arial"/>
                <w:b/>
                <w:bCs/>
                <w:color w:val="000000"/>
                <w:sz w:val="18"/>
                <w:szCs w:val="18"/>
              </w:rPr>
            </w:pPr>
          </w:p>
        </w:tc>
        <w:tc>
          <w:tcPr>
            <w:tcW w:w="1985" w:type="dxa"/>
            <w:tcBorders>
              <w:top w:val="nil"/>
              <w:left w:val="nil"/>
              <w:bottom w:val="single" w:sz="4" w:space="0" w:color="auto"/>
              <w:right w:val="nil"/>
            </w:tcBorders>
            <w:shd w:val="clear" w:color="auto" w:fill="D9D9D9" w:themeFill="background1" w:themeFillShade="D9"/>
            <w:vAlign w:val="center"/>
            <w:hideMark/>
          </w:tcPr>
          <w:p w14:paraId="12B641F7" w14:textId="77777777" w:rsidR="00D46A98" w:rsidRDefault="00D46A98" w:rsidP="003D2FE3">
            <w:pPr>
              <w:jc w:val="center"/>
              <w:rPr>
                <w:rFonts w:ascii="Calibri" w:hAnsi="Calibri" w:cs="Arial"/>
                <w:b/>
                <w:bCs/>
                <w:sz w:val="18"/>
                <w:szCs w:val="18"/>
              </w:rPr>
            </w:pPr>
            <w:r>
              <w:rPr>
                <w:rFonts w:ascii="Calibri" w:hAnsi="Calibri" w:cs="Arial"/>
                <w:b/>
                <w:bCs/>
                <w:sz w:val="18"/>
                <w:szCs w:val="18"/>
              </w:rPr>
              <w:t>tys. PLN</w:t>
            </w:r>
          </w:p>
        </w:tc>
        <w:tc>
          <w:tcPr>
            <w:tcW w:w="1984" w:type="dxa"/>
            <w:tcBorders>
              <w:top w:val="nil"/>
              <w:left w:val="nil"/>
              <w:bottom w:val="single" w:sz="4" w:space="0" w:color="auto"/>
              <w:right w:val="nil"/>
            </w:tcBorders>
            <w:shd w:val="clear" w:color="auto" w:fill="auto"/>
            <w:vAlign w:val="center"/>
            <w:hideMark/>
          </w:tcPr>
          <w:p w14:paraId="750D5A1F" w14:textId="77777777" w:rsidR="00D46A98" w:rsidRDefault="00D46A98" w:rsidP="003D2FE3">
            <w:pPr>
              <w:jc w:val="center"/>
              <w:rPr>
                <w:rFonts w:ascii="Calibri" w:hAnsi="Calibri" w:cs="Arial"/>
                <w:b/>
                <w:bCs/>
                <w:sz w:val="18"/>
                <w:szCs w:val="18"/>
              </w:rPr>
            </w:pPr>
            <w:r>
              <w:rPr>
                <w:rFonts w:ascii="Calibri" w:hAnsi="Calibri" w:cs="Arial"/>
                <w:b/>
                <w:bCs/>
                <w:sz w:val="18"/>
                <w:szCs w:val="18"/>
              </w:rPr>
              <w:t>tys. PLN</w:t>
            </w:r>
          </w:p>
        </w:tc>
      </w:tr>
      <w:tr w:rsidR="00D46A98" w14:paraId="106ACBF6"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78BC78EC" w14:textId="77777777" w:rsidR="00D46A98" w:rsidRDefault="00D46A98" w:rsidP="003D2FE3">
            <w:pPr>
              <w:rPr>
                <w:rFonts w:ascii="Calibri" w:hAnsi="Calibri" w:cs="Arial"/>
                <w:b/>
                <w:bCs/>
                <w:sz w:val="18"/>
                <w:szCs w:val="18"/>
              </w:rPr>
            </w:pPr>
            <w:r>
              <w:rPr>
                <w:rFonts w:ascii="Calibri" w:hAnsi="Calibri" w:cs="Arial"/>
                <w:b/>
                <w:bCs/>
                <w:sz w:val="18"/>
                <w:szCs w:val="18"/>
              </w:rPr>
              <w:t>SEGMENT A - UTRZYMANIE RUCHU</w:t>
            </w:r>
          </w:p>
        </w:tc>
        <w:tc>
          <w:tcPr>
            <w:tcW w:w="1985" w:type="dxa"/>
            <w:tcBorders>
              <w:top w:val="nil"/>
              <w:left w:val="nil"/>
              <w:bottom w:val="nil"/>
              <w:right w:val="nil"/>
            </w:tcBorders>
            <w:shd w:val="clear" w:color="auto" w:fill="D9D9D9" w:themeFill="background1" w:themeFillShade="D9"/>
            <w:noWrap/>
            <w:vAlign w:val="center"/>
            <w:hideMark/>
          </w:tcPr>
          <w:p w14:paraId="7177E886" w14:textId="77777777" w:rsidR="00D46A98" w:rsidRDefault="00D46A98" w:rsidP="003D2FE3">
            <w:pPr>
              <w:rPr>
                <w:rFonts w:ascii="Calibri" w:hAnsi="Calibri" w:cs="Arial"/>
                <w:b/>
                <w:bCs/>
                <w:sz w:val="18"/>
                <w:szCs w:val="18"/>
              </w:rPr>
            </w:pPr>
            <w:r>
              <w:rPr>
                <w:rFonts w:ascii="Calibri" w:hAnsi="Calibri" w:cs="Arial"/>
                <w:b/>
                <w:bCs/>
                <w:sz w:val="18"/>
                <w:szCs w:val="18"/>
              </w:rPr>
              <w:t> </w:t>
            </w:r>
          </w:p>
        </w:tc>
        <w:tc>
          <w:tcPr>
            <w:tcW w:w="1984" w:type="dxa"/>
            <w:tcBorders>
              <w:top w:val="nil"/>
              <w:left w:val="nil"/>
              <w:bottom w:val="nil"/>
              <w:right w:val="nil"/>
            </w:tcBorders>
            <w:shd w:val="clear" w:color="auto" w:fill="auto"/>
            <w:noWrap/>
            <w:vAlign w:val="center"/>
            <w:hideMark/>
          </w:tcPr>
          <w:p w14:paraId="20204103" w14:textId="77777777" w:rsidR="00D46A98" w:rsidRDefault="00D46A98" w:rsidP="003D2FE3">
            <w:pPr>
              <w:rPr>
                <w:rFonts w:ascii="Calibri" w:hAnsi="Calibri" w:cs="Arial"/>
                <w:b/>
                <w:bCs/>
                <w:sz w:val="18"/>
                <w:szCs w:val="18"/>
              </w:rPr>
            </w:pPr>
          </w:p>
        </w:tc>
      </w:tr>
      <w:tr w:rsidR="00D46A98" w14:paraId="352E6847"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6C1F54DC" w14:textId="77777777" w:rsidR="00D46A98" w:rsidRDefault="00D46A98" w:rsidP="003D2FE3">
            <w:pPr>
              <w:rPr>
                <w:rFonts w:ascii="Calibri" w:hAnsi="Calibri" w:cs="Arial"/>
                <w:sz w:val="18"/>
                <w:szCs w:val="18"/>
              </w:rPr>
            </w:pPr>
            <w:r>
              <w:rPr>
                <w:rFonts w:ascii="Calibri" w:hAnsi="Calibri" w:cs="Arial"/>
                <w:sz w:val="18"/>
                <w:szCs w:val="18"/>
              </w:rPr>
              <w:t>Przychody ze sprzedaży</w:t>
            </w:r>
          </w:p>
        </w:tc>
        <w:tc>
          <w:tcPr>
            <w:tcW w:w="1985" w:type="dxa"/>
            <w:tcBorders>
              <w:top w:val="nil"/>
              <w:left w:val="nil"/>
              <w:bottom w:val="nil"/>
              <w:right w:val="nil"/>
            </w:tcBorders>
            <w:shd w:val="clear" w:color="auto" w:fill="D9D9D9" w:themeFill="background1" w:themeFillShade="D9"/>
            <w:noWrap/>
            <w:vAlign w:val="center"/>
            <w:hideMark/>
          </w:tcPr>
          <w:p w14:paraId="09077A7B" w14:textId="77777777" w:rsidR="00D46A98" w:rsidRDefault="00D46A98" w:rsidP="003D2FE3">
            <w:pPr>
              <w:jc w:val="right"/>
              <w:rPr>
                <w:rFonts w:ascii="Calibri" w:hAnsi="Calibri" w:cs="Arial"/>
                <w:sz w:val="18"/>
                <w:szCs w:val="18"/>
              </w:rPr>
            </w:pPr>
            <w:r>
              <w:rPr>
                <w:rFonts w:ascii="Calibri" w:hAnsi="Calibri" w:cs="Arial"/>
                <w:sz w:val="18"/>
                <w:szCs w:val="18"/>
              </w:rPr>
              <w:t>9 217</w:t>
            </w:r>
          </w:p>
        </w:tc>
        <w:tc>
          <w:tcPr>
            <w:tcW w:w="1984" w:type="dxa"/>
            <w:tcBorders>
              <w:top w:val="nil"/>
              <w:left w:val="nil"/>
              <w:bottom w:val="nil"/>
              <w:right w:val="nil"/>
            </w:tcBorders>
            <w:shd w:val="clear" w:color="auto" w:fill="auto"/>
            <w:noWrap/>
            <w:vAlign w:val="center"/>
            <w:hideMark/>
          </w:tcPr>
          <w:p w14:paraId="7EF26C37" w14:textId="77777777" w:rsidR="00D46A98" w:rsidRDefault="00D46A98" w:rsidP="003D2FE3">
            <w:pPr>
              <w:jc w:val="right"/>
              <w:rPr>
                <w:rFonts w:ascii="Calibri" w:hAnsi="Calibri" w:cs="Arial"/>
                <w:sz w:val="18"/>
                <w:szCs w:val="18"/>
              </w:rPr>
            </w:pPr>
            <w:r>
              <w:rPr>
                <w:rFonts w:ascii="Calibri" w:hAnsi="Calibri" w:cs="Arial"/>
                <w:sz w:val="18"/>
                <w:szCs w:val="18"/>
              </w:rPr>
              <w:t>8 548</w:t>
            </w:r>
          </w:p>
        </w:tc>
      </w:tr>
      <w:tr w:rsidR="00D46A98" w14:paraId="53A5E6E1"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50632DA7" w14:textId="77777777" w:rsidR="00D46A98" w:rsidRDefault="00D46A98" w:rsidP="003D2FE3">
            <w:pPr>
              <w:rPr>
                <w:rFonts w:ascii="Calibri" w:hAnsi="Calibri" w:cs="Arial"/>
                <w:sz w:val="18"/>
                <w:szCs w:val="18"/>
              </w:rPr>
            </w:pPr>
            <w:r>
              <w:rPr>
                <w:rFonts w:ascii="Calibri" w:hAnsi="Calibri" w:cs="Arial"/>
                <w:sz w:val="18"/>
                <w:szCs w:val="18"/>
              </w:rPr>
              <w:t>Koszt własny sprzedaży</w:t>
            </w:r>
          </w:p>
        </w:tc>
        <w:tc>
          <w:tcPr>
            <w:tcW w:w="1985" w:type="dxa"/>
            <w:tcBorders>
              <w:top w:val="nil"/>
              <w:left w:val="nil"/>
              <w:bottom w:val="nil"/>
              <w:right w:val="nil"/>
            </w:tcBorders>
            <w:shd w:val="clear" w:color="auto" w:fill="D9D9D9" w:themeFill="background1" w:themeFillShade="D9"/>
            <w:noWrap/>
            <w:vAlign w:val="center"/>
            <w:hideMark/>
          </w:tcPr>
          <w:p w14:paraId="07DB52E9" w14:textId="77777777" w:rsidR="00D46A98" w:rsidRDefault="00D46A98" w:rsidP="003D2FE3">
            <w:pPr>
              <w:jc w:val="right"/>
              <w:rPr>
                <w:rFonts w:ascii="Calibri" w:hAnsi="Calibri" w:cs="Arial"/>
                <w:sz w:val="18"/>
                <w:szCs w:val="18"/>
              </w:rPr>
            </w:pPr>
            <w:r>
              <w:rPr>
                <w:rFonts w:ascii="Calibri" w:hAnsi="Calibri" w:cs="Arial"/>
                <w:sz w:val="18"/>
                <w:szCs w:val="18"/>
              </w:rPr>
              <w:t>9 127</w:t>
            </w:r>
          </w:p>
        </w:tc>
        <w:tc>
          <w:tcPr>
            <w:tcW w:w="1984" w:type="dxa"/>
            <w:tcBorders>
              <w:top w:val="nil"/>
              <w:left w:val="nil"/>
              <w:bottom w:val="nil"/>
              <w:right w:val="nil"/>
            </w:tcBorders>
            <w:shd w:val="clear" w:color="auto" w:fill="auto"/>
            <w:noWrap/>
            <w:vAlign w:val="center"/>
            <w:hideMark/>
          </w:tcPr>
          <w:p w14:paraId="04087610" w14:textId="77777777" w:rsidR="00D46A98" w:rsidRDefault="00D46A98" w:rsidP="003D2FE3">
            <w:pPr>
              <w:jc w:val="right"/>
              <w:rPr>
                <w:rFonts w:ascii="Calibri" w:hAnsi="Calibri" w:cs="Arial"/>
                <w:sz w:val="18"/>
                <w:szCs w:val="18"/>
              </w:rPr>
            </w:pPr>
            <w:r>
              <w:rPr>
                <w:rFonts w:ascii="Calibri" w:hAnsi="Calibri" w:cs="Arial"/>
                <w:sz w:val="18"/>
                <w:szCs w:val="18"/>
              </w:rPr>
              <w:t>8 476</w:t>
            </w:r>
          </w:p>
        </w:tc>
      </w:tr>
      <w:tr w:rsidR="00D46A98" w14:paraId="03F9BA4E"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1E971FE1" w14:textId="77777777" w:rsidR="00D46A98" w:rsidRDefault="00D46A98" w:rsidP="003D2FE3">
            <w:pPr>
              <w:rPr>
                <w:rFonts w:ascii="Calibri" w:hAnsi="Calibri" w:cs="Arial"/>
                <w:b/>
                <w:bCs/>
                <w:sz w:val="18"/>
                <w:szCs w:val="18"/>
              </w:rPr>
            </w:pPr>
            <w:r>
              <w:rPr>
                <w:rFonts w:ascii="Calibri" w:hAnsi="Calibri" w:cs="Arial"/>
                <w:b/>
                <w:bCs/>
                <w:sz w:val="18"/>
                <w:szCs w:val="18"/>
              </w:rPr>
              <w:t>Wynik na działalności segmentu</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26AEC1EC" w14:textId="77777777" w:rsidR="00D46A98" w:rsidRDefault="00D46A98" w:rsidP="003D2FE3">
            <w:pPr>
              <w:jc w:val="right"/>
              <w:rPr>
                <w:rFonts w:ascii="Calibri" w:hAnsi="Calibri" w:cs="Arial"/>
                <w:b/>
                <w:bCs/>
                <w:sz w:val="18"/>
                <w:szCs w:val="18"/>
              </w:rPr>
            </w:pPr>
            <w:r>
              <w:rPr>
                <w:rFonts w:ascii="Calibri" w:hAnsi="Calibri" w:cs="Arial"/>
                <w:b/>
                <w:bCs/>
                <w:sz w:val="18"/>
                <w:szCs w:val="18"/>
              </w:rPr>
              <w:t>90</w:t>
            </w:r>
          </w:p>
        </w:tc>
        <w:tc>
          <w:tcPr>
            <w:tcW w:w="1984" w:type="dxa"/>
            <w:tcBorders>
              <w:top w:val="single" w:sz="4" w:space="0" w:color="auto"/>
              <w:left w:val="nil"/>
              <w:bottom w:val="double" w:sz="6" w:space="0" w:color="auto"/>
              <w:right w:val="nil"/>
            </w:tcBorders>
            <w:shd w:val="clear" w:color="auto" w:fill="auto"/>
            <w:noWrap/>
            <w:vAlign w:val="center"/>
            <w:hideMark/>
          </w:tcPr>
          <w:p w14:paraId="195243A4" w14:textId="77777777" w:rsidR="00D46A98" w:rsidRDefault="00D46A98" w:rsidP="003D2FE3">
            <w:pPr>
              <w:jc w:val="right"/>
              <w:rPr>
                <w:rFonts w:ascii="Calibri" w:hAnsi="Calibri" w:cs="Arial"/>
                <w:b/>
                <w:bCs/>
                <w:sz w:val="18"/>
                <w:szCs w:val="18"/>
              </w:rPr>
            </w:pPr>
            <w:r>
              <w:rPr>
                <w:rFonts w:ascii="Calibri" w:hAnsi="Calibri" w:cs="Arial"/>
                <w:b/>
                <w:bCs/>
                <w:sz w:val="18"/>
                <w:szCs w:val="18"/>
              </w:rPr>
              <w:t>72</w:t>
            </w:r>
          </w:p>
        </w:tc>
      </w:tr>
      <w:tr w:rsidR="00D46A98" w14:paraId="2953243E"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1E6D0001" w14:textId="77777777" w:rsidR="00D46A98" w:rsidRDefault="00D46A98" w:rsidP="003D2FE3">
            <w:pPr>
              <w:rPr>
                <w:rFonts w:ascii="Calibri" w:hAnsi="Calibri" w:cs="Arial"/>
                <w:b/>
                <w:bCs/>
                <w:sz w:val="18"/>
                <w:szCs w:val="18"/>
              </w:rPr>
            </w:pPr>
            <w:r>
              <w:rPr>
                <w:rFonts w:ascii="Calibri" w:hAnsi="Calibri" w:cs="Arial"/>
                <w:b/>
                <w:bCs/>
                <w:sz w:val="18"/>
                <w:szCs w:val="18"/>
              </w:rPr>
              <w:t>SEGMENT B - REMONT URZĄDZEŃ I APARATURY</w:t>
            </w:r>
          </w:p>
        </w:tc>
        <w:tc>
          <w:tcPr>
            <w:tcW w:w="1985" w:type="dxa"/>
            <w:tcBorders>
              <w:top w:val="nil"/>
              <w:left w:val="nil"/>
              <w:bottom w:val="nil"/>
              <w:right w:val="nil"/>
            </w:tcBorders>
            <w:shd w:val="clear" w:color="auto" w:fill="D9D9D9" w:themeFill="background1" w:themeFillShade="D9"/>
            <w:noWrap/>
            <w:vAlign w:val="center"/>
            <w:hideMark/>
          </w:tcPr>
          <w:p w14:paraId="56A5ECA5" w14:textId="77777777" w:rsidR="00D46A98" w:rsidRDefault="00D46A98" w:rsidP="003D2FE3">
            <w:pPr>
              <w:rPr>
                <w:rFonts w:ascii="Calibri" w:hAnsi="Calibri" w:cs="Arial"/>
                <w:b/>
                <w:bCs/>
                <w:sz w:val="18"/>
                <w:szCs w:val="18"/>
              </w:rPr>
            </w:pPr>
            <w:r>
              <w:rPr>
                <w:rFonts w:ascii="Calibri" w:hAnsi="Calibri" w:cs="Arial"/>
                <w:b/>
                <w:bCs/>
                <w:sz w:val="18"/>
                <w:szCs w:val="18"/>
              </w:rPr>
              <w:t> </w:t>
            </w:r>
          </w:p>
        </w:tc>
        <w:tc>
          <w:tcPr>
            <w:tcW w:w="1984" w:type="dxa"/>
            <w:tcBorders>
              <w:top w:val="nil"/>
              <w:left w:val="nil"/>
              <w:bottom w:val="nil"/>
              <w:right w:val="nil"/>
            </w:tcBorders>
            <w:shd w:val="clear" w:color="auto" w:fill="auto"/>
            <w:noWrap/>
            <w:vAlign w:val="center"/>
            <w:hideMark/>
          </w:tcPr>
          <w:p w14:paraId="36745E51" w14:textId="77777777" w:rsidR="00D46A98" w:rsidRDefault="00D46A98" w:rsidP="003D2FE3">
            <w:pPr>
              <w:rPr>
                <w:rFonts w:ascii="Calibri" w:hAnsi="Calibri" w:cs="Arial"/>
                <w:b/>
                <w:bCs/>
                <w:sz w:val="18"/>
                <w:szCs w:val="18"/>
              </w:rPr>
            </w:pPr>
          </w:p>
        </w:tc>
      </w:tr>
      <w:tr w:rsidR="00D46A98" w14:paraId="111524C1"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75A217B1" w14:textId="77777777" w:rsidR="00D46A98" w:rsidRDefault="00D46A98" w:rsidP="003D2FE3">
            <w:pPr>
              <w:rPr>
                <w:rFonts w:ascii="Calibri" w:hAnsi="Calibri" w:cs="Arial"/>
                <w:sz w:val="18"/>
                <w:szCs w:val="18"/>
              </w:rPr>
            </w:pPr>
            <w:r>
              <w:rPr>
                <w:rFonts w:ascii="Calibri" w:hAnsi="Calibri" w:cs="Arial"/>
                <w:sz w:val="18"/>
                <w:szCs w:val="18"/>
              </w:rPr>
              <w:t>Przychody ze sprzedaży</w:t>
            </w:r>
          </w:p>
        </w:tc>
        <w:tc>
          <w:tcPr>
            <w:tcW w:w="1985" w:type="dxa"/>
            <w:tcBorders>
              <w:top w:val="nil"/>
              <w:left w:val="nil"/>
              <w:bottom w:val="nil"/>
              <w:right w:val="nil"/>
            </w:tcBorders>
            <w:shd w:val="clear" w:color="auto" w:fill="D9D9D9" w:themeFill="background1" w:themeFillShade="D9"/>
            <w:noWrap/>
            <w:vAlign w:val="center"/>
            <w:hideMark/>
          </w:tcPr>
          <w:p w14:paraId="6673D1D7" w14:textId="77777777" w:rsidR="00D46A98" w:rsidRDefault="00D46A98" w:rsidP="003D2FE3">
            <w:pPr>
              <w:jc w:val="right"/>
              <w:rPr>
                <w:rFonts w:ascii="Calibri" w:hAnsi="Calibri" w:cs="Arial"/>
                <w:sz w:val="18"/>
                <w:szCs w:val="18"/>
              </w:rPr>
            </w:pPr>
            <w:r>
              <w:rPr>
                <w:rFonts w:ascii="Calibri" w:hAnsi="Calibri" w:cs="Arial"/>
                <w:sz w:val="18"/>
                <w:szCs w:val="18"/>
              </w:rPr>
              <w:t>4 902</w:t>
            </w:r>
          </w:p>
        </w:tc>
        <w:tc>
          <w:tcPr>
            <w:tcW w:w="1984" w:type="dxa"/>
            <w:tcBorders>
              <w:top w:val="nil"/>
              <w:left w:val="nil"/>
              <w:bottom w:val="nil"/>
              <w:right w:val="nil"/>
            </w:tcBorders>
            <w:shd w:val="clear" w:color="auto" w:fill="auto"/>
            <w:noWrap/>
            <w:vAlign w:val="center"/>
            <w:hideMark/>
          </w:tcPr>
          <w:p w14:paraId="04461EB8" w14:textId="77777777" w:rsidR="00D46A98" w:rsidRDefault="00D46A98" w:rsidP="003D2FE3">
            <w:pPr>
              <w:jc w:val="right"/>
              <w:rPr>
                <w:rFonts w:ascii="Calibri" w:hAnsi="Calibri" w:cs="Arial"/>
                <w:sz w:val="18"/>
                <w:szCs w:val="18"/>
              </w:rPr>
            </w:pPr>
            <w:r>
              <w:rPr>
                <w:rFonts w:ascii="Calibri" w:hAnsi="Calibri" w:cs="Arial"/>
                <w:sz w:val="18"/>
                <w:szCs w:val="18"/>
              </w:rPr>
              <w:t>3 575</w:t>
            </w:r>
          </w:p>
        </w:tc>
      </w:tr>
      <w:tr w:rsidR="00D46A98" w14:paraId="5D3D8360"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732FC485" w14:textId="77777777" w:rsidR="00D46A98" w:rsidRDefault="00D46A98" w:rsidP="003D2FE3">
            <w:pPr>
              <w:rPr>
                <w:rFonts w:ascii="Calibri" w:hAnsi="Calibri" w:cs="Arial"/>
                <w:sz w:val="18"/>
                <w:szCs w:val="18"/>
              </w:rPr>
            </w:pPr>
            <w:r>
              <w:rPr>
                <w:rFonts w:ascii="Calibri" w:hAnsi="Calibri" w:cs="Arial"/>
                <w:sz w:val="18"/>
                <w:szCs w:val="18"/>
              </w:rPr>
              <w:t>Koszt własny sprzedaży</w:t>
            </w:r>
          </w:p>
        </w:tc>
        <w:tc>
          <w:tcPr>
            <w:tcW w:w="1985" w:type="dxa"/>
            <w:tcBorders>
              <w:top w:val="nil"/>
              <w:left w:val="nil"/>
              <w:bottom w:val="nil"/>
              <w:right w:val="nil"/>
            </w:tcBorders>
            <w:shd w:val="clear" w:color="auto" w:fill="D9D9D9" w:themeFill="background1" w:themeFillShade="D9"/>
            <w:noWrap/>
            <w:vAlign w:val="center"/>
            <w:hideMark/>
          </w:tcPr>
          <w:p w14:paraId="0A931C4E" w14:textId="77777777" w:rsidR="00D46A98" w:rsidRDefault="00D46A98" w:rsidP="003D2FE3">
            <w:pPr>
              <w:jc w:val="right"/>
              <w:rPr>
                <w:rFonts w:ascii="Calibri" w:hAnsi="Calibri" w:cs="Arial"/>
                <w:sz w:val="18"/>
                <w:szCs w:val="18"/>
              </w:rPr>
            </w:pPr>
            <w:r>
              <w:rPr>
                <w:rFonts w:ascii="Calibri" w:hAnsi="Calibri" w:cs="Arial"/>
                <w:sz w:val="18"/>
                <w:szCs w:val="18"/>
              </w:rPr>
              <w:t>4 679</w:t>
            </w:r>
          </w:p>
        </w:tc>
        <w:tc>
          <w:tcPr>
            <w:tcW w:w="1984" w:type="dxa"/>
            <w:tcBorders>
              <w:top w:val="nil"/>
              <w:left w:val="nil"/>
              <w:bottom w:val="nil"/>
              <w:right w:val="nil"/>
            </w:tcBorders>
            <w:shd w:val="clear" w:color="auto" w:fill="auto"/>
            <w:noWrap/>
            <w:vAlign w:val="center"/>
            <w:hideMark/>
          </w:tcPr>
          <w:p w14:paraId="48B184B9" w14:textId="77777777" w:rsidR="00D46A98" w:rsidRDefault="00D46A98" w:rsidP="003D2FE3">
            <w:pPr>
              <w:jc w:val="right"/>
              <w:rPr>
                <w:rFonts w:ascii="Calibri" w:hAnsi="Calibri" w:cs="Arial"/>
                <w:sz w:val="18"/>
                <w:szCs w:val="18"/>
              </w:rPr>
            </w:pPr>
            <w:r>
              <w:rPr>
                <w:rFonts w:ascii="Calibri" w:hAnsi="Calibri" w:cs="Arial"/>
                <w:sz w:val="18"/>
                <w:szCs w:val="18"/>
              </w:rPr>
              <w:t>3 237</w:t>
            </w:r>
          </w:p>
        </w:tc>
      </w:tr>
      <w:tr w:rsidR="00D46A98" w14:paraId="439C2A6A"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1BE5CF5F" w14:textId="77777777" w:rsidR="00D46A98" w:rsidRDefault="00D46A98" w:rsidP="003D2FE3">
            <w:pPr>
              <w:rPr>
                <w:rFonts w:ascii="Calibri" w:hAnsi="Calibri" w:cs="Arial"/>
                <w:b/>
                <w:bCs/>
                <w:sz w:val="18"/>
                <w:szCs w:val="18"/>
              </w:rPr>
            </w:pPr>
            <w:r>
              <w:rPr>
                <w:rFonts w:ascii="Calibri" w:hAnsi="Calibri" w:cs="Arial"/>
                <w:b/>
                <w:bCs/>
                <w:sz w:val="18"/>
                <w:szCs w:val="18"/>
              </w:rPr>
              <w:t>Wynik na działalności segmentu</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5A512CA7" w14:textId="77777777" w:rsidR="00D46A98" w:rsidRDefault="00D46A98" w:rsidP="003D2FE3">
            <w:pPr>
              <w:jc w:val="right"/>
              <w:rPr>
                <w:rFonts w:ascii="Calibri" w:hAnsi="Calibri" w:cs="Arial"/>
                <w:b/>
                <w:bCs/>
                <w:sz w:val="18"/>
                <w:szCs w:val="18"/>
              </w:rPr>
            </w:pPr>
            <w:r>
              <w:rPr>
                <w:rFonts w:ascii="Calibri" w:hAnsi="Calibri" w:cs="Arial"/>
                <w:b/>
                <w:bCs/>
                <w:sz w:val="18"/>
                <w:szCs w:val="18"/>
              </w:rPr>
              <w:t>223</w:t>
            </w:r>
          </w:p>
        </w:tc>
        <w:tc>
          <w:tcPr>
            <w:tcW w:w="1984" w:type="dxa"/>
            <w:tcBorders>
              <w:top w:val="single" w:sz="4" w:space="0" w:color="auto"/>
              <w:left w:val="nil"/>
              <w:bottom w:val="double" w:sz="6" w:space="0" w:color="auto"/>
              <w:right w:val="nil"/>
            </w:tcBorders>
            <w:shd w:val="clear" w:color="auto" w:fill="auto"/>
            <w:noWrap/>
            <w:vAlign w:val="center"/>
            <w:hideMark/>
          </w:tcPr>
          <w:p w14:paraId="772AE4E5" w14:textId="77777777" w:rsidR="00D46A98" w:rsidRDefault="00D46A98" w:rsidP="003D2FE3">
            <w:pPr>
              <w:jc w:val="right"/>
              <w:rPr>
                <w:rFonts w:ascii="Calibri" w:hAnsi="Calibri" w:cs="Arial"/>
                <w:b/>
                <w:bCs/>
                <w:sz w:val="18"/>
                <w:szCs w:val="18"/>
              </w:rPr>
            </w:pPr>
            <w:r>
              <w:rPr>
                <w:rFonts w:ascii="Calibri" w:hAnsi="Calibri" w:cs="Arial"/>
                <w:b/>
                <w:bCs/>
                <w:sz w:val="18"/>
                <w:szCs w:val="18"/>
              </w:rPr>
              <w:t>338</w:t>
            </w:r>
          </w:p>
        </w:tc>
      </w:tr>
      <w:tr w:rsidR="00D46A98" w14:paraId="3FAB775C"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5913FCD9" w14:textId="77777777" w:rsidR="00D46A98" w:rsidRDefault="00D46A98" w:rsidP="003D2FE3">
            <w:pPr>
              <w:rPr>
                <w:rFonts w:ascii="Calibri" w:hAnsi="Calibri" w:cs="Arial"/>
                <w:b/>
                <w:bCs/>
                <w:sz w:val="18"/>
                <w:szCs w:val="18"/>
              </w:rPr>
            </w:pPr>
            <w:r>
              <w:rPr>
                <w:rFonts w:ascii="Calibri" w:hAnsi="Calibri" w:cs="Arial"/>
                <w:b/>
                <w:bCs/>
                <w:sz w:val="18"/>
                <w:szCs w:val="18"/>
              </w:rPr>
              <w:t>SEGMENT C - OBRÓBKA SKRAWANIEM</w:t>
            </w:r>
          </w:p>
        </w:tc>
        <w:tc>
          <w:tcPr>
            <w:tcW w:w="1985" w:type="dxa"/>
            <w:tcBorders>
              <w:top w:val="nil"/>
              <w:left w:val="nil"/>
              <w:bottom w:val="nil"/>
              <w:right w:val="nil"/>
            </w:tcBorders>
            <w:shd w:val="clear" w:color="auto" w:fill="D9D9D9" w:themeFill="background1" w:themeFillShade="D9"/>
            <w:noWrap/>
            <w:vAlign w:val="center"/>
            <w:hideMark/>
          </w:tcPr>
          <w:p w14:paraId="6ED7F096" w14:textId="77777777" w:rsidR="00D46A98" w:rsidRDefault="00D46A98" w:rsidP="003D2FE3">
            <w:pPr>
              <w:rPr>
                <w:rFonts w:ascii="Calibri" w:hAnsi="Calibri" w:cs="Arial"/>
                <w:b/>
                <w:bCs/>
                <w:sz w:val="18"/>
                <w:szCs w:val="18"/>
              </w:rPr>
            </w:pPr>
            <w:r>
              <w:rPr>
                <w:rFonts w:ascii="Calibri" w:hAnsi="Calibri" w:cs="Arial"/>
                <w:b/>
                <w:bCs/>
                <w:sz w:val="18"/>
                <w:szCs w:val="18"/>
              </w:rPr>
              <w:t> </w:t>
            </w:r>
          </w:p>
        </w:tc>
        <w:tc>
          <w:tcPr>
            <w:tcW w:w="1984" w:type="dxa"/>
            <w:tcBorders>
              <w:top w:val="nil"/>
              <w:left w:val="nil"/>
              <w:bottom w:val="nil"/>
              <w:right w:val="nil"/>
            </w:tcBorders>
            <w:shd w:val="clear" w:color="auto" w:fill="auto"/>
            <w:noWrap/>
            <w:vAlign w:val="center"/>
            <w:hideMark/>
          </w:tcPr>
          <w:p w14:paraId="6D35AFF0" w14:textId="77777777" w:rsidR="00D46A98" w:rsidRDefault="00D46A98" w:rsidP="003D2FE3">
            <w:pPr>
              <w:rPr>
                <w:rFonts w:ascii="Calibri" w:hAnsi="Calibri" w:cs="Arial"/>
                <w:b/>
                <w:bCs/>
                <w:sz w:val="18"/>
                <w:szCs w:val="18"/>
              </w:rPr>
            </w:pPr>
          </w:p>
        </w:tc>
      </w:tr>
      <w:tr w:rsidR="00D46A98" w14:paraId="6E4526D0"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300ED0ED" w14:textId="77777777" w:rsidR="00D46A98" w:rsidRDefault="00D46A98" w:rsidP="003D2FE3">
            <w:pPr>
              <w:rPr>
                <w:rFonts w:ascii="Calibri" w:hAnsi="Calibri" w:cs="Arial"/>
                <w:sz w:val="18"/>
                <w:szCs w:val="18"/>
              </w:rPr>
            </w:pPr>
            <w:r>
              <w:rPr>
                <w:rFonts w:ascii="Calibri" w:hAnsi="Calibri" w:cs="Arial"/>
                <w:sz w:val="18"/>
                <w:szCs w:val="18"/>
              </w:rPr>
              <w:lastRenderedPageBreak/>
              <w:t>Przychody ze sprzedaży</w:t>
            </w:r>
          </w:p>
        </w:tc>
        <w:tc>
          <w:tcPr>
            <w:tcW w:w="1985" w:type="dxa"/>
            <w:tcBorders>
              <w:top w:val="nil"/>
              <w:left w:val="nil"/>
              <w:bottom w:val="nil"/>
              <w:right w:val="nil"/>
            </w:tcBorders>
            <w:shd w:val="clear" w:color="auto" w:fill="D9D9D9" w:themeFill="background1" w:themeFillShade="D9"/>
            <w:noWrap/>
            <w:vAlign w:val="center"/>
            <w:hideMark/>
          </w:tcPr>
          <w:p w14:paraId="4371D908" w14:textId="77777777" w:rsidR="00D46A98" w:rsidRDefault="00D46A98" w:rsidP="003D2FE3">
            <w:pPr>
              <w:jc w:val="right"/>
              <w:rPr>
                <w:rFonts w:ascii="Calibri" w:hAnsi="Calibri" w:cs="Arial"/>
                <w:sz w:val="18"/>
                <w:szCs w:val="18"/>
              </w:rPr>
            </w:pPr>
            <w:r>
              <w:rPr>
                <w:rFonts w:ascii="Calibri" w:hAnsi="Calibri" w:cs="Arial"/>
                <w:sz w:val="18"/>
                <w:szCs w:val="18"/>
              </w:rPr>
              <w:t>1 221</w:t>
            </w:r>
          </w:p>
        </w:tc>
        <w:tc>
          <w:tcPr>
            <w:tcW w:w="1984" w:type="dxa"/>
            <w:tcBorders>
              <w:top w:val="nil"/>
              <w:left w:val="nil"/>
              <w:bottom w:val="nil"/>
              <w:right w:val="nil"/>
            </w:tcBorders>
            <w:shd w:val="clear" w:color="auto" w:fill="auto"/>
            <w:noWrap/>
            <w:vAlign w:val="center"/>
            <w:hideMark/>
          </w:tcPr>
          <w:p w14:paraId="019FE5F2" w14:textId="77777777" w:rsidR="00D46A98" w:rsidRDefault="00D46A98" w:rsidP="003D2FE3">
            <w:pPr>
              <w:jc w:val="right"/>
              <w:rPr>
                <w:rFonts w:ascii="Calibri" w:hAnsi="Calibri" w:cs="Arial"/>
                <w:sz w:val="18"/>
                <w:szCs w:val="18"/>
              </w:rPr>
            </w:pPr>
            <w:r>
              <w:rPr>
                <w:rFonts w:ascii="Calibri" w:hAnsi="Calibri" w:cs="Arial"/>
                <w:sz w:val="18"/>
                <w:szCs w:val="18"/>
              </w:rPr>
              <w:t>1 220</w:t>
            </w:r>
          </w:p>
        </w:tc>
      </w:tr>
      <w:tr w:rsidR="00D46A98" w14:paraId="51FDD683"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6DEEF8B7" w14:textId="77777777" w:rsidR="00D46A98" w:rsidRDefault="00D46A98" w:rsidP="003D2FE3">
            <w:pPr>
              <w:rPr>
                <w:rFonts w:ascii="Calibri" w:hAnsi="Calibri" w:cs="Arial"/>
                <w:sz w:val="18"/>
                <w:szCs w:val="18"/>
              </w:rPr>
            </w:pPr>
            <w:r>
              <w:rPr>
                <w:rFonts w:ascii="Calibri" w:hAnsi="Calibri" w:cs="Arial"/>
                <w:sz w:val="18"/>
                <w:szCs w:val="18"/>
              </w:rPr>
              <w:t>Koszt własny sprzedaży</w:t>
            </w:r>
          </w:p>
        </w:tc>
        <w:tc>
          <w:tcPr>
            <w:tcW w:w="1985" w:type="dxa"/>
            <w:tcBorders>
              <w:top w:val="nil"/>
              <w:left w:val="nil"/>
              <w:bottom w:val="nil"/>
              <w:right w:val="nil"/>
            </w:tcBorders>
            <w:shd w:val="clear" w:color="auto" w:fill="D9D9D9" w:themeFill="background1" w:themeFillShade="D9"/>
            <w:noWrap/>
            <w:vAlign w:val="center"/>
            <w:hideMark/>
          </w:tcPr>
          <w:p w14:paraId="03C8734E" w14:textId="77777777" w:rsidR="00D46A98" w:rsidRDefault="00D46A98" w:rsidP="003D2FE3">
            <w:pPr>
              <w:jc w:val="right"/>
              <w:rPr>
                <w:rFonts w:ascii="Calibri" w:hAnsi="Calibri" w:cs="Arial"/>
                <w:sz w:val="18"/>
                <w:szCs w:val="18"/>
              </w:rPr>
            </w:pPr>
            <w:r>
              <w:rPr>
                <w:rFonts w:ascii="Calibri" w:hAnsi="Calibri" w:cs="Arial"/>
                <w:sz w:val="18"/>
                <w:szCs w:val="18"/>
              </w:rPr>
              <w:t>1 098</w:t>
            </w:r>
          </w:p>
        </w:tc>
        <w:tc>
          <w:tcPr>
            <w:tcW w:w="1984" w:type="dxa"/>
            <w:tcBorders>
              <w:top w:val="nil"/>
              <w:left w:val="nil"/>
              <w:bottom w:val="nil"/>
              <w:right w:val="nil"/>
            </w:tcBorders>
            <w:shd w:val="clear" w:color="auto" w:fill="auto"/>
            <w:noWrap/>
            <w:vAlign w:val="center"/>
            <w:hideMark/>
          </w:tcPr>
          <w:p w14:paraId="3BFC1D53" w14:textId="77777777" w:rsidR="00D46A98" w:rsidRDefault="00D46A98" w:rsidP="003D2FE3">
            <w:pPr>
              <w:jc w:val="right"/>
              <w:rPr>
                <w:rFonts w:ascii="Calibri" w:hAnsi="Calibri" w:cs="Arial"/>
                <w:sz w:val="18"/>
                <w:szCs w:val="18"/>
              </w:rPr>
            </w:pPr>
            <w:r>
              <w:rPr>
                <w:rFonts w:ascii="Calibri" w:hAnsi="Calibri" w:cs="Arial"/>
                <w:sz w:val="18"/>
                <w:szCs w:val="18"/>
              </w:rPr>
              <w:t>1 097</w:t>
            </w:r>
          </w:p>
        </w:tc>
      </w:tr>
      <w:tr w:rsidR="00D46A98" w14:paraId="16B94C69"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121B45DF" w14:textId="77777777" w:rsidR="00D46A98" w:rsidRDefault="00D46A98" w:rsidP="003D2FE3">
            <w:pPr>
              <w:rPr>
                <w:rFonts w:ascii="Calibri" w:hAnsi="Calibri" w:cs="Arial"/>
                <w:b/>
                <w:bCs/>
                <w:sz w:val="18"/>
                <w:szCs w:val="18"/>
              </w:rPr>
            </w:pPr>
            <w:r>
              <w:rPr>
                <w:rFonts w:ascii="Calibri" w:hAnsi="Calibri" w:cs="Arial"/>
                <w:b/>
                <w:bCs/>
                <w:sz w:val="18"/>
                <w:szCs w:val="18"/>
              </w:rPr>
              <w:t>Wynik na działalności segmentu</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3B542D2A" w14:textId="77777777" w:rsidR="00D46A98" w:rsidRDefault="00D46A98" w:rsidP="003D2FE3">
            <w:pPr>
              <w:jc w:val="right"/>
              <w:rPr>
                <w:rFonts w:ascii="Calibri" w:hAnsi="Calibri" w:cs="Arial"/>
                <w:b/>
                <w:bCs/>
                <w:sz w:val="18"/>
                <w:szCs w:val="18"/>
              </w:rPr>
            </w:pPr>
            <w:r>
              <w:rPr>
                <w:rFonts w:ascii="Calibri" w:hAnsi="Calibri" w:cs="Arial"/>
                <w:b/>
                <w:bCs/>
                <w:sz w:val="18"/>
                <w:szCs w:val="18"/>
              </w:rPr>
              <w:t>123</w:t>
            </w:r>
          </w:p>
        </w:tc>
        <w:tc>
          <w:tcPr>
            <w:tcW w:w="1984" w:type="dxa"/>
            <w:tcBorders>
              <w:top w:val="single" w:sz="4" w:space="0" w:color="auto"/>
              <w:left w:val="nil"/>
              <w:bottom w:val="double" w:sz="6" w:space="0" w:color="auto"/>
              <w:right w:val="nil"/>
            </w:tcBorders>
            <w:shd w:val="clear" w:color="auto" w:fill="auto"/>
            <w:noWrap/>
            <w:vAlign w:val="center"/>
            <w:hideMark/>
          </w:tcPr>
          <w:p w14:paraId="27558418" w14:textId="77777777" w:rsidR="00D46A98" w:rsidRDefault="00D46A98" w:rsidP="003D2FE3">
            <w:pPr>
              <w:jc w:val="right"/>
              <w:rPr>
                <w:rFonts w:ascii="Calibri" w:hAnsi="Calibri" w:cs="Arial"/>
                <w:b/>
                <w:bCs/>
                <w:sz w:val="18"/>
                <w:szCs w:val="18"/>
              </w:rPr>
            </w:pPr>
            <w:r>
              <w:rPr>
                <w:rFonts w:ascii="Calibri" w:hAnsi="Calibri" w:cs="Arial"/>
                <w:b/>
                <w:bCs/>
                <w:sz w:val="18"/>
                <w:szCs w:val="18"/>
              </w:rPr>
              <w:t>123</w:t>
            </w:r>
          </w:p>
        </w:tc>
      </w:tr>
      <w:tr w:rsidR="00D46A98" w14:paraId="3E0EF6AA"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5DB51AC1" w14:textId="77777777" w:rsidR="00D46A98" w:rsidRDefault="00D46A98" w:rsidP="003D2FE3">
            <w:pPr>
              <w:jc w:val="right"/>
              <w:rPr>
                <w:rFonts w:ascii="Calibri" w:hAnsi="Calibri" w:cs="Arial"/>
                <w:b/>
                <w:bCs/>
                <w:sz w:val="18"/>
                <w:szCs w:val="18"/>
              </w:rPr>
            </w:pPr>
          </w:p>
        </w:tc>
        <w:tc>
          <w:tcPr>
            <w:tcW w:w="1985" w:type="dxa"/>
            <w:tcBorders>
              <w:top w:val="nil"/>
              <w:left w:val="nil"/>
              <w:bottom w:val="nil"/>
              <w:right w:val="nil"/>
            </w:tcBorders>
            <w:shd w:val="clear" w:color="auto" w:fill="D9D9D9" w:themeFill="background1" w:themeFillShade="D9"/>
            <w:noWrap/>
            <w:vAlign w:val="center"/>
            <w:hideMark/>
          </w:tcPr>
          <w:p w14:paraId="07D04A50" w14:textId="77777777" w:rsidR="00D46A98" w:rsidRDefault="00D46A98" w:rsidP="003D2FE3">
            <w:pPr>
              <w:rPr>
                <w:rFonts w:ascii="Calibri" w:hAnsi="Calibri" w:cs="Arial"/>
                <w:sz w:val="18"/>
                <w:szCs w:val="18"/>
              </w:rPr>
            </w:pPr>
            <w:r>
              <w:rPr>
                <w:rFonts w:ascii="Calibri" w:hAnsi="Calibri" w:cs="Arial"/>
                <w:sz w:val="18"/>
                <w:szCs w:val="18"/>
              </w:rPr>
              <w:t> </w:t>
            </w:r>
          </w:p>
        </w:tc>
        <w:tc>
          <w:tcPr>
            <w:tcW w:w="1984" w:type="dxa"/>
            <w:tcBorders>
              <w:top w:val="nil"/>
              <w:left w:val="nil"/>
              <w:bottom w:val="nil"/>
              <w:right w:val="nil"/>
            </w:tcBorders>
            <w:shd w:val="clear" w:color="auto" w:fill="auto"/>
            <w:noWrap/>
            <w:vAlign w:val="center"/>
            <w:hideMark/>
          </w:tcPr>
          <w:p w14:paraId="5CBF9DA0" w14:textId="77777777" w:rsidR="00D46A98" w:rsidRDefault="00D46A98" w:rsidP="003D2FE3">
            <w:pPr>
              <w:rPr>
                <w:rFonts w:ascii="Calibri" w:hAnsi="Calibri" w:cs="Arial"/>
                <w:sz w:val="18"/>
                <w:szCs w:val="18"/>
              </w:rPr>
            </w:pPr>
          </w:p>
        </w:tc>
      </w:tr>
      <w:tr w:rsidR="00D46A98" w14:paraId="234C6E74"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5F19B50B" w14:textId="77777777" w:rsidR="000A3917" w:rsidRDefault="000A3917" w:rsidP="003D2FE3">
            <w:pPr>
              <w:rPr>
                <w:rFonts w:ascii="Calibri" w:hAnsi="Calibri" w:cs="Arial"/>
                <w:b/>
                <w:bCs/>
                <w:sz w:val="18"/>
                <w:szCs w:val="18"/>
              </w:rPr>
            </w:pPr>
          </w:p>
          <w:p w14:paraId="7843464D" w14:textId="77777777" w:rsidR="00D46A98" w:rsidRDefault="00D46A98" w:rsidP="003D2FE3">
            <w:pPr>
              <w:rPr>
                <w:rFonts w:ascii="Calibri" w:hAnsi="Calibri" w:cs="Arial"/>
                <w:b/>
                <w:bCs/>
                <w:sz w:val="18"/>
                <w:szCs w:val="18"/>
              </w:rPr>
            </w:pPr>
            <w:r>
              <w:rPr>
                <w:rFonts w:ascii="Calibri" w:hAnsi="Calibri" w:cs="Arial"/>
                <w:b/>
                <w:bCs/>
                <w:sz w:val="18"/>
                <w:szCs w:val="18"/>
              </w:rPr>
              <w:t>SEGMENT D - ROBOTY BUDOWLANO-MONTAŻOWE</w:t>
            </w:r>
          </w:p>
        </w:tc>
        <w:tc>
          <w:tcPr>
            <w:tcW w:w="1985" w:type="dxa"/>
            <w:tcBorders>
              <w:top w:val="nil"/>
              <w:left w:val="nil"/>
              <w:bottom w:val="nil"/>
              <w:right w:val="nil"/>
            </w:tcBorders>
            <w:shd w:val="clear" w:color="auto" w:fill="D9D9D9" w:themeFill="background1" w:themeFillShade="D9"/>
            <w:noWrap/>
            <w:vAlign w:val="center"/>
            <w:hideMark/>
          </w:tcPr>
          <w:p w14:paraId="47ECF9F9" w14:textId="77777777" w:rsidR="00D46A98" w:rsidRDefault="00D46A98" w:rsidP="003D2FE3">
            <w:pPr>
              <w:rPr>
                <w:rFonts w:ascii="Calibri" w:hAnsi="Calibri" w:cs="Arial"/>
                <w:b/>
                <w:bCs/>
                <w:sz w:val="18"/>
                <w:szCs w:val="18"/>
              </w:rPr>
            </w:pPr>
            <w:r>
              <w:rPr>
                <w:rFonts w:ascii="Calibri" w:hAnsi="Calibri" w:cs="Arial"/>
                <w:b/>
                <w:bCs/>
                <w:sz w:val="18"/>
                <w:szCs w:val="18"/>
              </w:rPr>
              <w:t> </w:t>
            </w:r>
          </w:p>
        </w:tc>
        <w:tc>
          <w:tcPr>
            <w:tcW w:w="1984" w:type="dxa"/>
            <w:tcBorders>
              <w:top w:val="nil"/>
              <w:left w:val="nil"/>
              <w:bottom w:val="nil"/>
              <w:right w:val="nil"/>
            </w:tcBorders>
            <w:shd w:val="clear" w:color="auto" w:fill="auto"/>
            <w:noWrap/>
            <w:vAlign w:val="center"/>
            <w:hideMark/>
          </w:tcPr>
          <w:p w14:paraId="693EA4FD" w14:textId="77777777" w:rsidR="00D46A98" w:rsidRDefault="00D46A98" w:rsidP="003D2FE3">
            <w:pPr>
              <w:rPr>
                <w:rFonts w:ascii="Calibri" w:hAnsi="Calibri" w:cs="Arial"/>
                <w:b/>
                <w:bCs/>
                <w:sz w:val="18"/>
                <w:szCs w:val="18"/>
              </w:rPr>
            </w:pPr>
          </w:p>
        </w:tc>
      </w:tr>
      <w:tr w:rsidR="00D46A98" w14:paraId="59551B41"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46362B3C" w14:textId="77777777" w:rsidR="00D46A98" w:rsidRDefault="00D46A98" w:rsidP="003D2FE3">
            <w:pPr>
              <w:rPr>
                <w:rFonts w:ascii="Calibri" w:hAnsi="Calibri" w:cs="Arial"/>
                <w:sz w:val="18"/>
                <w:szCs w:val="18"/>
              </w:rPr>
            </w:pPr>
            <w:r>
              <w:rPr>
                <w:rFonts w:ascii="Calibri" w:hAnsi="Calibri" w:cs="Arial"/>
                <w:sz w:val="18"/>
                <w:szCs w:val="18"/>
              </w:rPr>
              <w:t>Przychody ze sprzedaży</w:t>
            </w:r>
          </w:p>
        </w:tc>
        <w:tc>
          <w:tcPr>
            <w:tcW w:w="1985" w:type="dxa"/>
            <w:tcBorders>
              <w:top w:val="nil"/>
              <w:left w:val="nil"/>
              <w:bottom w:val="nil"/>
              <w:right w:val="nil"/>
            </w:tcBorders>
            <w:shd w:val="clear" w:color="auto" w:fill="D9D9D9" w:themeFill="background1" w:themeFillShade="D9"/>
            <w:noWrap/>
            <w:vAlign w:val="center"/>
            <w:hideMark/>
          </w:tcPr>
          <w:p w14:paraId="2725877F" w14:textId="77777777" w:rsidR="00D46A98" w:rsidRDefault="00D46A98" w:rsidP="003D2FE3">
            <w:pPr>
              <w:jc w:val="right"/>
              <w:rPr>
                <w:rFonts w:ascii="Calibri" w:hAnsi="Calibri" w:cs="Arial"/>
                <w:sz w:val="18"/>
                <w:szCs w:val="18"/>
              </w:rPr>
            </w:pPr>
            <w:r>
              <w:rPr>
                <w:rFonts w:ascii="Calibri" w:hAnsi="Calibri" w:cs="Arial"/>
                <w:sz w:val="18"/>
                <w:szCs w:val="18"/>
              </w:rPr>
              <w:t>17 631</w:t>
            </w:r>
          </w:p>
        </w:tc>
        <w:tc>
          <w:tcPr>
            <w:tcW w:w="1984" w:type="dxa"/>
            <w:tcBorders>
              <w:top w:val="nil"/>
              <w:left w:val="nil"/>
              <w:bottom w:val="nil"/>
              <w:right w:val="nil"/>
            </w:tcBorders>
            <w:shd w:val="clear" w:color="auto" w:fill="auto"/>
            <w:noWrap/>
            <w:vAlign w:val="center"/>
            <w:hideMark/>
          </w:tcPr>
          <w:p w14:paraId="65CBDFC9" w14:textId="77777777" w:rsidR="00D46A98" w:rsidRDefault="00D46A98" w:rsidP="003D2FE3">
            <w:pPr>
              <w:jc w:val="right"/>
              <w:rPr>
                <w:rFonts w:ascii="Calibri" w:hAnsi="Calibri" w:cs="Arial"/>
                <w:sz w:val="18"/>
                <w:szCs w:val="18"/>
              </w:rPr>
            </w:pPr>
            <w:r>
              <w:rPr>
                <w:rFonts w:ascii="Calibri" w:hAnsi="Calibri" w:cs="Arial"/>
                <w:sz w:val="18"/>
                <w:szCs w:val="18"/>
              </w:rPr>
              <w:t>32 639</w:t>
            </w:r>
          </w:p>
        </w:tc>
      </w:tr>
      <w:tr w:rsidR="00D46A98" w14:paraId="22CBF0EB"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31036268" w14:textId="77777777" w:rsidR="00D46A98" w:rsidRDefault="00D46A98" w:rsidP="003D2FE3">
            <w:pPr>
              <w:rPr>
                <w:rFonts w:ascii="Calibri" w:hAnsi="Calibri" w:cs="Arial"/>
                <w:sz w:val="18"/>
                <w:szCs w:val="18"/>
              </w:rPr>
            </w:pPr>
            <w:r>
              <w:rPr>
                <w:rFonts w:ascii="Calibri" w:hAnsi="Calibri" w:cs="Arial"/>
                <w:sz w:val="18"/>
                <w:szCs w:val="18"/>
              </w:rPr>
              <w:t>Koszt własny sprzedaży</w:t>
            </w:r>
          </w:p>
        </w:tc>
        <w:tc>
          <w:tcPr>
            <w:tcW w:w="1985" w:type="dxa"/>
            <w:tcBorders>
              <w:top w:val="nil"/>
              <w:left w:val="nil"/>
              <w:bottom w:val="nil"/>
              <w:right w:val="nil"/>
            </w:tcBorders>
            <w:shd w:val="clear" w:color="auto" w:fill="D9D9D9" w:themeFill="background1" w:themeFillShade="D9"/>
            <w:noWrap/>
            <w:vAlign w:val="center"/>
            <w:hideMark/>
          </w:tcPr>
          <w:p w14:paraId="69E308CB" w14:textId="77777777" w:rsidR="00D46A98" w:rsidRDefault="00D46A98" w:rsidP="003D2FE3">
            <w:pPr>
              <w:jc w:val="right"/>
              <w:rPr>
                <w:rFonts w:ascii="Calibri" w:hAnsi="Calibri" w:cs="Arial"/>
                <w:sz w:val="18"/>
                <w:szCs w:val="18"/>
              </w:rPr>
            </w:pPr>
            <w:r>
              <w:rPr>
                <w:rFonts w:ascii="Calibri" w:hAnsi="Calibri" w:cs="Arial"/>
                <w:sz w:val="18"/>
                <w:szCs w:val="18"/>
              </w:rPr>
              <w:t>15 437</w:t>
            </w:r>
          </w:p>
        </w:tc>
        <w:tc>
          <w:tcPr>
            <w:tcW w:w="1984" w:type="dxa"/>
            <w:tcBorders>
              <w:top w:val="nil"/>
              <w:left w:val="nil"/>
              <w:bottom w:val="nil"/>
              <w:right w:val="nil"/>
            </w:tcBorders>
            <w:shd w:val="clear" w:color="auto" w:fill="auto"/>
            <w:noWrap/>
            <w:vAlign w:val="center"/>
            <w:hideMark/>
          </w:tcPr>
          <w:p w14:paraId="45D54BDB" w14:textId="77777777" w:rsidR="00D46A98" w:rsidRDefault="00D46A98" w:rsidP="003D2FE3">
            <w:pPr>
              <w:jc w:val="right"/>
              <w:rPr>
                <w:rFonts w:ascii="Calibri" w:hAnsi="Calibri" w:cs="Arial"/>
                <w:sz w:val="18"/>
                <w:szCs w:val="18"/>
              </w:rPr>
            </w:pPr>
            <w:r>
              <w:rPr>
                <w:rFonts w:ascii="Calibri" w:hAnsi="Calibri" w:cs="Arial"/>
                <w:sz w:val="18"/>
                <w:szCs w:val="18"/>
              </w:rPr>
              <w:t>28 914</w:t>
            </w:r>
          </w:p>
        </w:tc>
      </w:tr>
      <w:tr w:rsidR="00D46A98" w14:paraId="6486E712"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04E6317B" w14:textId="77777777" w:rsidR="00D46A98" w:rsidRDefault="00D46A98" w:rsidP="003D2FE3">
            <w:pPr>
              <w:rPr>
                <w:rFonts w:ascii="Calibri" w:hAnsi="Calibri" w:cs="Arial"/>
                <w:b/>
                <w:bCs/>
                <w:sz w:val="18"/>
                <w:szCs w:val="18"/>
              </w:rPr>
            </w:pPr>
            <w:r>
              <w:rPr>
                <w:rFonts w:ascii="Calibri" w:hAnsi="Calibri" w:cs="Arial"/>
                <w:b/>
                <w:bCs/>
                <w:sz w:val="18"/>
                <w:szCs w:val="18"/>
              </w:rPr>
              <w:t>Wynik na działalności segmentu</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0E04E173" w14:textId="77777777" w:rsidR="00D46A98" w:rsidRDefault="00D46A98" w:rsidP="003D2FE3">
            <w:pPr>
              <w:jc w:val="right"/>
              <w:rPr>
                <w:rFonts w:ascii="Calibri" w:hAnsi="Calibri" w:cs="Arial"/>
                <w:b/>
                <w:bCs/>
                <w:sz w:val="18"/>
                <w:szCs w:val="18"/>
              </w:rPr>
            </w:pPr>
            <w:r>
              <w:rPr>
                <w:rFonts w:ascii="Calibri" w:hAnsi="Calibri" w:cs="Arial"/>
                <w:b/>
                <w:bCs/>
                <w:sz w:val="18"/>
                <w:szCs w:val="18"/>
              </w:rPr>
              <w:t>2 194</w:t>
            </w:r>
          </w:p>
        </w:tc>
        <w:tc>
          <w:tcPr>
            <w:tcW w:w="1984" w:type="dxa"/>
            <w:tcBorders>
              <w:top w:val="single" w:sz="4" w:space="0" w:color="auto"/>
              <w:left w:val="nil"/>
              <w:bottom w:val="double" w:sz="6" w:space="0" w:color="auto"/>
              <w:right w:val="nil"/>
            </w:tcBorders>
            <w:shd w:val="clear" w:color="auto" w:fill="auto"/>
            <w:noWrap/>
            <w:vAlign w:val="center"/>
            <w:hideMark/>
          </w:tcPr>
          <w:p w14:paraId="6C49C13B" w14:textId="77777777" w:rsidR="00D46A98" w:rsidRDefault="00D46A98" w:rsidP="003D2FE3">
            <w:pPr>
              <w:jc w:val="right"/>
              <w:rPr>
                <w:rFonts w:ascii="Calibri" w:hAnsi="Calibri" w:cs="Arial"/>
                <w:b/>
                <w:bCs/>
                <w:sz w:val="18"/>
                <w:szCs w:val="18"/>
              </w:rPr>
            </w:pPr>
            <w:r>
              <w:rPr>
                <w:rFonts w:ascii="Calibri" w:hAnsi="Calibri" w:cs="Arial"/>
                <w:b/>
                <w:bCs/>
                <w:sz w:val="18"/>
                <w:szCs w:val="18"/>
              </w:rPr>
              <w:t>3 725</w:t>
            </w:r>
          </w:p>
        </w:tc>
      </w:tr>
      <w:tr w:rsidR="00D46A98" w14:paraId="03AFF765"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265B9A72" w14:textId="77777777" w:rsidR="00D46A98" w:rsidRDefault="00D46A98" w:rsidP="003D2FE3">
            <w:pPr>
              <w:rPr>
                <w:rFonts w:ascii="Calibri" w:hAnsi="Calibri" w:cs="Arial"/>
                <w:b/>
                <w:bCs/>
                <w:sz w:val="18"/>
                <w:szCs w:val="18"/>
              </w:rPr>
            </w:pPr>
            <w:r>
              <w:rPr>
                <w:rFonts w:ascii="Calibri" w:hAnsi="Calibri" w:cs="Arial"/>
                <w:b/>
                <w:bCs/>
                <w:sz w:val="18"/>
                <w:szCs w:val="18"/>
              </w:rPr>
              <w:t xml:space="preserve">SEGMENT E - POZOSTAŁE </w:t>
            </w:r>
          </w:p>
        </w:tc>
        <w:tc>
          <w:tcPr>
            <w:tcW w:w="1985" w:type="dxa"/>
            <w:tcBorders>
              <w:top w:val="nil"/>
              <w:left w:val="nil"/>
              <w:bottom w:val="nil"/>
              <w:right w:val="nil"/>
            </w:tcBorders>
            <w:shd w:val="clear" w:color="auto" w:fill="D9D9D9" w:themeFill="background1" w:themeFillShade="D9"/>
            <w:noWrap/>
            <w:vAlign w:val="center"/>
            <w:hideMark/>
          </w:tcPr>
          <w:p w14:paraId="2340D963" w14:textId="77777777" w:rsidR="00D46A98" w:rsidRDefault="00D46A98" w:rsidP="003D2FE3">
            <w:pPr>
              <w:rPr>
                <w:rFonts w:ascii="Calibri" w:hAnsi="Calibri" w:cs="Arial"/>
                <w:b/>
                <w:bCs/>
                <w:sz w:val="18"/>
                <w:szCs w:val="18"/>
              </w:rPr>
            </w:pPr>
            <w:r>
              <w:rPr>
                <w:rFonts w:ascii="Calibri" w:hAnsi="Calibri" w:cs="Arial"/>
                <w:b/>
                <w:bCs/>
                <w:sz w:val="18"/>
                <w:szCs w:val="18"/>
              </w:rPr>
              <w:t> </w:t>
            </w:r>
          </w:p>
        </w:tc>
        <w:tc>
          <w:tcPr>
            <w:tcW w:w="1984" w:type="dxa"/>
            <w:tcBorders>
              <w:top w:val="nil"/>
              <w:left w:val="nil"/>
              <w:bottom w:val="nil"/>
              <w:right w:val="nil"/>
            </w:tcBorders>
            <w:shd w:val="clear" w:color="auto" w:fill="auto"/>
            <w:noWrap/>
            <w:vAlign w:val="center"/>
            <w:hideMark/>
          </w:tcPr>
          <w:p w14:paraId="09E079DE" w14:textId="77777777" w:rsidR="00D46A98" w:rsidRDefault="00D46A98" w:rsidP="003D2FE3">
            <w:pPr>
              <w:rPr>
                <w:rFonts w:ascii="Calibri" w:hAnsi="Calibri" w:cs="Arial"/>
                <w:b/>
                <w:bCs/>
                <w:sz w:val="18"/>
                <w:szCs w:val="18"/>
              </w:rPr>
            </w:pPr>
          </w:p>
        </w:tc>
      </w:tr>
      <w:tr w:rsidR="00D46A98" w14:paraId="2B700760"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10B28495" w14:textId="77777777" w:rsidR="00D46A98" w:rsidRDefault="00D46A98" w:rsidP="003D2FE3">
            <w:pPr>
              <w:rPr>
                <w:rFonts w:ascii="Calibri" w:hAnsi="Calibri" w:cs="Arial"/>
                <w:sz w:val="18"/>
                <w:szCs w:val="18"/>
              </w:rPr>
            </w:pPr>
            <w:r>
              <w:rPr>
                <w:rFonts w:ascii="Calibri" w:hAnsi="Calibri" w:cs="Arial"/>
                <w:sz w:val="18"/>
                <w:szCs w:val="18"/>
              </w:rPr>
              <w:t>Przychody ze sprzedaży</w:t>
            </w:r>
          </w:p>
        </w:tc>
        <w:tc>
          <w:tcPr>
            <w:tcW w:w="1985" w:type="dxa"/>
            <w:tcBorders>
              <w:top w:val="nil"/>
              <w:left w:val="nil"/>
              <w:bottom w:val="nil"/>
              <w:right w:val="nil"/>
            </w:tcBorders>
            <w:shd w:val="clear" w:color="auto" w:fill="D9D9D9" w:themeFill="background1" w:themeFillShade="D9"/>
            <w:noWrap/>
            <w:vAlign w:val="center"/>
            <w:hideMark/>
          </w:tcPr>
          <w:p w14:paraId="2B950605" w14:textId="77777777" w:rsidR="00D46A98" w:rsidRDefault="00D46A98" w:rsidP="003D2FE3">
            <w:pPr>
              <w:jc w:val="right"/>
              <w:rPr>
                <w:rFonts w:ascii="Calibri" w:hAnsi="Calibri" w:cs="Arial"/>
                <w:sz w:val="18"/>
                <w:szCs w:val="18"/>
              </w:rPr>
            </w:pPr>
            <w:r>
              <w:rPr>
                <w:rFonts w:ascii="Calibri" w:hAnsi="Calibri" w:cs="Arial"/>
                <w:sz w:val="18"/>
                <w:szCs w:val="18"/>
              </w:rPr>
              <w:t>493</w:t>
            </w:r>
          </w:p>
        </w:tc>
        <w:tc>
          <w:tcPr>
            <w:tcW w:w="1984" w:type="dxa"/>
            <w:tcBorders>
              <w:top w:val="nil"/>
              <w:left w:val="nil"/>
              <w:bottom w:val="nil"/>
              <w:right w:val="nil"/>
            </w:tcBorders>
            <w:shd w:val="clear" w:color="auto" w:fill="auto"/>
            <w:noWrap/>
            <w:vAlign w:val="center"/>
            <w:hideMark/>
          </w:tcPr>
          <w:p w14:paraId="0F14C902" w14:textId="77777777" w:rsidR="00D46A98" w:rsidRDefault="00D46A98" w:rsidP="003D2FE3">
            <w:pPr>
              <w:jc w:val="right"/>
              <w:rPr>
                <w:rFonts w:ascii="Calibri" w:hAnsi="Calibri" w:cs="Arial"/>
                <w:sz w:val="18"/>
                <w:szCs w:val="18"/>
              </w:rPr>
            </w:pPr>
            <w:r>
              <w:rPr>
                <w:rFonts w:ascii="Calibri" w:hAnsi="Calibri" w:cs="Arial"/>
                <w:sz w:val="18"/>
                <w:szCs w:val="18"/>
              </w:rPr>
              <w:t>425</w:t>
            </w:r>
          </w:p>
        </w:tc>
      </w:tr>
      <w:tr w:rsidR="00D46A98" w14:paraId="0998DFDB"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03D7C9D1" w14:textId="77777777" w:rsidR="00D46A98" w:rsidRDefault="00D46A98" w:rsidP="003D2FE3">
            <w:pPr>
              <w:rPr>
                <w:rFonts w:ascii="Calibri" w:hAnsi="Calibri" w:cs="Arial"/>
                <w:sz w:val="18"/>
                <w:szCs w:val="18"/>
              </w:rPr>
            </w:pPr>
            <w:r>
              <w:rPr>
                <w:rFonts w:ascii="Calibri" w:hAnsi="Calibri" w:cs="Arial"/>
                <w:sz w:val="18"/>
                <w:szCs w:val="18"/>
              </w:rPr>
              <w:t>Koszt własny sprzedaży</w:t>
            </w:r>
          </w:p>
        </w:tc>
        <w:tc>
          <w:tcPr>
            <w:tcW w:w="1985" w:type="dxa"/>
            <w:tcBorders>
              <w:top w:val="nil"/>
              <w:left w:val="nil"/>
              <w:bottom w:val="nil"/>
              <w:right w:val="nil"/>
            </w:tcBorders>
            <w:shd w:val="clear" w:color="auto" w:fill="D9D9D9" w:themeFill="background1" w:themeFillShade="D9"/>
            <w:noWrap/>
            <w:vAlign w:val="center"/>
            <w:hideMark/>
          </w:tcPr>
          <w:p w14:paraId="08660589" w14:textId="77777777" w:rsidR="00D46A98" w:rsidRDefault="00D46A98" w:rsidP="003D2FE3">
            <w:pPr>
              <w:jc w:val="right"/>
              <w:rPr>
                <w:rFonts w:ascii="Calibri" w:hAnsi="Calibri" w:cs="Arial"/>
                <w:sz w:val="18"/>
                <w:szCs w:val="18"/>
              </w:rPr>
            </w:pPr>
            <w:r>
              <w:rPr>
                <w:rFonts w:ascii="Calibri" w:hAnsi="Calibri" w:cs="Arial"/>
                <w:sz w:val="18"/>
                <w:szCs w:val="18"/>
              </w:rPr>
              <w:t>176</w:t>
            </w:r>
          </w:p>
        </w:tc>
        <w:tc>
          <w:tcPr>
            <w:tcW w:w="1984" w:type="dxa"/>
            <w:tcBorders>
              <w:top w:val="nil"/>
              <w:left w:val="nil"/>
              <w:bottom w:val="nil"/>
              <w:right w:val="nil"/>
            </w:tcBorders>
            <w:shd w:val="clear" w:color="auto" w:fill="auto"/>
            <w:noWrap/>
            <w:vAlign w:val="center"/>
            <w:hideMark/>
          </w:tcPr>
          <w:p w14:paraId="4CEF0B7F" w14:textId="77777777" w:rsidR="00D46A98" w:rsidRDefault="00D46A98" w:rsidP="003D2FE3">
            <w:pPr>
              <w:jc w:val="right"/>
              <w:rPr>
                <w:rFonts w:ascii="Calibri" w:hAnsi="Calibri" w:cs="Arial"/>
                <w:sz w:val="18"/>
                <w:szCs w:val="18"/>
              </w:rPr>
            </w:pPr>
            <w:r>
              <w:rPr>
                <w:rFonts w:ascii="Calibri" w:hAnsi="Calibri" w:cs="Arial"/>
                <w:sz w:val="18"/>
                <w:szCs w:val="18"/>
              </w:rPr>
              <w:t>238</w:t>
            </w:r>
          </w:p>
        </w:tc>
      </w:tr>
      <w:tr w:rsidR="00D46A98" w14:paraId="217BF244"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48D08A6F" w14:textId="77777777" w:rsidR="00D46A98" w:rsidRDefault="00D46A98" w:rsidP="003D2FE3">
            <w:pPr>
              <w:rPr>
                <w:rFonts w:ascii="Calibri" w:hAnsi="Calibri" w:cs="Arial"/>
                <w:b/>
                <w:bCs/>
                <w:sz w:val="18"/>
                <w:szCs w:val="18"/>
              </w:rPr>
            </w:pPr>
            <w:r>
              <w:rPr>
                <w:rFonts w:ascii="Calibri" w:hAnsi="Calibri" w:cs="Arial"/>
                <w:b/>
                <w:bCs/>
                <w:sz w:val="18"/>
                <w:szCs w:val="18"/>
              </w:rPr>
              <w:t>Wynik na działalności segmentu</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035B8ECF" w14:textId="77777777" w:rsidR="00D46A98" w:rsidRDefault="00D46A98" w:rsidP="003D2FE3">
            <w:pPr>
              <w:jc w:val="right"/>
              <w:rPr>
                <w:rFonts w:ascii="Calibri" w:hAnsi="Calibri" w:cs="Arial"/>
                <w:b/>
                <w:bCs/>
                <w:sz w:val="18"/>
                <w:szCs w:val="18"/>
              </w:rPr>
            </w:pPr>
            <w:r>
              <w:rPr>
                <w:rFonts w:ascii="Calibri" w:hAnsi="Calibri" w:cs="Arial"/>
                <w:b/>
                <w:bCs/>
                <w:sz w:val="18"/>
                <w:szCs w:val="18"/>
              </w:rPr>
              <w:t>317</w:t>
            </w:r>
          </w:p>
        </w:tc>
        <w:tc>
          <w:tcPr>
            <w:tcW w:w="1984" w:type="dxa"/>
            <w:tcBorders>
              <w:top w:val="single" w:sz="4" w:space="0" w:color="auto"/>
              <w:left w:val="nil"/>
              <w:bottom w:val="double" w:sz="6" w:space="0" w:color="auto"/>
              <w:right w:val="nil"/>
            </w:tcBorders>
            <w:shd w:val="clear" w:color="auto" w:fill="auto"/>
            <w:noWrap/>
            <w:vAlign w:val="center"/>
            <w:hideMark/>
          </w:tcPr>
          <w:p w14:paraId="6A823D70" w14:textId="77777777" w:rsidR="00D46A98" w:rsidRDefault="00D46A98" w:rsidP="003D2FE3">
            <w:pPr>
              <w:jc w:val="right"/>
              <w:rPr>
                <w:rFonts w:ascii="Calibri" w:hAnsi="Calibri" w:cs="Arial"/>
                <w:b/>
                <w:bCs/>
                <w:sz w:val="18"/>
                <w:szCs w:val="18"/>
              </w:rPr>
            </w:pPr>
            <w:r>
              <w:rPr>
                <w:rFonts w:ascii="Calibri" w:hAnsi="Calibri" w:cs="Arial"/>
                <w:b/>
                <w:bCs/>
                <w:sz w:val="18"/>
                <w:szCs w:val="18"/>
              </w:rPr>
              <w:t>187</w:t>
            </w:r>
          </w:p>
        </w:tc>
      </w:tr>
      <w:tr w:rsidR="00D46A98" w14:paraId="047BBAB0"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2B09E8DB" w14:textId="77777777" w:rsidR="00D46A98" w:rsidRDefault="00D46A98" w:rsidP="003D2FE3">
            <w:pPr>
              <w:rPr>
                <w:rFonts w:ascii="Calibri" w:hAnsi="Calibri" w:cs="Arial"/>
                <w:sz w:val="18"/>
                <w:szCs w:val="18"/>
              </w:rPr>
            </w:pPr>
            <w:r>
              <w:rPr>
                <w:rFonts w:ascii="Calibri" w:hAnsi="Calibri" w:cs="Arial"/>
                <w:sz w:val="18"/>
                <w:szCs w:val="18"/>
              </w:rPr>
              <w:t>Przychody ze sprzedaży towarów i materiałów</w:t>
            </w:r>
          </w:p>
        </w:tc>
        <w:tc>
          <w:tcPr>
            <w:tcW w:w="1985" w:type="dxa"/>
            <w:tcBorders>
              <w:top w:val="nil"/>
              <w:left w:val="nil"/>
              <w:bottom w:val="nil"/>
              <w:right w:val="nil"/>
            </w:tcBorders>
            <w:shd w:val="clear" w:color="auto" w:fill="D9D9D9" w:themeFill="background1" w:themeFillShade="D9"/>
            <w:noWrap/>
            <w:vAlign w:val="center"/>
            <w:hideMark/>
          </w:tcPr>
          <w:p w14:paraId="3636DE58" w14:textId="77777777" w:rsidR="00D46A98" w:rsidRDefault="00D46A98" w:rsidP="003D2FE3">
            <w:pPr>
              <w:jc w:val="right"/>
              <w:rPr>
                <w:rFonts w:ascii="Calibri" w:hAnsi="Calibri" w:cs="Arial"/>
                <w:sz w:val="18"/>
                <w:szCs w:val="18"/>
              </w:rPr>
            </w:pPr>
            <w:r>
              <w:rPr>
                <w:rFonts w:ascii="Calibri" w:hAnsi="Calibri" w:cs="Arial"/>
                <w:sz w:val="18"/>
                <w:szCs w:val="18"/>
              </w:rPr>
              <w:t>20</w:t>
            </w:r>
          </w:p>
        </w:tc>
        <w:tc>
          <w:tcPr>
            <w:tcW w:w="1984" w:type="dxa"/>
            <w:tcBorders>
              <w:top w:val="nil"/>
              <w:left w:val="nil"/>
              <w:bottom w:val="nil"/>
              <w:right w:val="nil"/>
            </w:tcBorders>
            <w:shd w:val="clear" w:color="auto" w:fill="auto"/>
            <w:noWrap/>
            <w:vAlign w:val="center"/>
            <w:hideMark/>
          </w:tcPr>
          <w:p w14:paraId="71FCA610" w14:textId="77777777" w:rsidR="00D46A98" w:rsidRDefault="00D46A98" w:rsidP="003D2FE3">
            <w:pPr>
              <w:jc w:val="right"/>
              <w:rPr>
                <w:rFonts w:ascii="Calibri" w:hAnsi="Calibri" w:cs="Arial"/>
                <w:sz w:val="18"/>
                <w:szCs w:val="18"/>
              </w:rPr>
            </w:pPr>
            <w:r>
              <w:rPr>
                <w:rFonts w:ascii="Calibri" w:hAnsi="Calibri" w:cs="Arial"/>
                <w:sz w:val="18"/>
                <w:szCs w:val="18"/>
              </w:rPr>
              <w:t>43</w:t>
            </w:r>
          </w:p>
        </w:tc>
      </w:tr>
      <w:tr w:rsidR="00D46A98" w14:paraId="3F2AC1CE"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19B5A39E" w14:textId="77777777" w:rsidR="00D46A98" w:rsidRDefault="00D46A98" w:rsidP="003D2FE3">
            <w:pPr>
              <w:rPr>
                <w:rFonts w:ascii="Calibri" w:hAnsi="Calibri" w:cs="Arial"/>
                <w:sz w:val="18"/>
                <w:szCs w:val="18"/>
              </w:rPr>
            </w:pPr>
            <w:r>
              <w:rPr>
                <w:rFonts w:ascii="Calibri" w:hAnsi="Calibri" w:cs="Arial"/>
                <w:sz w:val="18"/>
                <w:szCs w:val="18"/>
              </w:rPr>
              <w:t>Koszt własny sprzedaży towarów i materiałów</w:t>
            </w:r>
          </w:p>
        </w:tc>
        <w:tc>
          <w:tcPr>
            <w:tcW w:w="1985" w:type="dxa"/>
            <w:tcBorders>
              <w:top w:val="nil"/>
              <w:left w:val="nil"/>
              <w:bottom w:val="nil"/>
              <w:right w:val="nil"/>
            </w:tcBorders>
            <w:shd w:val="clear" w:color="auto" w:fill="D9D9D9" w:themeFill="background1" w:themeFillShade="D9"/>
            <w:noWrap/>
            <w:vAlign w:val="center"/>
            <w:hideMark/>
          </w:tcPr>
          <w:p w14:paraId="6852A848" w14:textId="77777777" w:rsidR="00D46A98" w:rsidRDefault="00D46A98" w:rsidP="003D2FE3">
            <w:pPr>
              <w:jc w:val="right"/>
              <w:rPr>
                <w:rFonts w:ascii="Calibri" w:hAnsi="Calibri" w:cs="Arial"/>
                <w:sz w:val="18"/>
                <w:szCs w:val="18"/>
              </w:rPr>
            </w:pPr>
            <w:r>
              <w:rPr>
                <w:rFonts w:ascii="Calibri" w:hAnsi="Calibri" w:cs="Arial"/>
                <w:sz w:val="18"/>
                <w:szCs w:val="18"/>
              </w:rPr>
              <w:t>17</w:t>
            </w:r>
          </w:p>
        </w:tc>
        <w:tc>
          <w:tcPr>
            <w:tcW w:w="1984" w:type="dxa"/>
            <w:tcBorders>
              <w:top w:val="nil"/>
              <w:left w:val="nil"/>
              <w:bottom w:val="nil"/>
              <w:right w:val="nil"/>
            </w:tcBorders>
            <w:shd w:val="clear" w:color="auto" w:fill="auto"/>
            <w:noWrap/>
            <w:vAlign w:val="center"/>
            <w:hideMark/>
          </w:tcPr>
          <w:p w14:paraId="460EC1B9" w14:textId="77777777" w:rsidR="00D46A98" w:rsidRDefault="00D46A98" w:rsidP="003D2FE3">
            <w:pPr>
              <w:jc w:val="right"/>
              <w:rPr>
                <w:rFonts w:ascii="Calibri" w:hAnsi="Calibri" w:cs="Arial"/>
                <w:sz w:val="18"/>
                <w:szCs w:val="18"/>
              </w:rPr>
            </w:pPr>
            <w:r>
              <w:rPr>
                <w:rFonts w:ascii="Calibri" w:hAnsi="Calibri" w:cs="Arial"/>
                <w:sz w:val="18"/>
                <w:szCs w:val="18"/>
              </w:rPr>
              <w:t>0</w:t>
            </w:r>
          </w:p>
        </w:tc>
      </w:tr>
      <w:tr w:rsidR="00D46A98" w14:paraId="296A3EF3"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6659CF61" w14:textId="77777777" w:rsidR="00D46A98" w:rsidRDefault="00D46A98" w:rsidP="003D2FE3">
            <w:pPr>
              <w:rPr>
                <w:rFonts w:ascii="Calibri" w:hAnsi="Calibri" w:cs="Arial"/>
                <w:b/>
                <w:bCs/>
                <w:sz w:val="18"/>
                <w:szCs w:val="18"/>
              </w:rPr>
            </w:pPr>
            <w:r>
              <w:rPr>
                <w:rFonts w:ascii="Calibri" w:hAnsi="Calibri" w:cs="Arial"/>
                <w:b/>
                <w:bCs/>
                <w:sz w:val="18"/>
                <w:szCs w:val="18"/>
              </w:rPr>
              <w:t>Wynik na sprzedaży towarów i materiałów</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1E75AA63" w14:textId="77777777" w:rsidR="00D46A98" w:rsidRDefault="00D46A98" w:rsidP="003D2FE3">
            <w:pPr>
              <w:jc w:val="right"/>
              <w:rPr>
                <w:rFonts w:ascii="Calibri" w:hAnsi="Calibri" w:cs="Arial"/>
                <w:b/>
                <w:bCs/>
                <w:sz w:val="18"/>
                <w:szCs w:val="18"/>
              </w:rPr>
            </w:pPr>
            <w:r>
              <w:rPr>
                <w:rFonts w:ascii="Calibri" w:hAnsi="Calibri" w:cs="Arial"/>
                <w:b/>
                <w:bCs/>
                <w:sz w:val="18"/>
                <w:szCs w:val="18"/>
              </w:rPr>
              <w:t>3</w:t>
            </w:r>
          </w:p>
        </w:tc>
        <w:tc>
          <w:tcPr>
            <w:tcW w:w="1984" w:type="dxa"/>
            <w:tcBorders>
              <w:top w:val="single" w:sz="4" w:space="0" w:color="auto"/>
              <w:left w:val="nil"/>
              <w:bottom w:val="double" w:sz="6" w:space="0" w:color="auto"/>
              <w:right w:val="nil"/>
            </w:tcBorders>
            <w:shd w:val="clear" w:color="auto" w:fill="auto"/>
            <w:noWrap/>
            <w:vAlign w:val="center"/>
            <w:hideMark/>
          </w:tcPr>
          <w:p w14:paraId="23164BE4" w14:textId="77777777" w:rsidR="00D46A98" w:rsidRDefault="00D46A98" w:rsidP="003D2FE3">
            <w:pPr>
              <w:jc w:val="right"/>
              <w:rPr>
                <w:rFonts w:ascii="Calibri" w:hAnsi="Calibri" w:cs="Arial"/>
                <w:b/>
                <w:bCs/>
                <w:sz w:val="18"/>
                <w:szCs w:val="18"/>
              </w:rPr>
            </w:pPr>
            <w:r>
              <w:rPr>
                <w:rFonts w:ascii="Calibri" w:hAnsi="Calibri" w:cs="Arial"/>
                <w:b/>
                <w:bCs/>
                <w:sz w:val="18"/>
                <w:szCs w:val="18"/>
              </w:rPr>
              <w:t>43</w:t>
            </w:r>
          </w:p>
        </w:tc>
      </w:tr>
      <w:tr w:rsidR="00D46A98" w14:paraId="62A019DF"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6BFDB0F0" w14:textId="77777777" w:rsidR="00D46A98" w:rsidRDefault="00D46A98" w:rsidP="003D2FE3">
            <w:pPr>
              <w:rPr>
                <w:rFonts w:ascii="Calibri" w:hAnsi="Calibri" w:cs="Arial"/>
                <w:sz w:val="18"/>
                <w:szCs w:val="18"/>
              </w:rPr>
            </w:pPr>
            <w:r>
              <w:rPr>
                <w:rFonts w:ascii="Calibri" w:hAnsi="Calibri" w:cs="Arial"/>
                <w:sz w:val="18"/>
                <w:szCs w:val="18"/>
              </w:rPr>
              <w:t>Razem przychody</w:t>
            </w:r>
          </w:p>
        </w:tc>
        <w:tc>
          <w:tcPr>
            <w:tcW w:w="1985" w:type="dxa"/>
            <w:tcBorders>
              <w:top w:val="nil"/>
              <w:left w:val="nil"/>
              <w:bottom w:val="nil"/>
              <w:right w:val="nil"/>
            </w:tcBorders>
            <w:shd w:val="clear" w:color="auto" w:fill="D9D9D9" w:themeFill="background1" w:themeFillShade="D9"/>
            <w:noWrap/>
            <w:vAlign w:val="center"/>
            <w:hideMark/>
          </w:tcPr>
          <w:p w14:paraId="7E79DE05" w14:textId="77777777" w:rsidR="00D46A98" w:rsidRDefault="00D46A98" w:rsidP="003D2FE3">
            <w:pPr>
              <w:jc w:val="right"/>
              <w:rPr>
                <w:rFonts w:ascii="Calibri" w:hAnsi="Calibri" w:cs="Arial"/>
                <w:sz w:val="18"/>
                <w:szCs w:val="18"/>
              </w:rPr>
            </w:pPr>
            <w:r>
              <w:rPr>
                <w:rFonts w:ascii="Calibri" w:hAnsi="Calibri" w:cs="Arial"/>
                <w:sz w:val="18"/>
                <w:szCs w:val="18"/>
              </w:rPr>
              <w:t>33 484</w:t>
            </w:r>
          </w:p>
        </w:tc>
        <w:tc>
          <w:tcPr>
            <w:tcW w:w="1984" w:type="dxa"/>
            <w:tcBorders>
              <w:top w:val="nil"/>
              <w:left w:val="nil"/>
              <w:bottom w:val="nil"/>
              <w:right w:val="nil"/>
            </w:tcBorders>
            <w:shd w:val="clear" w:color="auto" w:fill="auto"/>
            <w:noWrap/>
            <w:vAlign w:val="center"/>
            <w:hideMark/>
          </w:tcPr>
          <w:p w14:paraId="24476951" w14:textId="77777777" w:rsidR="00D46A98" w:rsidRDefault="00D46A98" w:rsidP="003D2FE3">
            <w:pPr>
              <w:jc w:val="right"/>
              <w:rPr>
                <w:rFonts w:ascii="Calibri" w:hAnsi="Calibri" w:cs="Arial"/>
                <w:sz w:val="18"/>
                <w:szCs w:val="18"/>
              </w:rPr>
            </w:pPr>
            <w:r>
              <w:rPr>
                <w:rFonts w:ascii="Calibri" w:hAnsi="Calibri" w:cs="Arial"/>
                <w:sz w:val="18"/>
                <w:szCs w:val="18"/>
              </w:rPr>
              <w:t>46 450</w:t>
            </w:r>
          </w:p>
        </w:tc>
      </w:tr>
      <w:tr w:rsidR="00D46A98" w14:paraId="76FB6AE2"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330D6ADC" w14:textId="77777777" w:rsidR="00D46A98" w:rsidRDefault="00D46A98" w:rsidP="003D2FE3">
            <w:pPr>
              <w:rPr>
                <w:rFonts w:ascii="Calibri" w:hAnsi="Calibri" w:cs="Arial"/>
                <w:sz w:val="18"/>
                <w:szCs w:val="18"/>
              </w:rPr>
            </w:pPr>
            <w:r>
              <w:rPr>
                <w:rFonts w:ascii="Calibri" w:hAnsi="Calibri" w:cs="Arial"/>
                <w:sz w:val="18"/>
                <w:szCs w:val="18"/>
              </w:rPr>
              <w:t>Razem koszty</w:t>
            </w:r>
          </w:p>
        </w:tc>
        <w:tc>
          <w:tcPr>
            <w:tcW w:w="1985" w:type="dxa"/>
            <w:tcBorders>
              <w:top w:val="nil"/>
              <w:left w:val="nil"/>
              <w:bottom w:val="nil"/>
              <w:right w:val="nil"/>
            </w:tcBorders>
            <w:shd w:val="clear" w:color="auto" w:fill="D9D9D9" w:themeFill="background1" w:themeFillShade="D9"/>
            <w:noWrap/>
            <w:vAlign w:val="center"/>
            <w:hideMark/>
          </w:tcPr>
          <w:p w14:paraId="24C95483" w14:textId="77777777" w:rsidR="00D46A98" w:rsidRDefault="00D46A98" w:rsidP="003D2FE3">
            <w:pPr>
              <w:jc w:val="right"/>
              <w:rPr>
                <w:rFonts w:ascii="Calibri" w:hAnsi="Calibri" w:cs="Arial"/>
                <w:sz w:val="18"/>
                <w:szCs w:val="18"/>
              </w:rPr>
            </w:pPr>
            <w:r>
              <w:rPr>
                <w:rFonts w:ascii="Calibri" w:hAnsi="Calibri" w:cs="Arial"/>
                <w:sz w:val="18"/>
                <w:szCs w:val="18"/>
              </w:rPr>
              <w:t>30 534</w:t>
            </w:r>
          </w:p>
        </w:tc>
        <w:tc>
          <w:tcPr>
            <w:tcW w:w="1984" w:type="dxa"/>
            <w:tcBorders>
              <w:top w:val="nil"/>
              <w:left w:val="nil"/>
              <w:bottom w:val="nil"/>
              <w:right w:val="nil"/>
            </w:tcBorders>
            <w:shd w:val="clear" w:color="auto" w:fill="auto"/>
            <w:noWrap/>
            <w:vAlign w:val="center"/>
            <w:hideMark/>
          </w:tcPr>
          <w:p w14:paraId="5ABBF038" w14:textId="77777777" w:rsidR="00D46A98" w:rsidRDefault="00D46A98" w:rsidP="003D2FE3">
            <w:pPr>
              <w:jc w:val="right"/>
              <w:rPr>
                <w:rFonts w:ascii="Calibri" w:hAnsi="Calibri" w:cs="Arial"/>
                <w:sz w:val="18"/>
                <w:szCs w:val="18"/>
              </w:rPr>
            </w:pPr>
            <w:r>
              <w:rPr>
                <w:rFonts w:ascii="Calibri" w:hAnsi="Calibri" w:cs="Arial"/>
                <w:sz w:val="18"/>
                <w:szCs w:val="18"/>
              </w:rPr>
              <w:t>41 962</w:t>
            </w:r>
          </w:p>
        </w:tc>
      </w:tr>
      <w:tr w:rsidR="00D46A98" w14:paraId="6B35FB9D" w14:textId="77777777" w:rsidTr="00D46A98">
        <w:tblPrEx>
          <w:jc w:val="left"/>
        </w:tblPrEx>
        <w:trPr>
          <w:gridAfter w:val="1"/>
          <w:wAfter w:w="195" w:type="dxa"/>
          <w:trHeight w:val="252"/>
        </w:trPr>
        <w:tc>
          <w:tcPr>
            <w:tcW w:w="5103" w:type="dxa"/>
            <w:tcBorders>
              <w:top w:val="nil"/>
              <w:left w:val="nil"/>
              <w:bottom w:val="nil"/>
              <w:right w:val="nil"/>
            </w:tcBorders>
            <w:shd w:val="clear" w:color="auto" w:fill="auto"/>
            <w:noWrap/>
            <w:vAlign w:val="center"/>
            <w:hideMark/>
          </w:tcPr>
          <w:p w14:paraId="26405870" w14:textId="77777777" w:rsidR="00D46A98" w:rsidRDefault="00D46A98" w:rsidP="003D2FE3">
            <w:pPr>
              <w:rPr>
                <w:rFonts w:ascii="Calibri" w:hAnsi="Calibri" w:cs="Arial"/>
                <w:b/>
                <w:bCs/>
                <w:sz w:val="18"/>
                <w:szCs w:val="18"/>
              </w:rPr>
            </w:pPr>
            <w:r>
              <w:rPr>
                <w:rFonts w:ascii="Calibri" w:hAnsi="Calibri" w:cs="Arial"/>
                <w:b/>
                <w:bCs/>
                <w:sz w:val="18"/>
                <w:szCs w:val="18"/>
              </w:rPr>
              <w:t>Razem wynik na sprzedaży</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0D8D8FBE" w14:textId="77777777" w:rsidR="00D46A98" w:rsidRDefault="00D46A98" w:rsidP="003D2FE3">
            <w:pPr>
              <w:jc w:val="right"/>
              <w:rPr>
                <w:rFonts w:ascii="Calibri" w:hAnsi="Calibri" w:cs="Arial"/>
                <w:b/>
                <w:bCs/>
                <w:sz w:val="18"/>
                <w:szCs w:val="18"/>
              </w:rPr>
            </w:pPr>
            <w:r>
              <w:rPr>
                <w:rFonts w:ascii="Calibri" w:hAnsi="Calibri" w:cs="Arial"/>
                <w:b/>
                <w:bCs/>
                <w:sz w:val="18"/>
                <w:szCs w:val="18"/>
              </w:rPr>
              <w:t>2 950</w:t>
            </w:r>
          </w:p>
        </w:tc>
        <w:tc>
          <w:tcPr>
            <w:tcW w:w="1984" w:type="dxa"/>
            <w:tcBorders>
              <w:top w:val="single" w:sz="4" w:space="0" w:color="auto"/>
              <w:left w:val="nil"/>
              <w:bottom w:val="double" w:sz="6" w:space="0" w:color="auto"/>
              <w:right w:val="nil"/>
            </w:tcBorders>
            <w:shd w:val="clear" w:color="auto" w:fill="auto"/>
            <w:noWrap/>
            <w:vAlign w:val="center"/>
            <w:hideMark/>
          </w:tcPr>
          <w:p w14:paraId="0AD01157" w14:textId="77777777" w:rsidR="00D46A98" w:rsidRDefault="00D46A98" w:rsidP="003D2FE3">
            <w:pPr>
              <w:jc w:val="right"/>
              <w:rPr>
                <w:rFonts w:ascii="Calibri" w:hAnsi="Calibri" w:cs="Arial"/>
                <w:b/>
                <w:bCs/>
                <w:sz w:val="18"/>
                <w:szCs w:val="18"/>
              </w:rPr>
            </w:pPr>
            <w:r>
              <w:rPr>
                <w:rFonts w:ascii="Calibri" w:hAnsi="Calibri" w:cs="Arial"/>
                <w:b/>
                <w:bCs/>
                <w:sz w:val="18"/>
                <w:szCs w:val="18"/>
              </w:rPr>
              <w:t>4 488</w:t>
            </w:r>
          </w:p>
        </w:tc>
      </w:tr>
      <w:tr w:rsidR="00D46A98" w14:paraId="2CABB930"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11029B0B" w14:textId="77777777" w:rsidR="00D46A98" w:rsidRDefault="00D46A98" w:rsidP="003D2FE3">
            <w:pPr>
              <w:rPr>
                <w:rFonts w:ascii="Calibri" w:hAnsi="Calibri" w:cs="Arial"/>
                <w:sz w:val="18"/>
                <w:szCs w:val="18"/>
              </w:rPr>
            </w:pPr>
            <w:r>
              <w:rPr>
                <w:rFonts w:ascii="Calibri" w:hAnsi="Calibri" w:cs="Arial"/>
                <w:sz w:val="18"/>
                <w:szCs w:val="18"/>
              </w:rPr>
              <w:t>Koszty ogólne segmentów</w:t>
            </w:r>
          </w:p>
        </w:tc>
        <w:tc>
          <w:tcPr>
            <w:tcW w:w="1985" w:type="dxa"/>
            <w:tcBorders>
              <w:top w:val="nil"/>
              <w:left w:val="nil"/>
              <w:bottom w:val="nil"/>
              <w:right w:val="nil"/>
            </w:tcBorders>
            <w:shd w:val="clear" w:color="auto" w:fill="D9D9D9" w:themeFill="background1" w:themeFillShade="D9"/>
            <w:noWrap/>
            <w:vAlign w:val="center"/>
            <w:hideMark/>
          </w:tcPr>
          <w:p w14:paraId="2C02A2C7" w14:textId="77777777" w:rsidR="00D46A98" w:rsidRDefault="00D46A98" w:rsidP="003D2FE3">
            <w:pPr>
              <w:jc w:val="right"/>
              <w:rPr>
                <w:rFonts w:ascii="Calibri" w:hAnsi="Calibri" w:cs="Arial"/>
                <w:sz w:val="18"/>
                <w:szCs w:val="18"/>
              </w:rPr>
            </w:pPr>
            <w:r>
              <w:rPr>
                <w:rFonts w:ascii="Calibri" w:hAnsi="Calibri" w:cs="Arial"/>
                <w:sz w:val="18"/>
                <w:szCs w:val="18"/>
              </w:rPr>
              <w:t>2 372</w:t>
            </w:r>
          </w:p>
        </w:tc>
        <w:tc>
          <w:tcPr>
            <w:tcW w:w="1984" w:type="dxa"/>
            <w:tcBorders>
              <w:top w:val="nil"/>
              <w:left w:val="nil"/>
              <w:bottom w:val="nil"/>
              <w:right w:val="nil"/>
            </w:tcBorders>
            <w:shd w:val="clear" w:color="auto" w:fill="auto"/>
            <w:noWrap/>
            <w:vAlign w:val="center"/>
            <w:hideMark/>
          </w:tcPr>
          <w:p w14:paraId="7C2B8574" w14:textId="77777777" w:rsidR="00D46A98" w:rsidRDefault="00D46A98" w:rsidP="003D2FE3">
            <w:pPr>
              <w:jc w:val="right"/>
              <w:rPr>
                <w:rFonts w:ascii="Calibri" w:hAnsi="Calibri" w:cs="Arial"/>
                <w:sz w:val="18"/>
                <w:szCs w:val="18"/>
              </w:rPr>
            </w:pPr>
            <w:r>
              <w:rPr>
                <w:rFonts w:ascii="Calibri" w:hAnsi="Calibri" w:cs="Arial"/>
                <w:sz w:val="18"/>
                <w:szCs w:val="18"/>
              </w:rPr>
              <w:t>2 084</w:t>
            </w:r>
          </w:p>
        </w:tc>
      </w:tr>
      <w:tr w:rsidR="00D46A98" w14:paraId="0CF81088"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52EC3EA1" w14:textId="77777777" w:rsidR="00D46A98" w:rsidRDefault="00D46A98" w:rsidP="003D2FE3">
            <w:pPr>
              <w:rPr>
                <w:rFonts w:ascii="Calibri" w:hAnsi="Calibri" w:cs="Arial"/>
                <w:sz w:val="18"/>
                <w:szCs w:val="18"/>
              </w:rPr>
            </w:pPr>
            <w:r>
              <w:rPr>
                <w:rFonts w:ascii="Calibri" w:hAnsi="Calibri" w:cs="Arial"/>
                <w:sz w:val="18"/>
                <w:szCs w:val="18"/>
              </w:rPr>
              <w:t>Pozostałe przychody operacyjne</w:t>
            </w:r>
          </w:p>
        </w:tc>
        <w:tc>
          <w:tcPr>
            <w:tcW w:w="1985" w:type="dxa"/>
            <w:tcBorders>
              <w:top w:val="nil"/>
              <w:left w:val="nil"/>
              <w:bottom w:val="nil"/>
              <w:right w:val="nil"/>
            </w:tcBorders>
            <w:shd w:val="clear" w:color="auto" w:fill="D9D9D9" w:themeFill="background1" w:themeFillShade="D9"/>
            <w:noWrap/>
            <w:vAlign w:val="center"/>
            <w:hideMark/>
          </w:tcPr>
          <w:p w14:paraId="4C2B784F" w14:textId="77777777" w:rsidR="00D46A98" w:rsidRDefault="00D46A98" w:rsidP="003D2FE3">
            <w:pPr>
              <w:jc w:val="right"/>
              <w:rPr>
                <w:rFonts w:ascii="Calibri" w:hAnsi="Calibri" w:cs="Arial"/>
                <w:sz w:val="18"/>
                <w:szCs w:val="18"/>
              </w:rPr>
            </w:pPr>
            <w:r>
              <w:rPr>
                <w:rFonts w:ascii="Calibri" w:hAnsi="Calibri" w:cs="Arial"/>
                <w:sz w:val="18"/>
                <w:szCs w:val="18"/>
              </w:rPr>
              <w:t>61</w:t>
            </w:r>
          </w:p>
        </w:tc>
        <w:tc>
          <w:tcPr>
            <w:tcW w:w="1984" w:type="dxa"/>
            <w:tcBorders>
              <w:top w:val="nil"/>
              <w:left w:val="nil"/>
              <w:bottom w:val="nil"/>
              <w:right w:val="nil"/>
            </w:tcBorders>
            <w:shd w:val="clear" w:color="auto" w:fill="auto"/>
            <w:noWrap/>
            <w:vAlign w:val="center"/>
            <w:hideMark/>
          </w:tcPr>
          <w:p w14:paraId="3AB35607" w14:textId="77777777" w:rsidR="00D46A98" w:rsidRDefault="00D46A98" w:rsidP="003D2FE3">
            <w:pPr>
              <w:jc w:val="right"/>
              <w:rPr>
                <w:rFonts w:ascii="Calibri" w:hAnsi="Calibri" w:cs="Arial"/>
                <w:sz w:val="18"/>
                <w:szCs w:val="18"/>
              </w:rPr>
            </w:pPr>
            <w:r>
              <w:rPr>
                <w:rFonts w:ascii="Calibri" w:hAnsi="Calibri" w:cs="Arial"/>
                <w:sz w:val="18"/>
                <w:szCs w:val="18"/>
              </w:rPr>
              <w:t>2</w:t>
            </w:r>
          </w:p>
        </w:tc>
      </w:tr>
      <w:tr w:rsidR="00D46A98" w14:paraId="1E4E7FED"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239ED78C" w14:textId="77777777" w:rsidR="00D46A98" w:rsidRDefault="00D46A98" w:rsidP="003D2FE3">
            <w:pPr>
              <w:rPr>
                <w:rFonts w:ascii="Calibri" w:hAnsi="Calibri" w:cs="Arial"/>
                <w:sz w:val="18"/>
                <w:szCs w:val="18"/>
              </w:rPr>
            </w:pPr>
            <w:r>
              <w:rPr>
                <w:rFonts w:ascii="Calibri" w:hAnsi="Calibri" w:cs="Arial"/>
                <w:sz w:val="18"/>
                <w:szCs w:val="18"/>
              </w:rPr>
              <w:t>Pozostałe koszty operacyjne</w:t>
            </w:r>
          </w:p>
        </w:tc>
        <w:tc>
          <w:tcPr>
            <w:tcW w:w="1985" w:type="dxa"/>
            <w:tcBorders>
              <w:top w:val="nil"/>
              <w:left w:val="nil"/>
              <w:bottom w:val="nil"/>
              <w:right w:val="nil"/>
            </w:tcBorders>
            <w:shd w:val="clear" w:color="auto" w:fill="D9D9D9" w:themeFill="background1" w:themeFillShade="D9"/>
            <w:noWrap/>
            <w:vAlign w:val="center"/>
            <w:hideMark/>
          </w:tcPr>
          <w:p w14:paraId="1FBFDACC" w14:textId="77777777" w:rsidR="00D46A98" w:rsidRDefault="00D46A98" w:rsidP="003D2FE3">
            <w:pPr>
              <w:jc w:val="right"/>
              <w:rPr>
                <w:rFonts w:ascii="Calibri" w:hAnsi="Calibri" w:cs="Arial"/>
                <w:sz w:val="18"/>
                <w:szCs w:val="18"/>
              </w:rPr>
            </w:pPr>
            <w:r>
              <w:rPr>
                <w:rFonts w:ascii="Calibri" w:hAnsi="Calibri" w:cs="Arial"/>
                <w:sz w:val="18"/>
                <w:szCs w:val="18"/>
              </w:rPr>
              <w:t>8</w:t>
            </w:r>
          </w:p>
        </w:tc>
        <w:tc>
          <w:tcPr>
            <w:tcW w:w="1984" w:type="dxa"/>
            <w:tcBorders>
              <w:top w:val="nil"/>
              <w:left w:val="nil"/>
              <w:bottom w:val="nil"/>
              <w:right w:val="nil"/>
            </w:tcBorders>
            <w:shd w:val="clear" w:color="auto" w:fill="auto"/>
            <w:noWrap/>
            <w:vAlign w:val="center"/>
            <w:hideMark/>
          </w:tcPr>
          <w:p w14:paraId="1E397BC9" w14:textId="77777777" w:rsidR="00D46A98" w:rsidRDefault="00D46A98" w:rsidP="003D2FE3">
            <w:pPr>
              <w:jc w:val="right"/>
              <w:rPr>
                <w:rFonts w:ascii="Calibri" w:hAnsi="Calibri" w:cs="Arial"/>
                <w:sz w:val="18"/>
                <w:szCs w:val="18"/>
              </w:rPr>
            </w:pPr>
            <w:r>
              <w:rPr>
                <w:rFonts w:ascii="Calibri" w:hAnsi="Calibri" w:cs="Arial"/>
                <w:sz w:val="18"/>
                <w:szCs w:val="18"/>
              </w:rPr>
              <w:t>2</w:t>
            </w:r>
          </w:p>
        </w:tc>
      </w:tr>
      <w:tr w:rsidR="00D46A98" w14:paraId="40B475A2" w14:textId="77777777" w:rsidTr="00D46A98">
        <w:tblPrEx>
          <w:jc w:val="left"/>
        </w:tblPrEx>
        <w:trPr>
          <w:gridAfter w:val="1"/>
          <w:wAfter w:w="195" w:type="dxa"/>
          <w:trHeight w:val="227"/>
        </w:trPr>
        <w:tc>
          <w:tcPr>
            <w:tcW w:w="5103" w:type="dxa"/>
            <w:tcBorders>
              <w:top w:val="nil"/>
              <w:left w:val="nil"/>
              <w:bottom w:val="nil"/>
              <w:right w:val="nil"/>
            </w:tcBorders>
            <w:shd w:val="clear" w:color="auto" w:fill="auto"/>
            <w:noWrap/>
            <w:vAlign w:val="center"/>
            <w:hideMark/>
          </w:tcPr>
          <w:p w14:paraId="448E5986" w14:textId="77777777" w:rsidR="00D46A98" w:rsidRDefault="00D46A98" w:rsidP="003D2FE3">
            <w:pPr>
              <w:rPr>
                <w:rFonts w:ascii="Calibri" w:hAnsi="Calibri" w:cs="Arial"/>
                <w:sz w:val="18"/>
                <w:szCs w:val="18"/>
              </w:rPr>
            </w:pPr>
            <w:r>
              <w:rPr>
                <w:rFonts w:ascii="Calibri" w:hAnsi="Calibri" w:cs="Arial"/>
                <w:sz w:val="18"/>
                <w:szCs w:val="18"/>
              </w:rPr>
              <w:t>Wynik na działalności finansowej</w:t>
            </w:r>
          </w:p>
        </w:tc>
        <w:tc>
          <w:tcPr>
            <w:tcW w:w="1985" w:type="dxa"/>
            <w:tcBorders>
              <w:top w:val="nil"/>
              <w:left w:val="nil"/>
              <w:bottom w:val="nil"/>
              <w:right w:val="nil"/>
            </w:tcBorders>
            <w:shd w:val="clear" w:color="auto" w:fill="D9D9D9" w:themeFill="background1" w:themeFillShade="D9"/>
            <w:noWrap/>
            <w:vAlign w:val="center"/>
            <w:hideMark/>
          </w:tcPr>
          <w:p w14:paraId="240D4CE3" w14:textId="77777777" w:rsidR="00D46A98" w:rsidRDefault="00D46A98" w:rsidP="003D2FE3">
            <w:pPr>
              <w:jc w:val="right"/>
              <w:rPr>
                <w:rFonts w:ascii="Calibri" w:hAnsi="Calibri" w:cs="Arial"/>
                <w:sz w:val="18"/>
                <w:szCs w:val="18"/>
              </w:rPr>
            </w:pPr>
            <w:r>
              <w:rPr>
                <w:rFonts w:ascii="Calibri" w:hAnsi="Calibri" w:cs="Arial"/>
                <w:sz w:val="18"/>
                <w:szCs w:val="18"/>
              </w:rPr>
              <w:t>1 272</w:t>
            </w:r>
          </w:p>
        </w:tc>
        <w:tc>
          <w:tcPr>
            <w:tcW w:w="1984" w:type="dxa"/>
            <w:tcBorders>
              <w:top w:val="nil"/>
              <w:left w:val="nil"/>
              <w:bottom w:val="nil"/>
              <w:right w:val="nil"/>
            </w:tcBorders>
            <w:shd w:val="clear" w:color="auto" w:fill="auto"/>
            <w:noWrap/>
            <w:vAlign w:val="center"/>
            <w:hideMark/>
          </w:tcPr>
          <w:p w14:paraId="2D4B66D3" w14:textId="77777777" w:rsidR="00D46A98" w:rsidRDefault="00D46A98" w:rsidP="003D2FE3">
            <w:pPr>
              <w:jc w:val="right"/>
              <w:rPr>
                <w:rFonts w:ascii="Calibri" w:hAnsi="Calibri" w:cs="Arial"/>
                <w:sz w:val="18"/>
                <w:szCs w:val="18"/>
              </w:rPr>
            </w:pPr>
            <w:r>
              <w:rPr>
                <w:rFonts w:ascii="Calibri" w:hAnsi="Calibri" w:cs="Arial"/>
                <w:sz w:val="18"/>
                <w:szCs w:val="18"/>
              </w:rPr>
              <w:t>167</w:t>
            </w:r>
          </w:p>
        </w:tc>
      </w:tr>
      <w:tr w:rsidR="00D46A98" w14:paraId="2135838B" w14:textId="77777777" w:rsidTr="00D46A98">
        <w:tblPrEx>
          <w:jc w:val="left"/>
        </w:tblPrEx>
        <w:trPr>
          <w:gridAfter w:val="1"/>
          <w:wAfter w:w="195" w:type="dxa"/>
          <w:trHeight w:val="330"/>
        </w:trPr>
        <w:tc>
          <w:tcPr>
            <w:tcW w:w="5103" w:type="dxa"/>
            <w:tcBorders>
              <w:top w:val="nil"/>
              <w:left w:val="nil"/>
              <w:bottom w:val="nil"/>
              <w:right w:val="nil"/>
            </w:tcBorders>
            <w:shd w:val="clear" w:color="auto" w:fill="auto"/>
            <w:noWrap/>
            <w:vAlign w:val="center"/>
            <w:hideMark/>
          </w:tcPr>
          <w:p w14:paraId="66119E8B" w14:textId="77777777" w:rsidR="00D46A98" w:rsidRDefault="00D46A98" w:rsidP="003D2FE3">
            <w:pPr>
              <w:rPr>
                <w:rFonts w:ascii="Calibri" w:hAnsi="Calibri" w:cs="Arial"/>
                <w:b/>
                <w:bCs/>
                <w:sz w:val="18"/>
                <w:szCs w:val="18"/>
              </w:rPr>
            </w:pPr>
            <w:r>
              <w:rPr>
                <w:rFonts w:ascii="Calibri" w:hAnsi="Calibri" w:cs="Arial"/>
                <w:b/>
                <w:bCs/>
                <w:sz w:val="18"/>
                <w:szCs w:val="18"/>
              </w:rPr>
              <w:t>Zysk przed opodatkowaniem</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4CFC1A67" w14:textId="77777777" w:rsidR="00D46A98" w:rsidRDefault="00D46A98" w:rsidP="003D2FE3">
            <w:pPr>
              <w:jc w:val="right"/>
              <w:rPr>
                <w:rFonts w:ascii="Calibri" w:hAnsi="Calibri" w:cs="Arial"/>
                <w:b/>
                <w:bCs/>
                <w:sz w:val="18"/>
                <w:szCs w:val="18"/>
              </w:rPr>
            </w:pPr>
            <w:r>
              <w:rPr>
                <w:rFonts w:ascii="Calibri" w:hAnsi="Calibri" w:cs="Arial"/>
                <w:b/>
                <w:bCs/>
                <w:sz w:val="18"/>
                <w:szCs w:val="18"/>
              </w:rPr>
              <w:t>1 903</w:t>
            </w:r>
          </w:p>
        </w:tc>
        <w:tc>
          <w:tcPr>
            <w:tcW w:w="1984" w:type="dxa"/>
            <w:tcBorders>
              <w:top w:val="single" w:sz="4" w:space="0" w:color="auto"/>
              <w:left w:val="nil"/>
              <w:bottom w:val="double" w:sz="6" w:space="0" w:color="auto"/>
              <w:right w:val="nil"/>
            </w:tcBorders>
            <w:shd w:val="clear" w:color="auto" w:fill="auto"/>
            <w:noWrap/>
            <w:vAlign w:val="center"/>
            <w:hideMark/>
          </w:tcPr>
          <w:p w14:paraId="7E8DCE6F" w14:textId="77777777" w:rsidR="00D46A98" w:rsidRDefault="00D46A98" w:rsidP="003D2FE3">
            <w:pPr>
              <w:jc w:val="right"/>
              <w:rPr>
                <w:rFonts w:ascii="Calibri" w:hAnsi="Calibri" w:cs="Arial"/>
                <w:b/>
                <w:bCs/>
                <w:sz w:val="18"/>
                <w:szCs w:val="18"/>
              </w:rPr>
            </w:pPr>
            <w:r>
              <w:rPr>
                <w:rFonts w:ascii="Calibri" w:hAnsi="Calibri" w:cs="Arial"/>
                <w:b/>
                <w:bCs/>
                <w:sz w:val="18"/>
                <w:szCs w:val="18"/>
              </w:rPr>
              <w:t>2 571</w:t>
            </w:r>
          </w:p>
        </w:tc>
      </w:tr>
      <w:tr w:rsidR="00D46A98" w14:paraId="11CE5190" w14:textId="77777777" w:rsidTr="00D46A98">
        <w:tblPrEx>
          <w:jc w:val="left"/>
        </w:tblPrEx>
        <w:trPr>
          <w:gridAfter w:val="1"/>
          <w:wAfter w:w="195" w:type="dxa"/>
          <w:trHeight w:val="315"/>
        </w:trPr>
        <w:tc>
          <w:tcPr>
            <w:tcW w:w="5103" w:type="dxa"/>
            <w:tcBorders>
              <w:top w:val="nil"/>
              <w:left w:val="nil"/>
              <w:bottom w:val="nil"/>
              <w:right w:val="nil"/>
            </w:tcBorders>
            <w:shd w:val="clear" w:color="auto" w:fill="auto"/>
            <w:noWrap/>
            <w:vAlign w:val="center"/>
            <w:hideMark/>
          </w:tcPr>
          <w:p w14:paraId="1D0431DB" w14:textId="77777777" w:rsidR="00D46A98" w:rsidRDefault="00D46A98" w:rsidP="003D2FE3">
            <w:pPr>
              <w:rPr>
                <w:rFonts w:ascii="Calibri" w:hAnsi="Calibri" w:cs="Arial"/>
                <w:sz w:val="18"/>
                <w:szCs w:val="18"/>
              </w:rPr>
            </w:pPr>
            <w:r>
              <w:rPr>
                <w:rFonts w:ascii="Calibri" w:hAnsi="Calibri" w:cs="Arial"/>
                <w:sz w:val="18"/>
                <w:szCs w:val="18"/>
              </w:rPr>
              <w:t>Podatek dochodowy</w:t>
            </w:r>
          </w:p>
        </w:tc>
        <w:tc>
          <w:tcPr>
            <w:tcW w:w="1985" w:type="dxa"/>
            <w:tcBorders>
              <w:top w:val="nil"/>
              <w:left w:val="nil"/>
              <w:bottom w:val="nil"/>
              <w:right w:val="nil"/>
            </w:tcBorders>
            <w:shd w:val="clear" w:color="auto" w:fill="D9D9D9" w:themeFill="background1" w:themeFillShade="D9"/>
            <w:noWrap/>
            <w:vAlign w:val="center"/>
            <w:hideMark/>
          </w:tcPr>
          <w:p w14:paraId="44F9678A" w14:textId="77777777" w:rsidR="00D46A98" w:rsidRDefault="00D46A98" w:rsidP="003D2FE3">
            <w:pPr>
              <w:jc w:val="right"/>
              <w:rPr>
                <w:rFonts w:ascii="Calibri" w:hAnsi="Calibri" w:cs="Arial"/>
                <w:sz w:val="18"/>
                <w:szCs w:val="18"/>
              </w:rPr>
            </w:pPr>
            <w:r>
              <w:rPr>
                <w:rFonts w:ascii="Calibri" w:hAnsi="Calibri" w:cs="Arial"/>
                <w:sz w:val="18"/>
                <w:szCs w:val="18"/>
              </w:rPr>
              <w:t>120</w:t>
            </w:r>
          </w:p>
        </w:tc>
        <w:tc>
          <w:tcPr>
            <w:tcW w:w="1984" w:type="dxa"/>
            <w:tcBorders>
              <w:top w:val="nil"/>
              <w:left w:val="nil"/>
              <w:bottom w:val="nil"/>
              <w:right w:val="nil"/>
            </w:tcBorders>
            <w:shd w:val="clear" w:color="auto" w:fill="auto"/>
            <w:noWrap/>
            <w:vAlign w:val="center"/>
            <w:hideMark/>
          </w:tcPr>
          <w:p w14:paraId="2F05EFD4" w14:textId="77777777" w:rsidR="00D46A98" w:rsidRDefault="00D46A98" w:rsidP="003D2FE3">
            <w:pPr>
              <w:jc w:val="right"/>
              <w:rPr>
                <w:rFonts w:ascii="Calibri" w:hAnsi="Calibri" w:cs="Arial"/>
                <w:sz w:val="18"/>
                <w:szCs w:val="18"/>
              </w:rPr>
            </w:pPr>
            <w:r>
              <w:rPr>
                <w:rFonts w:ascii="Calibri" w:hAnsi="Calibri" w:cs="Arial"/>
                <w:sz w:val="18"/>
                <w:szCs w:val="18"/>
              </w:rPr>
              <w:t>349</w:t>
            </w:r>
          </w:p>
        </w:tc>
      </w:tr>
      <w:tr w:rsidR="00D46A98" w14:paraId="41C3C774" w14:textId="77777777" w:rsidTr="00D46A98">
        <w:tblPrEx>
          <w:jc w:val="left"/>
        </w:tblPrEx>
        <w:trPr>
          <w:gridAfter w:val="1"/>
          <w:wAfter w:w="195" w:type="dxa"/>
          <w:trHeight w:val="330"/>
        </w:trPr>
        <w:tc>
          <w:tcPr>
            <w:tcW w:w="5103" w:type="dxa"/>
            <w:tcBorders>
              <w:top w:val="nil"/>
              <w:left w:val="nil"/>
              <w:bottom w:val="nil"/>
              <w:right w:val="nil"/>
            </w:tcBorders>
            <w:shd w:val="clear" w:color="auto" w:fill="auto"/>
            <w:noWrap/>
            <w:vAlign w:val="center"/>
            <w:hideMark/>
          </w:tcPr>
          <w:p w14:paraId="331BC7F9" w14:textId="77777777" w:rsidR="00D46A98" w:rsidRDefault="00D46A98" w:rsidP="003D2FE3">
            <w:pPr>
              <w:rPr>
                <w:rFonts w:ascii="Calibri" w:hAnsi="Calibri" w:cs="Arial"/>
                <w:b/>
                <w:bCs/>
                <w:sz w:val="18"/>
                <w:szCs w:val="18"/>
              </w:rPr>
            </w:pPr>
            <w:r>
              <w:rPr>
                <w:rFonts w:ascii="Calibri" w:hAnsi="Calibri" w:cs="Arial"/>
                <w:b/>
                <w:bCs/>
                <w:sz w:val="18"/>
                <w:szCs w:val="18"/>
              </w:rPr>
              <w:t>Zysk netto</w:t>
            </w:r>
          </w:p>
        </w:tc>
        <w:tc>
          <w:tcPr>
            <w:tcW w:w="1985" w:type="dxa"/>
            <w:tcBorders>
              <w:top w:val="single" w:sz="4" w:space="0" w:color="auto"/>
              <w:left w:val="nil"/>
              <w:bottom w:val="double" w:sz="6" w:space="0" w:color="auto"/>
              <w:right w:val="nil"/>
            </w:tcBorders>
            <w:shd w:val="clear" w:color="auto" w:fill="D9D9D9" w:themeFill="background1" w:themeFillShade="D9"/>
            <w:noWrap/>
            <w:vAlign w:val="center"/>
            <w:hideMark/>
          </w:tcPr>
          <w:p w14:paraId="4BD359F2" w14:textId="77777777" w:rsidR="00D46A98" w:rsidRDefault="00D46A98" w:rsidP="003D2FE3">
            <w:pPr>
              <w:jc w:val="right"/>
              <w:rPr>
                <w:rFonts w:ascii="Calibri" w:hAnsi="Calibri" w:cs="Arial"/>
                <w:b/>
                <w:bCs/>
                <w:sz w:val="18"/>
                <w:szCs w:val="18"/>
              </w:rPr>
            </w:pPr>
            <w:r>
              <w:rPr>
                <w:rFonts w:ascii="Calibri" w:hAnsi="Calibri" w:cs="Arial"/>
                <w:b/>
                <w:bCs/>
                <w:sz w:val="18"/>
                <w:szCs w:val="18"/>
              </w:rPr>
              <w:t>1 783</w:t>
            </w:r>
          </w:p>
        </w:tc>
        <w:tc>
          <w:tcPr>
            <w:tcW w:w="1984" w:type="dxa"/>
            <w:tcBorders>
              <w:top w:val="single" w:sz="4" w:space="0" w:color="auto"/>
              <w:left w:val="nil"/>
              <w:bottom w:val="double" w:sz="6" w:space="0" w:color="auto"/>
              <w:right w:val="nil"/>
            </w:tcBorders>
            <w:shd w:val="clear" w:color="auto" w:fill="auto"/>
            <w:noWrap/>
            <w:vAlign w:val="center"/>
            <w:hideMark/>
          </w:tcPr>
          <w:p w14:paraId="062E857D" w14:textId="77777777" w:rsidR="00D46A98" w:rsidRDefault="00D46A98" w:rsidP="003D2FE3">
            <w:pPr>
              <w:jc w:val="right"/>
              <w:rPr>
                <w:rFonts w:ascii="Calibri" w:hAnsi="Calibri" w:cs="Arial"/>
                <w:b/>
                <w:bCs/>
                <w:sz w:val="18"/>
                <w:szCs w:val="18"/>
              </w:rPr>
            </w:pPr>
            <w:r>
              <w:rPr>
                <w:rFonts w:ascii="Calibri" w:hAnsi="Calibri" w:cs="Arial"/>
                <w:b/>
                <w:bCs/>
                <w:sz w:val="18"/>
                <w:szCs w:val="18"/>
              </w:rPr>
              <w:t>2 222</w:t>
            </w:r>
          </w:p>
        </w:tc>
      </w:tr>
    </w:tbl>
    <w:p w14:paraId="0EC78C14" w14:textId="77777777" w:rsidR="000A3917" w:rsidRPr="000A3917" w:rsidRDefault="000A3917" w:rsidP="00D46A98">
      <w:pPr>
        <w:pStyle w:val="wypunktowanie1sprawozdanie"/>
        <w:tabs>
          <w:tab w:val="left" w:pos="1134"/>
        </w:tabs>
        <w:spacing w:line="360" w:lineRule="auto"/>
        <w:ind w:firstLine="567"/>
        <w:rPr>
          <w:rFonts w:ascii="Calibri" w:hAnsi="Calibri"/>
          <w:b w:val="0"/>
          <w:sz w:val="2"/>
          <w:szCs w:val="2"/>
        </w:rPr>
      </w:pPr>
    </w:p>
    <w:p w14:paraId="18559410" w14:textId="77777777" w:rsidR="00D46A98" w:rsidRPr="00360EFC" w:rsidRDefault="00D46A98" w:rsidP="00D46A98">
      <w:pPr>
        <w:pStyle w:val="wypunktowanie1sprawozdanie"/>
        <w:tabs>
          <w:tab w:val="left" w:pos="1134"/>
        </w:tabs>
        <w:spacing w:line="360" w:lineRule="auto"/>
        <w:ind w:firstLine="567"/>
        <w:rPr>
          <w:rFonts w:ascii="Calibri" w:hAnsi="Calibri"/>
          <w:b w:val="0"/>
          <w:sz w:val="22"/>
          <w:szCs w:val="22"/>
        </w:rPr>
      </w:pPr>
      <w:r w:rsidRPr="00360EFC">
        <w:rPr>
          <w:rFonts w:ascii="Calibri" w:hAnsi="Calibri"/>
          <w:b w:val="0"/>
          <w:sz w:val="22"/>
          <w:szCs w:val="22"/>
        </w:rPr>
        <w:t>Do czynników wywierających istotny wpływ na poziom wyniku z działalności operacyjnej osiągniętego w I półroczu 2016 roku, w porównaniu z I półroczem 2015 roku, należy zaliczyć:</w:t>
      </w:r>
    </w:p>
    <w:p w14:paraId="261DF784" w14:textId="77777777" w:rsidR="00D46A98" w:rsidRPr="00360EFC" w:rsidRDefault="00D46A98" w:rsidP="00D73705">
      <w:pPr>
        <w:pStyle w:val="wypunktowanie1sprawozdanie"/>
        <w:numPr>
          <w:ilvl w:val="0"/>
          <w:numId w:val="4"/>
        </w:numPr>
        <w:tabs>
          <w:tab w:val="clear" w:pos="720"/>
          <w:tab w:val="num" w:pos="360"/>
          <w:tab w:val="num" w:pos="1418"/>
        </w:tabs>
        <w:spacing w:after="0" w:line="360" w:lineRule="auto"/>
        <w:ind w:left="1134" w:hanging="567"/>
        <w:rPr>
          <w:rFonts w:ascii="Calibri" w:hAnsi="Calibri"/>
          <w:b w:val="0"/>
          <w:sz w:val="22"/>
          <w:szCs w:val="22"/>
        </w:rPr>
      </w:pPr>
      <w:r w:rsidRPr="00360EFC">
        <w:rPr>
          <w:rFonts w:ascii="Calibri" w:hAnsi="Calibri"/>
          <w:b w:val="0"/>
          <w:sz w:val="22"/>
          <w:szCs w:val="22"/>
        </w:rPr>
        <w:t xml:space="preserve">wzrost przychodów ze sprzedaży w segmencie całodobowego utrzymania ruchu </w:t>
      </w:r>
      <w:r w:rsidRPr="00360EFC">
        <w:rPr>
          <w:rFonts w:ascii="Calibri" w:hAnsi="Calibri"/>
          <w:b w:val="0"/>
          <w:sz w:val="22"/>
          <w:szCs w:val="22"/>
        </w:rPr>
        <w:br/>
        <w:t xml:space="preserve">o wartość 669 tys. zł, przy równoczesnym wzroście kosztów o kwotę 651 tys. zł; </w:t>
      </w:r>
      <w:r w:rsidRPr="00360EFC">
        <w:rPr>
          <w:rFonts w:ascii="Calibri" w:hAnsi="Calibri"/>
          <w:b w:val="0"/>
          <w:sz w:val="22"/>
          <w:szCs w:val="22"/>
        </w:rPr>
        <w:br/>
        <w:t xml:space="preserve">przychody tego segmentu stanowią 28% ogólnej wartości sprzedaży usług w 2016 roku </w:t>
      </w:r>
      <w:r w:rsidRPr="00360EFC">
        <w:rPr>
          <w:rFonts w:ascii="Calibri" w:hAnsi="Calibri"/>
          <w:b w:val="0"/>
          <w:sz w:val="22"/>
          <w:szCs w:val="22"/>
        </w:rPr>
        <w:br/>
        <w:t xml:space="preserve">i w porównaniu do analogicznych danych za 2015 rok udział tego segmentu </w:t>
      </w:r>
      <w:r w:rsidRPr="00360EFC">
        <w:rPr>
          <w:rFonts w:ascii="Calibri" w:hAnsi="Calibri"/>
          <w:b w:val="0"/>
          <w:sz w:val="22"/>
          <w:szCs w:val="22"/>
        </w:rPr>
        <w:br/>
        <w:t>w przychodach wzrósł o 10 punktów procentowych,</w:t>
      </w:r>
    </w:p>
    <w:p w14:paraId="66AD444A" w14:textId="77777777" w:rsidR="00D46A98" w:rsidRPr="00360EFC" w:rsidRDefault="00D46A98"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360EFC">
        <w:rPr>
          <w:rFonts w:ascii="Calibri" w:hAnsi="Calibri"/>
          <w:b w:val="0"/>
          <w:sz w:val="22"/>
          <w:szCs w:val="22"/>
        </w:rPr>
        <w:t>marża brutto w segmencie A pozostała na niezmienionym poziomie w porównaniu do poprzedniego okresu i nadal wynosi  1 punkt procentowy,</w:t>
      </w:r>
    </w:p>
    <w:p w14:paraId="2021B3B6" w14:textId="77777777" w:rsidR="00D46A98" w:rsidRPr="00360EFC" w:rsidRDefault="00D46A98"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360EFC">
        <w:rPr>
          <w:rFonts w:ascii="Calibri" w:hAnsi="Calibri"/>
          <w:b w:val="0"/>
          <w:sz w:val="22"/>
          <w:szCs w:val="22"/>
        </w:rPr>
        <w:t xml:space="preserve">wzrost przychodów ze sprzedaży w segmencie B – Remont urządzeń i aparatury </w:t>
      </w:r>
      <w:r w:rsidRPr="00360EFC">
        <w:rPr>
          <w:rFonts w:ascii="Calibri" w:hAnsi="Calibri"/>
          <w:b w:val="0"/>
          <w:sz w:val="22"/>
          <w:szCs w:val="22"/>
        </w:rPr>
        <w:br/>
        <w:t xml:space="preserve">o 1.327 tys. zł w porównaniu do I półrocza 2015 roku, przychody tego segmentu stanowią 15% ogólnej wartości sprzedaży usług w 2016 roku i w porównaniu do danych </w:t>
      </w:r>
      <w:r w:rsidRPr="00360EFC">
        <w:rPr>
          <w:rFonts w:ascii="Calibri" w:hAnsi="Calibri"/>
          <w:b w:val="0"/>
          <w:sz w:val="22"/>
          <w:szCs w:val="22"/>
        </w:rPr>
        <w:br/>
        <w:t>za 2015 rok udział tego segmentu wzrósł o 7 punktów procentowych,</w:t>
      </w:r>
    </w:p>
    <w:p w14:paraId="47F80503" w14:textId="77777777" w:rsidR="00D46A98" w:rsidRPr="00360EFC" w:rsidRDefault="00D46A98"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360EFC">
        <w:rPr>
          <w:rFonts w:ascii="Calibri" w:hAnsi="Calibri"/>
          <w:b w:val="0"/>
          <w:sz w:val="22"/>
          <w:szCs w:val="22"/>
        </w:rPr>
        <w:t xml:space="preserve">marża brutto w segmencie B spadła o 4 punkty procentowe do poziomu 5%, </w:t>
      </w:r>
    </w:p>
    <w:p w14:paraId="10E53143" w14:textId="77777777" w:rsidR="00D46A98" w:rsidRPr="00360EFC" w:rsidRDefault="00D46A98"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360EFC">
        <w:rPr>
          <w:rFonts w:ascii="Calibri" w:hAnsi="Calibri"/>
          <w:b w:val="0"/>
          <w:sz w:val="22"/>
          <w:szCs w:val="22"/>
        </w:rPr>
        <w:lastRenderedPageBreak/>
        <w:t xml:space="preserve">bez zmian w porównaniu do roku ubiegłego pozostają przychody i koszty  ze sprzedaży </w:t>
      </w:r>
      <w:r w:rsidRPr="00360EFC">
        <w:rPr>
          <w:rFonts w:ascii="Calibri" w:hAnsi="Calibri"/>
          <w:b w:val="0"/>
          <w:sz w:val="22"/>
          <w:szCs w:val="22"/>
        </w:rPr>
        <w:br/>
        <w:t>w ramach usług z zakresu obróbki skrawaniem; przychody tego segmentu nadal stanowią 3% ogólnej wartości sprzedaży usług w 2016 roku jak w roku poprzednim,</w:t>
      </w:r>
    </w:p>
    <w:p w14:paraId="439FA3C4" w14:textId="77777777" w:rsidR="00D46A98" w:rsidRPr="00360EFC" w:rsidRDefault="00D46A98"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360EFC">
        <w:rPr>
          <w:rFonts w:ascii="Calibri" w:hAnsi="Calibri"/>
          <w:b w:val="0"/>
          <w:sz w:val="22"/>
          <w:szCs w:val="22"/>
        </w:rPr>
        <w:t xml:space="preserve">marża brutto w segmencie C utrzymała się na niezmienionym poziomie 10% </w:t>
      </w:r>
      <w:r w:rsidRPr="00360EFC">
        <w:rPr>
          <w:rFonts w:ascii="Calibri" w:hAnsi="Calibri"/>
          <w:b w:val="0"/>
          <w:sz w:val="22"/>
          <w:szCs w:val="22"/>
        </w:rPr>
        <w:br/>
        <w:t>w porównaniu do marży poprzedniego okresu,</w:t>
      </w:r>
    </w:p>
    <w:p w14:paraId="5E5A7A88" w14:textId="77777777" w:rsidR="00D46A98" w:rsidRPr="00360EFC" w:rsidRDefault="00D46A98"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360EFC">
        <w:rPr>
          <w:rFonts w:ascii="Calibri" w:hAnsi="Calibri"/>
          <w:b w:val="0"/>
          <w:sz w:val="22"/>
          <w:szCs w:val="22"/>
        </w:rPr>
        <w:t xml:space="preserve">spadek przychodów ze sprzedaży w zakresie usług budowlano-montażowych o wartość 15.008 tys. zł, przy równoczesnym spadku kosztów tego segmentu o 13.477 tys. zł; przychody tego segmentu w ogólnej wartości sprzedaży stanowią 53% i w porównaniu </w:t>
      </w:r>
      <w:r w:rsidRPr="00360EFC">
        <w:rPr>
          <w:rFonts w:ascii="Calibri" w:hAnsi="Calibri"/>
          <w:b w:val="0"/>
          <w:sz w:val="22"/>
          <w:szCs w:val="22"/>
        </w:rPr>
        <w:br/>
        <w:t>do analogicznego okresu roku 2015 udział segmentu spadł o 17 punktów procentowych,</w:t>
      </w:r>
    </w:p>
    <w:p w14:paraId="501B9590" w14:textId="77777777" w:rsidR="00D46A98" w:rsidRPr="00360EFC" w:rsidRDefault="00D46A98"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360EFC">
        <w:rPr>
          <w:rFonts w:ascii="Calibri" w:hAnsi="Calibri"/>
          <w:b w:val="0"/>
          <w:sz w:val="22"/>
          <w:szCs w:val="22"/>
        </w:rPr>
        <w:t xml:space="preserve">wzrost marży brutto segmentu usług budowlano-montażowych o 1 punkt  procentowy, do 12%. </w:t>
      </w:r>
    </w:p>
    <w:p w14:paraId="4D458D34" w14:textId="77777777" w:rsidR="00D46A98" w:rsidRPr="00360EFC" w:rsidRDefault="00D46A98" w:rsidP="00D46A98">
      <w:pPr>
        <w:pStyle w:val="wypunktowanie1sprawozdanie"/>
        <w:spacing w:before="0" w:after="0" w:line="360" w:lineRule="auto"/>
        <w:ind w:left="851"/>
        <w:rPr>
          <w:rFonts w:ascii="Calibri" w:hAnsi="Calibri"/>
          <w:b w:val="0"/>
          <w:sz w:val="22"/>
          <w:szCs w:val="22"/>
        </w:rPr>
      </w:pPr>
    </w:p>
    <w:p w14:paraId="0046E035" w14:textId="77777777" w:rsidR="00D46A98" w:rsidRPr="00360EFC" w:rsidRDefault="00D46A98" w:rsidP="00D46A98">
      <w:pPr>
        <w:tabs>
          <w:tab w:val="left" w:pos="540"/>
        </w:tabs>
        <w:spacing w:line="360" w:lineRule="auto"/>
        <w:jc w:val="both"/>
        <w:rPr>
          <w:rFonts w:ascii="Calibri" w:hAnsi="Calibri" w:cs="Arial"/>
          <w:sz w:val="22"/>
          <w:szCs w:val="22"/>
        </w:rPr>
      </w:pPr>
      <w:r w:rsidRPr="00360EFC">
        <w:rPr>
          <w:rFonts w:ascii="Calibri" w:hAnsi="Calibri" w:cs="Arial"/>
          <w:sz w:val="22"/>
          <w:szCs w:val="22"/>
        </w:rPr>
        <w:tab/>
        <w:t xml:space="preserve">Ogólny spadek przychodów z tytułu świadczonych przez Spółkę </w:t>
      </w:r>
      <w:r w:rsidR="002E4153">
        <w:rPr>
          <w:rFonts w:ascii="Calibri" w:hAnsi="Calibri" w:cs="Arial"/>
          <w:sz w:val="22"/>
          <w:szCs w:val="22"/>
        </w:rPr>
        <w:t>CHEMOSERVIS-DWORY</w:t>
      </w:r>
      <w:r w:rsidRPr="00360EFC">
        <w:rPr>
          <w:rFonts w:ascii="Calibri" w:hAnsi="Calibri" w:cs="Arial"/>
          <w:sz w:val="22"/>
          <w:szCs w:val="22"/>
        </w:rPr>
        <w:t xml:space="preserve"> S.A. usług jest efektem realizacji mniejszego zakresu prac inwestycyjnych w porównaniu do I półrocza roku ubiegłego, czego skutek widać przede wszystkim w segmencie robót budowlano-montażowych. </w:t>
      </w:r>
      <w:r w:rsidR="009C6F76" w:rsidRPr="00360EFC">
        <w:rPr>
          <w:rFonts w:ascii="Calibri" w:hAnsi="Calibri" w:cs="Arial"/>
          <w:sz w:val="22"/>
          <w:szCs w:val="22"/>
        </w:rPr>
        <w:br/>
      </w:r>
      <w:r w:rsidRPr="00360EFC">
        <w:rPr>
          <w:rFonts w:ascii="Calibri" w:hAnsi="Calibri" w:cs="Arial"/>
          <w:sz w:val="22"/>
          <w:szCs w:val="22"/>
        </w:rPr>
        <w:t xml:space="preserve">W pozostałych dwóch segmentach zrealizowane przychody są wyższe od danych analogicznych poprzedniego roku, w jednym na prawie niezmienionym poziomie. </w:t>
      </w:r>
    </w:p>
    <w:p w14:paraId="3A13FC57" w14:textId="77777777" w:rsidR="00D46A98" w:rsidRPr="00360EFC" w:rsidRDefault="00D46A98" w:rsidP="00D46A98">
      <w:pPr>
        <w:tabs>
          <w:tab w:val="left" w:pos="540"/>
        </w:tabs>
        <w:spacing w:line="360" w:lineRule="auto"/>
        <w:jc w:val="both"/>
        <w:rPr>
          <w:rFonts w:ascii="Calibri" w:hAnsi="Calibri" w:cs="Arial"/>
          <w:sz w:val="22"/>
          <w:szCs w:val="22"/>
        </w:rPr>
      </w:pPr>
      <w:r w:rsidRPr="00360EFC">
        <w:rPr>
          <w:rFonts w:ascii="Calibri" w:hAnsi="Calibri" w:cs="Arial"/>
          <w:sz w:val="22"/>
          <w:szCs w:val="22"/>
        </w:rPr>
        <w:tab/>
        <w:t xml:space="preserve">Uzyskany wynik finansowy Spółki </w:t>
      </w:r>
      <w:r w:rsidR="002E4153">
        <w:rPr>
          <w:rFonts w:ascii="Calibri" w:hAnsi="Calibri" w:cs="Arial"/>
          <w:sz w:val="22"/>
          <w:szCs w:val="22"/>
        </w:rPr>
        <w:t>CHEMOSERVIS-DWORY</w:t>
      </w:r>
      <w:r w:rsidRPr="00360EFC">
        <w:rPr>
          <w:rFonts w:ascii="Calibri" w:hAnsi="Calibri" w:cs="Arial"/>
          <w:sz w:val="22"/>
          <w:szCs w:val="22"/>
        </w:rPr>
        <w:t xml:space="preserve"> S.A., jest konsekwencją spadku marż na świadczonych usługach w jednym segmencie oraz utrzymaniem poziomu marż na niezmienionym poziomie w dwóch pozostałych. </w:t>
      </w:r>
    </w:p>
    <w:p w14:paraId="2BC45A18" w14:textId="77777777" w:rsidR="000A3917" w:rsidRDefault="00D46A98" w:rsidP="00D46A98">
      <w:pPr>
        <w:tabs>
          <w:tab w:val="left" w:pos="540"/>
        </w:tabs>
        <w:spacing w:line="360" w:lineRule="auto"/>
        <w:jc w:val="both"/>
        <w:rPr>
          <w:rFonts w:ascii="Calibri" w:hAnsi="Calibri" w:cs="Arial"/>
          <w:sz w:val="22"/>
          <w:szCs w:val="22"/>
        </w:rPr>
      </w:pPr>
      <w:r w:rsidRPr="00360EFC">
        <w:rPr>
          <w:rFonts w:ascii="Calibri" w:hAnsi="Calibri" w:cs="Arial"/>
          <w:sz w:val="22"/>
          <w:szCs w:val="22"/>
        </w:rPr>
        <w:tab/>
        <w:t xml:space="preserve">Analizując wysokość marż na poszczególnych poziomach uzyskanych przez Spółkę wyników finansowych, marża netto oraz marża brutto pozostały na niezmienionych poziomach w porównaniu </w:t>
      </w:r>
      <w:r w:rsidRPr="00360EFC">
        <w:rPr>
          <w:rFonts w:ascii="Calibri" w:hAnsi="Calibri" w:cs="Arial"/>
          <w:sz w:val="22"/>
          <w:szCs w:val="22"/>
        </w:rPr>
        <w:br/>
        <w:t xml:space="preserve">do danych z analogicznego okresu roku ubiegłego. Z kolei marża na działalności operacyjnej spadła </w:t>
      </w:r>
      <w:r w:rsidRPr="00360EFC">
        <w:rPr>
          <w:rFonts w:ascii="Calibri" w:hAnsi="Calibri" w:cs="Arial"/>
          <w:sz w:val="22"/>
          <w:szCs w:val="22"/>
        </w:rPr>
        <w:br/>
        <w:t>o 3 punkty procentowe. Zatem pomimo realizacji znacząco mniejszego zakresu zadań inwestycyjnych dla kontrahentów, pozyskane dywidendy, wynik na sprzedaży udziałów oraz poniesione koszty obsługi zadłużenia pozwoliły utrzymać marże brutto i netto na niezmienionych poziomach.</w:t>
      </w:r>
    </w:p>
    <w:p w14:paraId="26C10D55" w14:textId="77777777" w:rsidR="00D46A98" w:rsidRPr="00360EFC" w:rsidRDefault="00D46A98" w:rsidP="00D46A98">
      <w:pPr>
        <w:tabs>
          <w:tab w:val="left" w:pos="540"/>
        </w:tabs>
        <w:spacing w:line="360" w:lineRule="auto"/>
        <w:jc w:val="both"/>
        <w:rPr>
          <w:rFonts w:ascii="Calibri" w:hAnsi="Calibri" w:cs="Arial"/>
          <w:sz w:val="22"/>
          <w:szCs w:val="22"/>
        </w:rPr>
      </w:pPr>
      <w:r w:rsidRPr="00360EFC">
        <w:rPr>
          <w:rFonts w:ascii="Calibri" w:hAnsi="Calibri" w:cs="Arial"/>
          <w:sz w:val="22"/>
          <w:szCs w:val="22"/>
        </w:rPr>
        <w:t xml:space="preserve"> </w:t>
      </w:r>
    </w:p>
    <w:p w14:paraId="57293BB6" w14:textId="3ABA0090" w:rsidR="00D46A98" w:rsidRPr="00360EFC" w:rsidRDefault="00D46A98" w:rsidP="00D46A98">
      <w:pPr>
        <w:widowControl w:val="0"/>
        <w:tabs>
          <w:tab w:val="left" w:pos="540"/>
        </w:tabs>
        <w:spacing w:line="360" w:lineRule="auto"/>
        <w:jc w:val="both"/>
        <w:rPr>
          <w:rFonts w:ascii="Calibri" w:hAnsi="Calibri" w:cs="Arial"/>
          <w:sz w:val="22"/>
          <w:szCs w:val="22"/>
        </w:rPr>
      </w:pPr>
      <w:r w:rsidRPr="00360EFC">
        <w:rPr>
          <w:rFonts w:ascii="Calibri" w:hAnsi="Calibri" w:cs="Arial"/>
          <w:sz w:val="22"/>
          <w:szCs w:val="22"/>
        </w:rPr>
        <w:tab/>
        <w:t xml:space="preserve">W chwili obecnej priorytetem Spółki </w:t>
      </w:r>
      <w:r w:rsidR="002E4153">
        <w:rPr>
          <w:rFonts w:ascii="Calibri" w:hAnsi="Calibri" w:cs="Arial"/>
          <w:sz w:val="22"/>
          <w:szCs w:val="22"/>
        </w:rPr>
        <w:t>CHEMOSERVIS-DWORY</w:t>
      </w:r>
      <w:r w:rsidRPr="00360EFC">
        <w:rPr>
          <w:rFonts w:ascii="Calibri" w:hAnsi="Calibri" w:cs="Arial"/>
          <w:sz w:val="22"/>
          <w:szCs w:val="22"/>
        </w:rPr>
        <w:t xml:space="preserve"> S.A. są: dalsza dywersyfikacja źródeł przychodów poprzez zwiększanie ilości klientów i zleceń z rynku zewnętrznego oraz poszukiwanie i wdrażanie możliwych oszczędności w ramach ponoszonych kosztów funkcjonowania, szczególnie w kosztach stałych jednostki oraz stałe monitorowanie poziomu kosztów realizacji zleceń </w:t>
      </w:r>
      <w:r w:rsidR="009C6F76" w:rsidRPr="00360EFC">
        <w:rPr>
          <w:rFonts w:ascii="Calibri" w:hAnsi="Calibri" w:cs="Arial"/>
          <w:sz w:val="22"/>
          <w:szCs w:val="22"/>
        </w:rPr>
        <w:br/>
      </w:r>
      <w:r w:rsidRPr="00360EFC">
        <w:rPr>
          <w:rFonts w:ascii="Calibri" w:hAnsi="Calibri" w:cs="Arial"/>
          <w:sz w:val="22"/>
          <w:szCs w:val="22"/>
        </w:rPr>
        <w:t xml:space="preserve">w porównaniu do poziomu zaawansowania prac. W ocenie Zarządu Spółki, realizacja takiej strategii pozwoli w przyszłości na zwiększenie marż osiąganych na zleceniach i poprawę wskaźników </w:t>
      </w:r>
      <w:r w:rsidRPr="00360EFC">
        <w:rPr>
          <w:rFonts w:ascii="Calibri" w:hAnsi="Calibri" w:cs="Arial"/>
          <w:sz w:val="22"/>
          <w:szCs w:val="22"/>
        </w:rPr>
        <w:lastRenderedPageBreak/>
        <w:t xml:space="preserve">rentowności Spółki, przy równoczesnym realizowaniu umów wieloletnich z zakresu utrzymania ruchu i zabezpieczaniu określonego poziomu przychodów. Spółka rozszerza również zakres usług świadczonych w ramach utrzymania ruchu. Wykorzystując również nabyte doświadczenie, służby Spółki pracują nad pozyskiwaniem zleceń związanych tematycznie z już zrealizowanymi pracami, bądź będącymi w trakcie realizacji. Pozwala to na wykorzystanie przewagi konkurencyjnej w postaci doświadczenia i wiedzy służb wykonawczych i technicznych Spółki. </w:t>
      </w:r>
    </w:p>
    <w:p w14:paraId="63E49A0B" w14:textId="77777777" w:rsidR="00D46A98" w:rsidRPr="00DD3750" w:rsidRDefault="00D46A98" w:rsidP="00D46A98">
      <w:pPr>
        <w:pStyle w:val="Tekstpodstawowy"/>
        <w:tabs>
          <w:tab w:val="clear" w:pos="0"/>
          <w:tab w:val="clear" w:pos="851"/>
          <w:tab w:val="clear" w:pos="1700"/>
          <w:tab w:val="clear" w:pos="2551"/>
          <w:tab w:val="clear" w:pos="3402"/>
          <w:tab w:val="clear" w:pos="4254"/>
          <w:tab w:val="clear" w:pos="5105"/>
          <w:tab w:val="clear" w:pos="5954"/>
          <w:tab w:val="clear" w:pos="6805"/>
          <w:tab w:val="clear" w:pos="7656"/>
          <w:tab w:val="clear" w:pos="8508"/>
          <w:tab w:val="clear" w:pos="8640"/>
        </w:tabs>
        <w:spacing w:line="360" w:lineRule="auto"/>
        <w:ind w:firstLine="567"/>
        <w:rPr>
          <w:rFonts w:asciiTheme="minorHAnsi" w:hAnsiTheme="minorHAnsi" w:cs="Arial"/>
          <w:b w:val="0"/>
          <w:i/>
          <w:sz w:val="22"/>
          <w:szCs w:val="22"/>
        </w:rPr>
      </w:pPr>
      <w:r w:rsidRPr="00360EFC">
        <w:rPr>
          <w:rFonts w:ascii="Calibri" w:hAnsi="Calibri"/>
          <w:b w:val="0"/>
          <w:sz w:val="22"/>
          <w:szCs w:val="22"/>
        </w:rPr>
        <w:t xml:space="preserve">Spółka </w:t>
      </w:r>
      <w:r w:rsidR="002E4153">
        <w:rPr>
          <w:rFonts w:ascii="Calibri" w:hAnsi="Calibri"/>
          <w:b w:val="0"/>
          <w:sz w:val="22"/>
          <w:szCs w:val="22"/>
        </w:rPr>
        <w:t>CHEMOSERVIS-DWORY</w:t>
      </w:r>
      <w:r w:rsidRPr="00360EFC">
        <w:rPr>
          <w:rFonts w:ascii="Calibri" w:hAnsi="Calibri"/>
          <w:b w:val="0"/>
          <w:sz w:val="22"/>
          <w:szCs w:val="22"/>
        </w:rPr>
        <w:t xml:space="preserve"> S.A. znajduje się w dobrej kondycji finansowej. </w:t>
      </w:r>
      <w:r w:rsidRPr="00360EFC">
        <w:rPr>
          <w:rFonts w:ascii="Calibri" w:hAnsi="Calibri"/>
          <w:b w:val="0"/>
          <w:sz w:val="22"/>
          <w:szCs w:val="22"/>
        </w:rPr>
        <w:br/>
        <w:t xml:space="preserve">Wskaźnik ogólnego zadłużenia za I półrocze 2015 roku ukształtował się na poziomie 0,43, </w:t>
      </w:r>
      <w:r w:rsidRPr="00360EFC">
        <w:rPr>
          <w:rFonts w:ascii="Calibri" w:hAnsi="Calibri"/>
          <w:b w:val="0"/>
          <w:sz w:val="22"/>
          <w:szCs w:val="22"/>
        </w:rPr>
        <w:br/>
        <w:t>i jest na takim samym poziomie jak w analogicznym okresie roku poprzedniego. Wskaźniki płynności kształtują się na następujących poziomach: wskaźnik bieżącej płynności 1,98 oraz wskaźnik szybkiej płynności 1,96. Spółka terminowo i w pełnej obowiązującej wysokości reguluje swoje zobowiązania wynikające z zawartych umów kredytowych</w:t>
      </w:r>
      <w:r w:rsidR="00355BAA">
        <w:rPr>
          <w:rFonts w:ascii="Calibri" w:hAnsi="Calibri"/>
          <w:b w:val="0"/>
          <w:sz w:val="22"/>
          <w:szCs w:val="22"/>
        </w:rPr>
        <w:t xml:space="preserve"> i pożyczkowych</w:t>
      </w:r>
      <w:r w:rsidRPr="00360EFC">
        <w:rPr>
          <w:rFonts w:ascii="Calibri" w:hAnsi="Calibri"/>
          <w:b w:val="0"/>
          <w:sz w:val="22"/>
          <w:szCs w:val="22"/>
        </w:rPr>
        <w:t>.</w:t>
      </w:r>
    </w:p>
    <w:p w14:paraId="53F68B89" w14:textId="77777777" w:rsidR="00EB2E85" w:rsidRPr="00183773" w:rsidRDefault="00EB2E85" w:rsidP="00144673">
      <w:pPr>
        <w:tabs>
          <w:tab w:val="left" w:pos="540"/>
        </w:tabs>
        <w:spacing w:line="360" w:lineRule="auto"/>
        <w:ind w:firstLine="567"/>
        <w:jc w:val="both"/>
        <w:rPr>
          <w:rFonts w:ascii="Calibri" w:hAnsi="Calibri" w:cs="Arial"/>
          <w:highlight w:val="green"/>
        </w:rPr>
      </w:pPr>
    </w:p>
    <w:p w14:paraId="3453E40E" w14:textId="77777777" w:rsidR="00413493" w:rsidRPr="002A6DCF" w:rsidRDefault="00360408" w:rsidP="003A6307">
      <w:pPr>
        <w:tabs>
          <w:tab w:val="left" w:pos="567"/>
        </w:tabs>
        <w:spacing w:line="360" w:lineRule="auto"/>
        <w:jc w:val="both"/>
        <w:rPr>
          <w:rFonts w:ascii="Calibri" w:hAnsi="Calibri" w:cs="Arial"/>
          <w:highlight w:val="yellow"/>
          <w:u w:val="single"/>
        </w:rPr>
      </w:pPr>
      <w:r w:rsidRPr="002A6DCF">
        <w:rPr>
          <w:rFonts w:ascii="Calibri" w:hAnsi="Calibri" w:cs="Arial"/>
          <w:u w:val="single"/>
        </w:rPr>
        <w:t>Dane</w:t>
      </w:r>
      <w:r w:rsidR="008F1952" w:rsidRPr="002A6DCF">
        <w:rPr>
          <w:rFonts w:ascii="Calibri" w:hAnsi="Calibri" w:cs="Arial"/>
          <w:u w:val="single"/>
        </w:rPr>
        <w:t xml:space="preserve"> </w:t>
      </w:r>
      <w:r w:rsidR="003A6307" w:rsidRPr="002A6DCF">
        <w:rPr>
          <w:rFonts w:ascii="Calibri" w:hAnsi="Calibri" w:cs="Arial"/>
          <w:u w:val="single"/>
        </w:rPr>
        <w:t xml:space="preserve">finansowe </w:t>
      </w:r>
      <w:r w:rsidR="008F1952" w:rsidRPr="002A6DCF">
        <w:rPr>
          <w:rFonts w:ascii="Calibri" w:hAnsi="Calibri" w:cs="Arial"/>
          <w:u w:val="single"/>
        </w:rPr>
        <w:t>jednostkowe</w:t>
      </w:r>
      <w:r w:rsidRPr="002A6DCF">
        <w:rPr>
          <w:rFonts w:ascii="Calibri" w:hAnsi="Calibri" w:cs="Arial"/>
          <w:u w:val="single"/>
        </w:rPr>
        <w:t xml:space="preserve"> dotyczące </w:t>
      </w:r>
      <w:r w:rsidR="00DE17C4" w:rsidRPr="002A6DCF">
        <w:rPr>
          <w:rFonts w:ascii="Calibri" w:hAnsi="Calibri" w:cs="Arial"/>
          <w:u w:val="single"/>
        </w:rPr>
        <w:t>Spółki</w:t>
      </w:r>
      <w:r w:rsidRPr="002A6DCF">
        <w:rPr>
          <w:rFonts w:ascii="Calibri" w:hAnsi="Calibri" w:cs="Arial"/>
          <w:u w:val="single"/>
        </w:rPr>
        <w:t xml:space="preserve"> zależne</w:t>
      </w:r>
      <w:r w:rsidR="00DE17C4" w:rsidRPr="002A6DCF">
        <w:rPr>
          <w:rFonts w:ascii="Calibri" w:hAnsi="Calibri" w:cs="Arial"/>
          <w:u w:val="single"/>
        </w:rPr>
        <w:t>j</w:t>
      </w:r>
      <w:r w:rsidRPr="002A6DCF">
        <w:rPr>
          <w:rFonts w:ascii="Calibri" w:hAnsi="Calibri" w:cs="Arial"/>
          <w:u w:val="single"/>
        </w:rPr>
        <w:t xml:space="preserve"> – ZE ZEN Sp. z o.o.</w:t>
      </w:r>
    </w:p>
    <w:p w14:paraId="1160CC66" w14:textId="77777777" w:rsidR="008F1952" w:rsidRPr="00360EFC" w:rsidRDefault="008F1952" w:rsidP="00144673">
      <w:pPr>
        <w:tabs>
          <w:tab w:val="left" w:pos="567"/>
        </w:tabs>
        <w:spacing w:line="360" w:lineRule="auto"/>
        <w:ind w:firstLine="567"/>
        <w:jc w:val="both"/>
        <w:rPr>
          <w:rFonts w:ascii="Calibri" w:hAnsi="Calibri" w:cs="Arial"/>
          <w:color w:val="FF0000"/>
          <w:highlight w:val="green"/>
          <w:u w:val="single"/>
        </w:rPr>
      </w:pPr>
    </w:p>
    <w:p w14:paraId="498E1A54" w14:textId="77777777" w:rsidR="002A6DCF" w:rsidRPr="00932529" w:rsidRDefault="00063374" w:rsidP="002A6DCF">
      <w:pPr>
        <w:tabs>
          <w:tab w:val="left" w:pos="540"/>
        </w:tabs>
        <w:spacing w:line="360" w:lineRule="auto"/>
        <w:jc w:val="both"/>
        <w:rPr>
          <w:rFonts w:asciiTheme="minorHAnsi" w:hAnsiTheme="minorHAnsi"/>
          <w:sz w:val="22"/>
          <w:szCs w:val="22"/>
        </w:rPr>
      </w:pPr>
      <w:r>
        <w:rPr>
          <w:rFonts w:asciiTheme="minorHAnsi" w:hAnsiTheme="minorHAnsi"/>
          <w:sz w:val="22"/>
          <w:szCs w:val="22"/>
        </w:rPr>
        <w:tab/>
      </w:r>
      <w:r w:rsidR="002A6DCF" w:rsidRPr="00932529">
        <w:rPr>
          <w:rFonts w:asciiTheme="minorHAnsi" w:hAnsiTheme="minorHAnsi"/>
          <w:sz w:val="22"/>
          <w:szCs w:val="22"/>
        </w:rPr>
        <w:t xml:space="preserve">W pierwszym półroczu 2016 roku Spółka </w:t>
      </w:r>
      <w:r w:rsidR="002A6DCF" w:rsidRPr="00932529">
        <w:rPr>
          <w:rFonts w:asciiTheme="minorHAnsi" w:hAnsiTheme="minorHAnsi" w:cs="Arial"/>
          <w:sz w:val="22"/>
          <w:szCs w:val="22"/>
        </w:rPr>
        <w:t xml:space="preserve">Zakład Energetyczny ZEN Sp. z o.o. </w:t>
      </w:r>
      <w:r w:rsidR="002A6DCF" w:rsidRPr="00932529">
        <w:rPr>
          <w:rFonts w:asciiTheme="minorHAnsi" w:hAnsiTheme="minorHAnsi"/>
          <w:sz w:val="22"/>
          <w:szCs w:val="22"/>
        </w:rPr>
        <w:t xml:space="preserve">uzyskała po uwzględnieniu kontraktów długoterminowych wzrost przychodów ze sprzedaży o 42,2 % do wysokości 21.252 tys. zł, w porównaniu do 14.940 tys. zł w analogicznym okresie 2015 roku. Wzrost sprzedaży uzyskany został m.in. dzięki częściowej realizacji budowy układu zasilania elektrycznego na potrzeby nowego bloku BT6 ALKAT dla firmy </w:t>
      </w:r>
      <w:proofErr w:type="spellStart"/>
      <w:r w:rsidR="002A6DCF" w:rsidRPr="00932529">
        <w:rPr>
          <w:rFonts w:asciiTheme="minorHAnsi" w:hAnsiTheme="minorHAnsi"/>
          <w:sz w:val="22"/>
          <w:szCs w:val="22"/>
        </w:rPr>
        <w:t>Tameh</w:t>
      </w:r>
      <w:proofErr w:type="spellEnd"/>
      <w:r w:rsidR="002A6DCF" w:rsidRPr="00932529">
        <w:rPr>
          <w:rFonts w:asciiTheme="minorHAnsi" w:hAnsiTheme="minorHAnsi"/>
          <w:sz w:val="22"/>
          <w:szCs w:val="22"/>
        </w:rPr>
        <w:t xml:space="preserve"> Polska oraz budowie instalacji odazotowania spalin w EC Janikowo d</w:t>
      </w:r>
      <w:r w:rsidR="002A6DCF">
        <w:rPr>
          <w:rFonts w:asciiTheme="minorHAnsi" w:hAnsiTheme="minorHAnsi"/>
          <w:sz w:val="22"/>
          <w:szCs w:val="22"/>
        </w:rPr>
        <w:t>la Chemoservis</w:t>
      </w:r>
      <w:r w:rsidR="002A6DCF" w:rsidRPr="00932529">
        <w:rPr>
          <w:rFonts w:asciiTheme="minorHAnsi" w:hAnsiTheme="minorHAnsi"/>
          <w:sz w:val="22"/>
          <w:szCs w:val="22"/>
        </w:rPr>
        <w:t xml:space="preserve">-Dwory S.A. </w:t>
      </w:r>
    </w:p>
    <w:p w14:paraId="6B94E7F9" w14:textId="77777777" w:rsidR="002A6DCF" w:rsidRPr="004E39F6" w:rsidRDefault="002A6DCF" w:rsidP="002A6DCF">
      <w:pPr>
        <w:tabs>
          <w:tab w:val="left" w:pos="540"/>
        </w:tabs>
        <w:spacing w:line="360" w:lineRule="auto"/>
        <w:ind w:firstLine="567"/>
        <w:jc w:val="both"/>
        <w:rPr>
          <w:rFonts w:asciiTheme="minorHAnsi" w:hAnsiTheme="minorHAnsi" w:cs="Arial"/>
          <w:sz w:val="22"/>
          <w:szCs w:val="22"/>
        </w:rPr>
      </w:pPr>
      <w:r w:rsidRPr="00932529">
        <w:rPr>
          <w:rFonts w:asciiTheme="minorHAnsi" w:hAnsiTheme="minorHAnsi" w:cs="Arial"/>
          <w:sz w:val="22"/>
          <w:szCs w:val="22"/>
        </w:rPr>
        <w:t>Po sześciu miesiącach 2016 roku koszty działalności operacyjnej Spółki Zakład Energetyczny ZEN Sp. z o.o.,  uwzględniającej kontrakty długoterminowe, wyniosły 20.590 tys. zł, w tym koszt sprzedanych produktów, towarów i materiałów w wysokości 19.278 tys. zł, koszty sprzedaży 404 tys. zł oraz koszty zarządu 908 tys. zł. Koszty działalności operacyjnej Spółki, w porównaniu do analogicznych danych za pierwsze półrocze 2015 roku wzrosły o 6.244  tys. zł, to jest o 43,5 %. Znaczący wzrost, z powodów opisanych powyżej, odnotowano w ramach kosztów sprzedanych produktów, towarów i materiałów bo o 46,5 % w porównaniu do danych z analogicznego okresu roku ubiegłego (kwota spadku 6.123 tys. zł).</w:t>
      </w:r>
    </w:p>
    <w:p w14:paraId="4A942508" w14:textId="77777777" w:rsidR="002A6DCF" w:rsidRPr="009D4211" w:rsidRDefault="002A6DCF" w:rsidP="002A6DCF">
      <w:pPr>
        <w:tabs>
          <w:tab w:val="left" w:pos="540"/>
        </w:tabs>
        <w:spacing w:line="360" w:lineRule="auto"/>
        <w:jc w:val="both"/>
        <w:rPr>
          <w:rFonts w:asciiTheme="minorHAnsi" w:hAnsiTheme="minorHAnsi" w:cs="Arial"/>
          <w:sz w:val="22"/>
          <w:szCs w:val="22"/>
        </w:rPr>
      </w:pPr>
      <w:r w:rsidRPr="004E39F6">
        <w:rPr>
          <w:rFonts w:asciiTheme="minorHAnsi" w:hAnsiTheme="minorHAnsi" w:cs="Arial"/>
          <w:sz w:val="22"/>
          <w:szCs w:val="22"/>
        </w:rPr>
        <w:tab/>
      </w:r>
      <w:r w:rsidRPr="009D4211">
        <w:rPr>
          <w:rFonts w:asciiTheme="minorHAnsi" w:hAnsiTheme="minorHAnsi" w:cs="Arial"/>
          <w:sz w:val="22"/>
          <w:szCs w:val="22"/>
        </w:rPr>
        <w:t xml:space="preserve">Koszty sprzedaży w I półroczu 2016 r. zmniejszyły się o 22 tys. zł w porównaniu do analogicznego okresu ubiegłego roku. Jednocześnie odnotowano wzrost kosztów zarządu o  18,7 % </w:t>
      </w:r>
      <w:r w:rsidR="000A3917">
        <w:rPr>
          <w:rFonts w:asciiTheme="minorHAnsi" w:hAnsiTheme="minorHAnsi" w:cs="Arial"/>
          <w:sz w:val="22"/>
          <w:szCs w:val="22"/>
        </w:rPr>
        <w:br/>
      </w:r>
      <w:r w:rsidRPr="009D4211">
        <w:rPr>
          <w:rFonts w:asciiTheme="minorHAnsi" w:hAnsiTheme="minorHAnsi" w:cs="Arial"/>
          <w:sz w:val="22"/>
          <w:szCs w:val="22"/>
        </w:rPr>
        <w:t>z 765 tys. zł w I półroczu 2015 r. do 908 tys. w I półroczu bieżącego roku.</w:t>
      </w:r>
    </w:p>
    <w:p w14:paraId="305D7B33" w14:textId="77777777" w:rsidR="002A6DCF" w:rsidRPr="009D4211" w:rsidRDefault="002A6DCF" w:rsidP="002A6DCF">
      <w:pPr>
        <w:tabs>
          <w:tab w:val="left" w:pos="540"/>
        </w:tabs>
        <w:spacing w:line="360" w:lineRule="auto"/>
        <w:jc w:val="both"/>
        <w:rPr>
          <w:rFonts w:asciiTheme="minorHAnsi" w:hAnsiTheme="minorHAnsi" w:cs="Arial"/>
          <w:sz w:val="22"/>
          <w:szCs w:val="22"/>
        </w:rPr>
      </w:pPr>
      <w:r w:rsidRPr="009D4211">
        <w:rPr>
          <w:rFonts w:asciiTheme="minorHAnsi" w:hAnsiTheme="minorHAnsi" w:cs="Arial"/>
          <w:sz w:val="22"/>
          <w:szCs w:val="22"/>
        </w:rPr>
        <w:lastRenderedPageBreak/>
        <w:tab/>
        <w:t>W I półroczu 2015 r. Spółka wykazała zysk na działalności operacyjnej w kwocie 631 tys. zł, natomiast w I półroczu 2016 r. osiągnęła zysk w wysokości 680 tys. zł.</w:t>
      </w:r>
    </w:p>
    <w:p w14:paraId="0D4C1E76" w14:textId="77777777" w:rsidR="002A6DCF" w:rsidRDefault="002A6DCF" w:rsidP="002A6DCF">
      <w:pPr>
        <w:tabs>
          <w:tab w:val="left" w:pos="0"/>
          <w:tab w:val="left" w:pos="540"/>
        </w:tabs>
        <w:spacing w:line="360" w:lineRule="auto"/>
        <w:jc w:val="both"/>
        <w:rPr>
          <w:rFonts w:asciiTheme="minorHAnsi" w:hAnsiTheme="minorHAnsi" w:cs="Arial"/>
          <w:sz w:val="22"/>
          <w:szCs w:val="22"/>
        </w:rPr>
      </w:pPr>
      <w:r w:rsidRPr="009D4211">
        <w:rPr>
          <w:rFonts w:asciiTheme="minorHAnsi" w:hAnsiTheme="minorHAnsi" w:cs="Arial"/>
          <w:sz w:val="22"/>
          <w:szCs w:val="22"/>
        </w:rPr>
        <w:tab/>
        <w:t>W ramach kosztów rodzajowych Zakład Energetyczny ZEN Sp. z o.o. zanotowano ogólny wzrost kosztów o 37,7 %, wynikający ze zmian w następujących pozycjach kosztów, w porównaniu do okresu analogicznego ubiegłego roku:</w:t>
      </w:r>
    </w:p>
    <w:p w14:paraId="3C393A8F" w14:textId="77777777" w:rsidR="000A3917" w:rsidRPr="009D4211" w:rsidRDefault="000A3917" w:rsidP="002A6DCF">
      <w:pPr>
        <w:tabs>
          <w:tab w:val="left" w:pos="0"/>
          <w:tab w:val="left" w:pos="540"/>
        </w:tabs>
        <w:spacing w:line="360" w:lineRule="auto"/>
        <w:jc w:val="both"/>
        <w:rPr>
          <w:rFonts w:asciiTheme="minorHAnsi" w:hAnsiTheme="minorHAnsi" w:cs="Arial"/>
          <w:sz w:val="22"/>
          <w:szCs w:val="22"/>
        </w:rPr>
      </w:pPr>
    </w:p>
    <w:p w14:paraId="7A88416F" w14:textId="77777777" w:rsidR="002A6DCF" w:rsidRPr="009D4211" w:rsidRDefault="002A6DCF" w:rsidP="00D73705">
      <w:pPr>
        <w:widowControl w:val="0"/>
        <w:numPr>
          <w:ilvl w:val="0"/>
          <w:numId w:val="4"/>
        </w:numPr>
        <w:tabs>
          <w:tab w:val="clear" w:pos="720"/>
        </w:tabs>
        <w:spacing w:line="360" w:lineRule="auto"/>
        <w:ind w:left="1134" w:hanging="567"/>
        <w:jc w:val="both"/>
        <w:rPr>
          <w:rFonts w:asciiTheme="minorHAnsi" w:hAnsiTheme="minorHAnsi" w:cs="Arial"/>
          <w:sz w:val="22"/>
          <w:szCs w:val="22"/>
        </w:rPr>
      </w:pPr>
      <w:r w:rsidRPr="009D4211">
        <w:rPr>
          <w:rFonts w:asciiTheme="minorHAnsi" w:hAnsiTheme="minorHAnsi" w:cs="Arial"/>
          <w:sz w:val="22"/>
          <w:szCs w:val="22"/>
        </w:rPr>
        <w:t>wzrost kosztów amortyzacji o 8,5 %, wynikający z zakupu w II połowie 2015 r. nowej siedziby Spółki oraz nowych środków trwałych,</w:t>
      </w:r>
    </w:p>
    <w:p w14:paraId="58433616" w14:textId="77777777" w:rsidR="002A6DCF" w:rsidRPr="009D4211" w:rsidRDefault="002A6DCF" w:rsidP="00D73705">
      <w:pPr>
        <w:widowControl w:val="0"/>
        <w:numPr>
          <w:ilvl w:val="0"/>
          <w:numId w:val="4"/>
        </w:numPr>
        <w:tabs>
          <w:tab w:val="clear" w:pos="720"/>
        </w:tabs>
        <w:spacing w:line="360" w:lineRule="auto"/>
        <w:ind w:left="1134" w:hanging="567"/>
        <w:jc w:val="both"/>
        <w:rPr>
          <w:rFonts w:asciiTheme="minorHAnsi" w:hAnsiTheme="minorHAnsi" w:cs="Arial"/>
          <w:sz w:val="22"/>
          <w:szCs w:val="22"/>
        </w:rPr>
      </w:pPr>
      <w:r w:rsidRPr="009D4211">
        <w:rPr>
          <w:rFonts w:asciiTheme="minorHAnsi" w:hAnsiTheme="minorHAnsi" w:cs="Arial"/>
          <w:sz w:val="22"/>
          <w:szCs w:val="22"/>
        </w:rPr>
        <w:t xml:space="preserve">wzrost kosztów zużycia materiałów i energii o 213,1 %, związany z realizacją projektów charakteryzujących się dużą materiałochłonnością,  </w:t>
      </w:r>
    </w:p>
    <w:p w14:paraId="257EC016" w14:textId="77777777" w:rsidR="002A6DCF" w:rsidRPr="009D4211" w:rsidRDefault="002A6DCF" w:rsidP="00D73705">
      <w:pPr>
        <w:widowControl w:val="0"/>
        <w:numPr>
          <w:ilvl w:val="0"/>
          <w:numId w:val="4"/>
        </w:numPr>
        <w:tabs>
          <w:tab w:val="clear" w:pos="720"/>
        </w:tabs>
        <w:spacing w:line="360" w:lineRule="auto"/>
        <w:ind w:left="1134" w:hanging="567"/>
        <w:jc w:val="both"/>
        <w:rPr>
          <w:rFonts w:asciiTheme="minorHAnsi" w:hAnsiTheme="minorHAnsi" w:cs="Arial"/>
          <w:sz w:val="22"/>
          <w:szCs w:val="22"/>
        </w:rPr>
      </w:pPr>
      <w:r w:rsidRPr="009D4211">
        <w:rPr>
          <w:rFonts w:asciiTheme="minorHAnsi" w:hAnsiTheme="minorHAnsi" w:cs="Arial"/>
          <w:sz w:val="22"/>
          <w:szCs w:val="22"/>
        </w:rPr>
        <w:t>wzrost kosztów usług obcych o 25,6 %, wynikający ze zwiększenia się zapotrzebowania na usługi podwykonawcze,</w:t>
      </w:r>
    </w:p>
    <w:p w14:paraId="0A9BDA85" w14:textId="77777777" w:rsidR="002A6DCF" w:rsidRPr="009D4211" w:rsidRDefault="002A6DCF" w:rsidP="00D73705">
      <w:pPr>
        <w:widowControl w:val="0"/>
        <w:numPr>
          <w:ilvl w:val="0"/>
          <w:numId w:val="4"/>
        </w:numPr>
        <w:tabs>
          <w:tab w:val="clear" w:pos="720"/>
        </w:tabs>
        <w:spacing w:line="360" w:lineRule="auto"/>
        <w:ind w:left="1134" w:hanging="567"/>
        <w:jc w:val="both"/>
        <w:rPr>
          <w:rFonts w:asciiTheme="minorHAnsi" w:hAnsiTheme="minorHAnsi" w:cs="Arial"/>
          <w:sz w:val="22"/>
          <w:szCs w:val="22"/>
        </w:rPr>
      </w:pPr>
      <w:r w:rsidRPr="009D4211">
        <w:rPr>
          <w:rFonts w:asciiTheme="minorHAnsi" w:hAnsiTheme="minorHAnsi" w:cs="Arial"/>
          <w:sz w:val="22"/>
          <w:szCs w:val="22"/>
        </w:rPr>
        <w:t>wzrost kosztów wynagrodzeń o 3,4 %, wynikający z konieczności zatrudnienia pracowników obcych na umowy o dzieło przy realizacji niektórych projektów,</w:t>
      </w:r>
    </w:p>
    <w:p w14:paraId="181AE195" w14:textId="77777777" w:rsidR="002A6DCF" w:rsidRPr="009D4211" w:rsidRDefault="002A6DCF" w:rsidP="00D73705">
      <w:pPr>
        <w:widowControl w:val="0"/>
        <w:numPr>
          <w:ilvl w:val="0"/>
          <w:numId w:val="4"/>
        </w:numPr>
        <w:tabs>
          <w:tab w:val="clear" w:pos="720"/>
          <w:tab w:val="left" w:pos="1134"/>
        </w:tabs>
        <w:spacing w:line="360" w:lineRule="auto"/>
        <w:ind w:left="1134" w:hanging="567"/>
        <w:jc w:val="both"/>
        <w:rPr>
          <w:rFonts w:asciiTheme="minorHAnsi" w:hAnsiTheme="minorHAnsi" w:cs="Arial"/>
          <w:sz w:val="22"/>
          <w:szCs w:val="22"/>
        </w:rPr>
      </w:pPr>
      <w:r w:rsidRPr="009D4211">
        <w:rPr>
          <w:rFonts w:asciiTheme="minorHAnsi" w:hAnsiTheme="minorHAnsi" w:cs="Arial"/>
          <w:sz w:val="22"/>
          <w:szCs w:val="22"/>
        </w:rPr>
        <w:t>wzrost kosztów na ubezpieczenia społeczne i inne świadczenia o 0,3 %,</w:t>
      </w:r>
    </w:p>
    <w:p w14:paraId="5A4CCC9F" w14:textId="77777777" w:rsidR="002A6DCF" w:rsidRPr="009D4211" w:rsidRDefault="002A6DCF" w:rsidP="00D73705">
      <w:pPr>
        <w:widowControl w:val="0"/>
        <w:numPr>
          <w:ilvl w:val="0"/>
          <w:numId w:val="4"/>
        </w:numPr>
        <w:tabs>
          <w:tab w:val="clear" w:pos="720"/>
          <w:tab w:val="left" w:pos="1134"/>
        </w:tabs>
        <w:spacing w:line="360" w:lineRule="auto"/>
        <w:ind w:left="1134" w:hanging="567"/>
        <w:jc w:val="both"/>
        <w:rPr>
          <w:rFonts w:asciiTheme="minorHAnsi" w:hAnsiTheme="minorHAnsi" w:cs="Arial"/>
          <w:sz w:val="22"/>
          <w:szCs w:val="22"/>
        </w:rPr>
      </w:pPr>
      <w:r w:rsidRPr="009D4211">
        <w:rPr>
          <w:rFonts w:asciiTheme="minorHAnsi" w:hAnsiTheme="minorHAnsi" w:cs="Arial"/>
          <w:sz w:val="22"/>
          <w:szCs w:val="22"/>
        </w:rPr>
        <w:t>wzrost pozostałych kosztów rodzajowych o 10,4 %, głownie za sprawą kosztów delegacji dotyczących realizacji kontraktów w Krakowie i Janikowie,</w:t>
      </w:r>
    </w:p>
    <w:p w14:paraId="4F52D224" w14:textId="77777777" w:rsidR="002A6DCF" w:rsidRPr="009D4211" w:rsidRDefault="002A6DCF" w:rsidP="00D73705">
      <w:pPr>
        <w:widowControl w:val="0"/>
        <w:numPr>
          <w:ilvl w:val="0"/>
          <w:numId w:val="4"/>
        </w:numPr>
        <w:tabs>
          <w:tab w:val="clear" w:pos="720"/>
        </w:tabs>
        <w:spacing w:line="360" w:lineRule="auto"/>
        <w:ind w:left="1134" w:hanging="567"/>
        <w:jc w:val="both"/>
        <w:rPr>
          <w:rFonts w:asciiTheme="minorHAnsi" w:hAnsiTheme="minorHAnsi" w:cs="Arial"/>
          <w:sz w:val="22"/>
          <w:szCs w:val="22"/>
        </w:rPr>
      </w:pPr>
      <w:r w:rsidRPr="009D4211">
        <w:rPr>
          <w:rFonts w:asciiTheme="minorHAnsi" w:hAnsiTheme="minorHAnsi" w:cs="Arial"/>
          <w:sz w:val="22"/>
          <w:szCs w:val="22"/>
        </w:rPr>
        <w:t>wzrost kosztów opłat i podatków o 24,8 %. Są to koszty związane z zakupem nowej siedziby Spółki w postaci podatku od nieruchomości i opłaty za wieczyste użytkowanie gruntów.</w:t>
      </w:r>
    </w:p>
    <w:p w14:paraId="37549BE0" w14:textId="77777777" w:rsidR="002A6DCF" w:rsidRPr="000A3917" w:rsidRDefault="002A6DCF" w:rsidP="002A6DCF">
      <w:pPr>
        <w:pStyle w:val="wypunktowanie1sprawozdanie"/>
        <w:spacing w:before="0" w:after="0" w:line="360" w:lineRule="auto"/>
        <w:rPr>
          <w:rFonts w:asciiTheme="minorHAnsi" w:hAnsiTheme="minorHAnsi"/>
          <w:b w:val="0"/>
          <w:sz w:val="16"/>
          <w:szCs w:val="16"/>
        </w:rPr>
      </w:pPr>
    </w:p>
    <w:p w14:paraId="43ECB053" w14:textId="77777777" w:rsidR="00343311" w:rsidRPr="002A6DCF" w:rsidRDefault="002A6DCF" w:rsidP="002A6DCF">
      <w:pPr>
        <w:pStyle w:val="wypunktowanie1sprawozdanie"/>
        <w:spacing w:before="0" w:after="0" w:line="360" w:lineRule="auto"/>
        <w:ind w:firstLine="567"/>
        <w:rPr>
          <w:rFonts w:asciiTheme="minorHAnsi" w:hAnsiTheme="minorHAnsi"/>
          <w:b w:val="0"/>
          <w:color w:val="FF0000"/>
          <w:sz w:val="22"/>
          <w:szCs w:val="22"/>
        </w:rPr>
      </w:pPr>
      <w:r w:rsidRPr="002A6DCF">
        <w:rPr>
          <w:rFonts w:asciiTheme="minorHAnsi" w:hAnsiTheme="minorHAnsi"/>
          <w:b w:val="0"/>
          <w:sz w:val="22"/>
          <w:szCs w:val="22"/>
        </w:rPr>
        <w:t xml:space="preserve">W konsekwencji wyżej opisanych czynników, w pierwszym półroczu 2016 roku Spółka Zakład Energetyczny ZEN Sp. z o.o. uzyskała zysk netto w wysokości 250 tys. zł w porównaniu  do zysku </w:t>
      </w:r>
      <w:r w:rsidRPr="002A6DCF">
        <w:rPr>
          <w:rFonts w:asciiTheme="minorHAnsi" w:hAnsiTheme="minorHAnsi"/>
          <w:b w:val="0"/>
          <w:sz w:val="22"/>
          <w:szCs w:val="22"/>
        </w:rPr>
        <w:br/>
        <w:t xml:space="preserve">w I półroczu 2015 r., który wyniósł 258 tys. zł. Zysk brutto ze sprzedaży w pierwszym półroczu 2016 roku wyniósł 1.974 tys. zł, i w porównaniu do danych za pierwsze półrocze 2015 roku, zwiększył się </w:t>
      </w:r>
      <w:r w:rsidRPr="002A6DCF">
        <w:rPr>
          <w:rFonts w:asciiTheme="minorHAnsi" w:hAnsiTheme="minorHAnsi"/>
          <w:b w:val="0"/>
          <w:sz w:val="22"/>
          <w:szCs w:val="22"/>
        </w:rPr>
        <w:br/>
        <w:t xml:space="preserve">o 189 tys. zł, czyli o 10,6 %. Wynik na pozostałej działalności operacyjnej po odjęciu od pozostałych przychodów operacyjnych pozostałych kosztów operacyjnych zamknął się zyskiem w wysokości </w:t>
      </w:r>
      <w:r>
        <w:rPr>
          <w:rFonts w:asciiTheme="minorHAnsi" w:hAnsiTheme="minorHAnsi"/>
          <w:b w:val="0"/>
          <w:sz w:val="22"/>
          <w:szCs w:val="22"/>
        </w:rPr>
        <w:br/>
      </w:r>
      <w:r w:rsidRPr="002A6DCF">
        <w:rPr>
          <w:rFonts w:asciiTheme="minorHAnsi" w:hAnsiTheme="minorHAnsi"/>
          <w:b w:val="0"/>
          <w:sz w:val="22"/>
          <w:szCs w:val="22"/>
        </w:rPr>
        <w:t xml:space="preserve">19 tys. zł. W analogicznym okresie 2015 r. Spółka zanotowała zysk w wysokości 37 tys. zł.  Strata na działalności finansowej wyniosła w I półroczu 2016 r. 349 tys. zł i była wyższa od zanotowanej </w:t>
      </w:r>
      <w:r>
        <w:rPr>
          <w:rFonts w:asciiTheme="minorHAnsi" w:hAnsiTheme="minorHAnsi"/>
          <w:b w:val="0"/>
          <w:sz w:val="22"/>
          <w:szCs w:val="22"/>
        </w:rPr>
        <w:br/>
      </w:r>
      <w:r w:rsidRPr="002A6DCF">
        <w:rPr>
          <w:rFonts w:asciiTheme="minorHAnsi" w:hAnsiTheme="minorHAnsi"/>
          <w:b w:val="0"/>
          <w:sz w:val="22"/>
          <w:szCs w:val="22"/>
        </w:rPr>
        <w:t>w analogicznym okresie 2015 r. o 55 tys. zł, głównie za sprawą wyższych kosztów za usługi factoringowe i odsetek od kredytów.  Zysk przed opodatkowaniem za 6 miesięcy 2016 roku Spółka uzyskała w wysokości 332 tys. zł. W I półroczu 2015 r. zysk przed opodatkowaniem zamknął się kwotą 338 tys. zł.</w:t>
      </w:r>
    </w:p>
    <w:p w14:paraId="6A3532B9" w14:textId="77777777" w:rsidR="002A6DCF" w:rsidRPr="009D4211" w:rsidRDefault="002A6DCF" w:rsidP="002A6DCF">
      <w:pPr>
        <w:pStyle w:val="wypunktowanie1sprawozdanie"/>
        <w:tabs>
          <w:tab w:val="left" w:pos="1134"/>
        </w:tabs>
        <w:spacing w:before="0" w:after="0" w:line="360" w:lineRule="auto"/>
        <w:ind w:firstLine="567"/>
        <w:rPr>
          <w:rFonts w:asciiTheme="minorHAnsi" w:hAnsiTheme="minorHAnsi"/>
          <w:b w:val="0"/>
          <w:sz w:val="22"/>
          <w:szCs w:val="22"/>
        </w:rPr>
      </w:pPr>
      <w:r w:rsidRPr="009D4211">
        <w:rPr>
          <w:rFonts w:asciiTheme="minorHAnsi" w:hAnsiTheme="minorHAnsi"/>
          <w:b w:val="0"/>
          <w:sz w:val="22"/>
          <w:szCs w:val="22"/>
        </w:rPr>
        <w:lastRenderedPageBreak/>
        <w:t>Do czynników wywierających istotny wpływ na poziom wyniku z działalności operacyjnej osiągniętego w I półroczu 2016 roku, w porównaniu z I półroczem 2015 roku, należy zaliczyć:</w:t>
      </w:r>
    </w:p>
    <w:p w14:paraId="15E7C37E" w14:textId="77777777" w:rsidR="002A6DCF" w:rsidRPr="009D4211" w:rsidRDefault="002A6DCF" w:rsidP="002A6DCF">
      <w:pPr>
        <w:pStyle w:val="wypunktowanie1sprawozdanie"/>
        <w:tabs>
          <w:tab w:val="left" w:pos="1134"/>
        </w:tabs>
        <w:spacing w:before="0" w:after="0" w:line="360" w:lineRule="auto"/>
        <w:ind w:firstLine="567"/>
        <w:rPr>
          <w:rFonts w:asciiTheme="minorHAnsi" w:hAnsiTheme="minorHAnsi"/>
          <w:b w:val="0"/>
          <w:sz w:val="22"/>
          <w:szCs w:val="22"/>
        </w:rPr>
      </w:pPr>
    </w:p>
    <w:p w14:paraId="77437BE8" w14:textId="77777777" w:rsidR="002A6DCF" w:rsidRPr="009D4211" w:rsidRDefault="002A6DCF" w:rsidP="00D73705">
      <w:pPr>
        <w:pStyle w:val="wypunktowanie1sprawozdanie"/>
        <w:numPr>
          <w:ilvl w:val="0"/>
          <w:numId w:val="4"/>
        </w:numPr>
        <w:tabs>
          <w:tab w:val="clear" w:pos="720"/>
          <w:tab w:val="num" w:pos="360"/>
          <w:tab w:val="num" w:pos="1418"/>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 xml:space="preserve">wzrost przychodów ze sprzedaży usług elektrycznych o wartość 6.938 tys. zł, przy równoczesnym wzroście kosztów o kwotę 6.691 tys. zł; przychody tego segmentu stanowią 44,4 % ogólnej wartości sprzedaży usług w 2016 roku i w porównaniu do analogicznych danych za 2014 rok udział tego segmentu w przychodach wzrósł </w:t>
      </w:r>
      <w:r w:rsidR="000A3917">
        <w:rPr>
          <w:rFonts w:asciiTheme="minorHAnsi" w:hAnsiTheme="minorHAnsi"/>
          <w:b w:val="0"/>
          <w:sz w:val="22"/>
          <w:szCs w:val="22"/>
        </w:rPr>
        <w:br/>
      </w:r>
      <w:r w:rsidRPr="009D4211">
        <w:rPr>
          <w:rFonts w:asciiTheme="minorHAnsi" w:hAnsiTheme="minorHAnsi"/>
          <w:b w:val="0"/>
          <w:sz w:val="22"/>
          <w:szCs w:val="22"/>
        </w:rPr>
        <w:t>o 27,6 punktu procentowego;</w:t>
      </w:r>
    </w:p>
    <w:p w14:paraId="72F569E4" w14:textId="77777777" w:rsidR="002A6DCF" w:rsidRPr="009D4211" w:rsidRDefault="002A6DCF" w:rsidP="00D73705">
      <w:pPr>
        <w:pStyle w:val="wypunktowanie1sprawozdanie"/>
        <w:numPr>
          <w:ilvl w:val="1"/>
          <w:numId w:val="4"/>
        </w:numPr>
        <w:tabs>
          <w:tab w:val="clear" w:pos="1440"/>
          <w:tab w:val="num" w:pos="1134"/>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spadek marży brutto w segmencie A do 7,6 %, czyli o 11,1 % w porównaniu do analogicznego okresu 2015 r.</w:t>
      </w:r>
    </w:p>
    <w:p w14:paraId="4BEC3E59" w14:textId="77777777" w:rsidR="002A6DCF" w:rsidRPr="009D4211" w:rsidRDefault="002A6DCF" w:rsidP="00D73705">
      <w:pPr>
        <w:pStyle w:val="wypunktowanie1sprawozdanie"/>
        <w:numPr>
          <w:ilvl w:val="1"/>
          <w:numId w:val="4"/>
        </w:numPr>
        <w:tabs>
          <w:tab w:val="clear" w:pos="1440"/>
          <w:tab w:val="num" w:pos="1134"/>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wzrost przychodów ze sprzedaży w seg</w:t>
      </w:r>
      <w:r w:rsidR="00C95529">
        <w:rPr>
          <w:rFonts w:asciiTheme="minorHAnsi" w:hAnsiTheme="minorHAnsi"/>
          <w:b w:val="0"/>
          <w:sz w:val="22"/>
          <w:szCs w:val="22"/>
        </w:rPr>
        <w:t xml:space="preserve">mencie B – usługi energetyczne </w:t>
      </w:r>
      <w:r w:rsidRPr="009D4211">
        <w:rPr>
          <w:rFonts w:asciiTheme="minorHAnsi" w:hAnsiTheme="minorHAnsi"/>
          <w:b w:val="0"/>
          <w:sz w:val="22"/>
          <w:szCs w:val="22"/>
        </w:rPr>
        <w:t xml:space="preserve">o 290 tys. zł </w:t>
      </w:r>
      <w:r w:rsidR="00C95529">
        <w:rPr>
          <w:rFonts w:asciiTheme="minorHAnsi" w:hAnsiTheme="minorHAnsi"/>
          <w:b w:val="0"/>
          <w:sz w:val="22"/>
          <w:szCs w:val="22"/>
        </w:rPr>
        <w:br/>
      </w:r>
      <w:r w:rsidRPr="009D4211">
        <w:rPr>
          <w:rFonts w:asciiTheme="minorHAnsi" w:hAnsiTheme="minorHAnsi"/>
          <w:b w:val="0"/>
          <w:sz w:val="22"/>
          <w:szCs w:val="22"/>
        </w:rPr>
        <w:t>w porównaniu do I półrocza 2015 roku, przychody tego segmentu stanowią 22,1 % ogólnej wartości sprzedaży usług w 2016 roku i w porównaniu do danych za 2015 rok udział tego segmentu spadł o 7,5 punktów procentowych;</w:t>
      </w:r>
    </w:p>
    <w:p w14:paraId="4120B32D" w14:textId="77777777" w:rsidR="002A6DCF" w:rsidRPr="009D4211" w:rsidRDefault="002A6DCF" w:rsidP="00D73705">
      <w:pPr>
        <w:pStyle w:val="wypunktowanie1sprawozdanie"/>
        <w:numPr>
          <w:ilvl w:val="1"/>
          <w:numId w:val="4"/>
        </w:numPr>
        <w:tabs>
          <w:tab w:val="clear" w:pos="1440"/>
          <w:tab w:val="num" w:pos="1134"/>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spadek marży brutto w segmencie B do 8,3 %, w porównaniu do poprzedniego okresu spadek o 5,3 %;</w:t>
      </w:r>
    </w:p>
    <w:p w14:paraId="1E868CD5" w14:textId="77777777" w:rsidR="002A6DCF" w:rsidRPr="009D4211" w:rsidRDefault="002A6DCF" w:rsidP="00D73705">
      <w:pPr>
        <w:pStyle w:val="wypunktowanie1sprawozdanie"/>
        <w:numPr>
          <w:ilvl w:val="1"/>
          <w:numId w:val="4"/>
        </w:numPr>
        <w:tabs>
          <w:tab w:val="clear" w:pos="1440"/>
          <w:tab w:val="num" w:pos="1134"/>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 xml:space="preserve">spadek przychodów ze sprzedaży w ramach usług z zakresu utrzymania ruchu, w porównaniu do danych za 2015 rok o 540 tys. zł, przy równoczesnym spadku kosztów </w:t>
      </w:r>
      <w:r w:rsidR="00C95529">
        <w:rPr>
          <w:rFonts w:asciiTheme="minorHAnsi" w:hAnsiTheme="minorHAnsi"/>
          <w:b w:val="0"/>
          <w:sz w:val="22"/>
          <w:szCs w:val="22"/>
        </w:rPr>
        <w:br/>
      </w:r>
      <w:r w:rsidRPr="009D4211">
        <w:rPr>
          <w:rFonts w:asciiTheme="minorHAnsi" w:hAnsiTheme="minorHAnsi"/>
          <w:b w:val="0"/>
          <w:sz w:val="22"/>
          <w:szCs w:val="22"/>
        </w:rPr>
        <w:t>o kwotę 931 tys. zł; przychody tego segmentu stanowią obecnie 23,1 % ogólnej wartości sprzedaży usług w 2016 roku, i w porównaniu do analogicznego okresu roku ubiegłego, udział tego segmentu zmniejszył się o 13,4 punktów procentowych;</w:t>
      </w:r>
    </w:p>
    <w:p w14:paraId="2AD585CC" w14:textId="77777777" w:rsidR="002A6DCF" w:rsidRPr="009D4211" w:rsidRDefault="002A6DCF" w:rsidP="00D73705">
      <w:pPr>
        <w:pStyle w:val="wypunktowanie1sprawozdanie"/>
        <w:numPr>
          <w:ilvl w:val="1"/>
          <w:numId w:val="4"/>
        </w:numPr>
        <w:tabs>
          <w:tab w:val="clear" w:pos="1440"/>
          <w:tab w:val="num" w:pos="1134"/>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marża brutto w segmencie C wyniosła 22,8 % i była wyższa w porównaniu do poprzedniego okresu o 9,5 %;</w:t>
      </w:r>
    </w:p>
    <w:p w14:paraId="5C7AA259" w14:textId="77777777" w:rsidR="002A6DCF" w:rsidRPr="009D4211" w:rsidRDefault="002A6DCF" w:rsidP="00D73705">
      <w:pPr>
        <w:pStyle w:val="wypunktowanie1sprawozdanie"/>
        <w:numPr>
          <w:ilvl w:val="1"/>
          <w:numId w:val="4"/>
        </w:numPr>
        <w:tabs>
          <w:tab w:val="clear" w:pos="1440"/>
          <w:tab w:val="num" w:pos="1134"/>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 xml:space="preserve">spadek przychodów ze sprzedaży pozostałych usług o wartość 376 tys. zł, przy równoczesnym spadku kosztów tego segmentu o 137 tys. zł; przychody tego segmentu </w:t>
      </w:r>
      <w:r w:rsidR="00D86A79">
        <w:rPr>
          <w:rFonts w:asciiTheme="minorHAnsi" w:hAnsiTheme="minorHAnsi"/>
          <w:b w:val="0"/>
          <w:sz w:val="22"/>
          <w:szCs w:val="22"/>
        </w:rPr>
        <w:br/>
      </w:r>
      <w:r w:rsidRPr="009D4211">
        <w:rPr>
          <w:rFonts w:asciiTheme="minorHAnsi" w:hAnsiTheme="minorHAnsi"/>
          <w:b w:val="0"/>
          <w:sz w:val="22"/>
          <w:szCs w:val="22"/>
        </w:rPr>
        <w:t>w ogólnej wartości sprzedaży stanowią 10,3 % i w porównaniu do analogicznego okresu roku 2015 udział segmentu spadł o 6,9 punktów procentowych;</w:t>
      </w:r>
    </w:p>
    <w:p w14:paraId="67B315DC" w14:textId="77777777" w:rsidR="002A6DCF" w:rsidRPr="009D4211" w:rsidRDefault="002A6DCF" w:rsidP="00D73705">
      <w:pPr>
        <w:pStyle w:val="wypunktowanie1sprawozdanie"/>
        <w:numPr>
          <w:ilvl w:val="1"/>
          <w:numId w:val="4"/>
        </w:numPr>
        <w:tabs>
          <w:tab w:val="clear" w:pos="1440"/>
          <w:tab w:val="num" w:pos="1134"/>
        </w:tabs>
        <w:spacing w:before="0" w:after="0" w:line="360" w:lineRule="auto"/>
        <w:ind w:left="1134" w:hanging="567"/>
        <w:rPr>
          <w:rFonts w:asciiTheme="minorHAnsi" w:hAnsiTheme="minorHAnsi"/>
          <w:b w:val="0"/>
          <w:sz w:val="22"/>
          <w:szCs w:val="22"/>
        </w:rPr>
      </w:pPr>
      <w:r w:rsidRPr="009D4211">
        <w:rPr>
          <w:rFonts w:asciiTheme="minorHAnsi" w:hAnsiTheme="minorHAnsi"/>
          <w:b w:val="0"/>
          <w:sz w:val="22"/>
          <w:szCs w:val="22"/>
        </w:rPr>
        <w:t>marża brutto tego segmentu wykazała stratę w wysokości 11,4 %, w analogicznym okresie 2015 r. w segmencie tym zanotowano stratę w wysokości 0,5 %;</w:t>
      </w:r>
    </w:p>
    <w:p w14:paraId="5C5A777B" w14:textId="77777777" w:rsidR="002A6DCF" w:rsidRPr="004E39F6" w:rsidRDefault="002A6DCF" w:rsidP="002A6DCF">
      <w:pPr>
        <w:pStyle w:val="wypunktowanie1sprawozdanie"/>
        <w:spacing w:before="0" w:after="0" w:line="360" w:lineRule="auto"/>
        <w:ind w:left="851"/>
        <w:rPr>
          <w:rFonts w:asciiTheme="minorHAnsi" w:hAnsiTheme="minorHAnsi"/>
          <w:b w:val="0"/>
          <w:sz w:val="22"/>
          <w:szCs w:val="22"/>
        </w:rPr>
      </w:pPr>
    </w:p>
    <w:p w14:paraId="15A68C5E" w14:textId="77777777" w:rsidR="002A6DCF" w:rsidRPr="004E39F6" w:rsidRDefault="002A6DCF" w:rsidP="002A6DCF">
      <w:pPr>
        <w:widowControl w:val="0"/>
        <w:tabs>
          <w:tab w:val="left" w:pos="540"/>
        </w:tabs>
        <w:spacing w:line="360" w:lineRule="auto"/>
        <w:jc w:val="both"/>
        <w:rPr>
          <w:rFonts w:asciiTheme="minorHAnsi" w:hAnsiTheme="minorHAnsi" w:cs="Arial"/>
          <w:sz w:val="22"/>
          <w:szCs w:val="22"/>
        </w:rPr>
      </w:pPr>
      <w:r w:rsidRPr="004E39F6">
        <w:rPr>
          <w:rFonts w:asciiTheme="minorHAnsi" w:hAnsiTheme="minorHAnsi" w:cs="Arial"/>
          <w:sz w:val="22"/>
          <w:szCs w:val="22"/>
        </w:rPr>
        <w:tab/>
        <w:t xml:space="preserve">Uzyskany wynik finansowy Spółki </w:t>
      </w:r>
      <w:r w:rsidRPr="004E39F6">
        <w:rPr>
          <w:rFonts w:asciiTheme="minorHAnsi" w:hAnsiTheme="minorHAnsi"/>
          <w:sz w:val="22"/>
          <w:szCs w:val="22"/>
        </w:rPr>
        <w:t>Zakład Energetyczny ZEN Sp. z o.o.</w:t>
      </w:r>
      <w:r>
        <w:rPr>
          <w:rFonts w:asciiTheme="minorHAnsi" w:hAnsiTheme="minorHAnsi"/>
          <w:sz w:val="22"/>
          <w:szCs w:val="22"/>
        </w:rPr>
        <w:t xml:space="preserve"> </w:t>
      </w:r>
      <w:r>
        <w:rPr>
          <w:rFonts w:asciiTheme="minorHAnsi" w:hAnsiTheme="minorHAnsi" w:cs="Arial"/>
          <w:sz w:val="22"/>
          <w:szCs w:val="22"/>
        </w:rPr>
        <w:t>jest konsekwencją realizacji</w:t>
      </w:r>
      <w:r w:rsidRPr="004E39F6">
        <w:rPr>
          <w:rFonts w:asciiTheme="minorHAnsi" w:hAnsiTheme="minorHAnsi" w:cs="Arial"/>
          <w:sz w:val="22"/>
          <w:szCs w:val="22"/>
        </w:rPr>
        <w:t xml:space="preserve"> sprzedaży usług dla </w:t>
      </w:r>
      <w:proofErr w:type="spellStart"/>
      <w:r w:rsidRPr="004E39F6">
        <w:rPr>
          <w:rFonts w:asciiTheme="minorHAnsi" w:hAnsiTheme="minorHAnsi" w:cs="Arial"/>
          <w:sz w:val="22"/>
          <w:szCs w:val="22"/>
        </w:rPr>
        <w:t>ArcelorMittal</w:t>
      </w:r>
      <w:proofErr w:type="spellEnd"/>
      <w:r w:rsidRPr="004E39F6">
        <w:rPr>
          <w:rFonts w:asciiTheme="minorHAnsi" w:hAnsiTheme="minorHAnsi" w:cs="Arial"/>
          <w:sz w:val="22"/>
          <w:szCs w:val="22"/>
        </w:rPr>
        <w:t xml:space="preserve"> Poland S.A.</w:t>
      </w:r>
      <w:r>
        <w:rPr>
          <w:rFonts w:asciiTheme="minorHAnsi" w:hAnsiTheme="minorHAnsi" w:cs="Arial"/>
          <w:sz w:val="22"/>
          <w:szCs w:val="22"/>
        </w:rPr>
        <w:t xml:space="preserve"> P</w:t>
      </w:r>
      <w:r w:rsidRPr="004E39F6">
        <w:rPr>
          <w:rFonts w:asciiTheme="minorHAnsi" w:hAnsiTheme="minorHAnsi" w:cs="Arial"/>
          <w:sz w:val="22"/>
          <w:szCs w:val="22"/>
        </w:rPr>
        <w:t xml:space="preserve">onadto Spółka zrealizowała szereg prac dla kontrahentów zewnętrznych. Różnicowanie portfela zamówień realizowanych przez </w:t>
      </w:r>
      <w:r w:rsidRPr="004E39F6">
        <w:rPr>
          <w:rFonts w:asciiTheme="minorHAnsi" w:hAnsiTheme="minorHAnsi"/>
          <w:sz w:val="22"/>
          <w:szCs w:val="22"/>
        </w:rPr>
        <w:t xml:space="preserve">Zakład </w:t>
      </w:r>
      <w:r w:rsidRPr="004E39F6">
        <w:rPr>
          <w:rFonts w:asciiTheme="minorHAnsi" w:hAnsiTheme="minorHAnsi"/>
          <w:sz w:val="22"/>
          <w:szCs w:val="22"/>
        </w:rPr>
        <w:lastRenderedPageBreak/>
        <w:t xml:space="preserve">Energetyczny ZEN Sp. z o.o. </w:t>
      </w:r>
      <w:r w:rsidRPr="004E39F6">
        <w:rPr>
          <w:rFonts w:asciiTheme="minorHAnsi" w:hAnsiTheme="minorHAnsi" w:cs="Arial"/>
          <w:sz w:val="22"/>
          <w:szCs w:val="22"/>
        </w:rPr>
        <w:t xml:space="preserve">wymusza konieczność zaistnienia Spółki na rynkach zewnętrznych, charakteryzujących się wysoką konkurencyjnością. Powoduje to konieczność dostosowania oferty  cenowej oferowanych usług do oczekiwań klientów oraz uwarunkowań panujących na  rynku, </w:t>
      </w:r>
      <w:r w:rsidRPr="004E39F6">
        <w:rPr>
          <w:rFonts w:asciiTheme="minorHAnsi" w:hAnsiTheme="minorHAnsi" w:cs="Arial"/>
          <w:sz w:val="22"/>
          <w:szCs w:val="22"/>
        </w:rPr>
        <w:br/>
        <w:t xml:space="preserve">a w konsekwencji notowanie niższego wyniku brutto i marży brutto na świadczonych usługach. </w:t>
      </w:r>
      <w:r w:rsidRPr="004E39F6">
        <w:rPr>
          <w:rFonts w:asciiTheme="minorHAnsi" w:hAnsiTheme="minorHAnsi" w:cs="Arial"/>
          <w:sz w:val="22"/>
          <w:szCs w:val="22"/>
        </w:rPr>
        <w:br/>
        <w:t xml:space="preserve">Jest to jednak rekompensowane zmianą struktury przedmiotowej realizowanych zamówień </w:t>
      </w:r>
      <w:r w:rsidRPr="004E39F6">
        <w:rPr>
          <w:rFonts w:asciiTheme="minorHAnsi" w:hAnsiTheme="minorHAnsi" w:cs="Arial"/>
          <w:sz w:val="22"/>
          <w:szCs w:val="22"/>
        </w:rPr>
        <w:br/>
        <w:t xml:space="preserve">i ograniczeniem realizacji nierentownych zadań. Równocześnie wprowadzane w Spółce działania dyscyplinujące, poprawiają efektywność wykonywanych zadań. </w:t>
      </w:r>
    </w:p>
    <w:p w14:paraId="3163AE18" w14:textId="77777777" w:rsidR="002A6DCF" w:rsidRPr="006C5FB2" w:rsidRDefault="002A6DCF" w:rsidP="002A6DCF">
      <w:pPr>
        <w:widowControl w:val="0"/>
        <w:tabs>
          <w:tab w:val="left" w:pos="540"/>
        </w:tabs>
        <w:spacing w:line="360" w:lineRule="auto"/>
        <w:ind w:firstLine="567"/>
        <w:jc w:val="both"/>
        <w:rPr>
          <w:rFonts w:asciiTheme="minorHAnsi" w:hAnsiTheme="minorHAnsi" w:cstheme="minorHAnsi"/>
          <w:sz w:val="22"/>
          <w:szCs w:val="22"/>
        </w:rPr>
      </w:pPr>
      <w:r w:rsidRPr="004E39F6">
        <w:rPr>
          <w:rFonts w:asciiTheme="minorHAnsi" w:hAnsiTheme="minorHAnsi" w:cstheme="minorHAnsi"/>
          <w:sz w:val="22"/>
          <w:szCs w:val="22"/>
        </w:rPr>
        <w:t xml:space="preserve">Równocześnie Zarząd </w:t>
      </w:r>
      <w:r w:rsidRPr="004E39F6">
        <w:rPr>
          <w:rFonts w:asciiTheme="minorHAnsi" w:hAnsiTheme="minorHAnsi"/>
          <w:sz w:val="22"/>
          <w:szCs w:val="22"/>
        </w:rPr>
        <w:t>Zakład Energetyczny ZEN Sp. z o.o.</w:t>
      </w:r>
      <w:r w:rsidRPr="004E39F6">
        <w:rPr>
          <w:rFonts w:asciiTheme="minorHAnsi" w:hAnsiTheme="minorHAnsi" w:cstheme="minorHAnsi"/>
          <w:sz w:val="22"/>
          <w:szCs w:val="22"/>
        </w:rPr>
        <w:t xml:space="preserve">. kładzie nacisk na poszukiwanie i wdrażanie możliwych oszczędności w kosztach stałych funkcjonowania Spółki i ograniczenie zbędnych wydatków finansowych nieprzynoszących wymiernych korzyści ekonomicznych. Pozwala </w:t>
      </w:r>
      <w:r w:rsidRPr="004E39F6">
        <w:rPr>
          <w:rFonts w:asciiTheme="minorHAnsi" w:hAnsiTheme="minorHAnsi" w:cstheme="minorHAnsi"/>
          <w:sz w:val="22"/>
          <w:szCs w:val="22"/>
        </w:rPr>
        <w:br/>
        <w:t xml:space="preserve">to na efektywniejsze wykorzystanie posiadanych zasobów Spółki, zarówno majątkowych, jak </w:t>
      </w:r>
      <w:r w:rsidRPr="004E39F6">
        <w:rPr>
          <w:rFonts w:asciiTheme="minorHAnsi" w:hAnsiTheme="minorHAnsi" w:cstheme="minorHAnsi"/>
          <w:sz w:val="22"/>
          <w:szCs w:val="22"/>
        </w:rPr>
        <w:br/>
        <w:t xml:space="preserve">i kadrowych, i co za tym idzie znaczące ograniczenie wykorzystania usług podwykonawców </w:t>
      </w:r>
      <w:r w:rsidRPr="004E39F6">
        <w:rPr>
          <w:rFonts w:asciiTheme="minorHAnsi" w:hAnsiTheme="minorHAnsi" w:cstheme="minorHAnsi"/>
          <w:sz w:val="22"/>
          <w:szCs w:val="22"/>
        </w:rPr>
        <w:br/>
        <w:t>w realizacji zleceń.</w:t>
      </w:r>
      <w:r w:rsidRPr="006C5FB2">
        <w:rPr>
          <w:rFonts w:asciiTheme="minorHAnsi" w:hAnsiTheme="minorHAnsi" w:cstheme="minorHAnsi"/>
          <w:sz w:val="22"/>
          <w:szCs w:val="22"/>
        </w:rPr>
        <w:t xml:space="preserve"> </w:t>
      </w:r>
    </w:p>
    <w:p w14:paraId="581A8E2F" w14:textId="0CB471E7" w:rsidR="00A10A74" w:rsidRPr="00360EFC" w:rsidRDefault="002A6DCF" w:rsidP="002A6DCF">
      <w:pPr>
        <w:widowControl w:val="0"/>
        <w:tabs>
          <w:tab w:val="left" w:pos="540"/>
        </w:tabs>
        <w:spacing w:line="360" w:lineRule="auto"/>
        <w:ind w:firstLine="567"/>
        <w:jc w:val="both"/>
        <w:rPr>
          <w:rFonts w:asciiTheme="minorHAnsi" w:hAnsiTheme="minorHAnsi" w:cs="Arial"/>
          <w:b/>
          <w:color w:val="FF0000"/>
        </w:rPr>
      </w:pPr>
      <w:r w:rsidRPr="009D4211">
        <w:rPr>
          <w:rFonts w:asciiTheme="minorHAnsi" w:hAnsiTheme="minorHAnsi"/>
          <w:color w:val="000000"/>
          <w:spacing w:val="-2"/>
          <w:sz w:val="22"/>
          <w:szCs w:val="22"/>
        </w:rPr>
        <w:t>Wskaźnik ogólnego zadłużenia Spółki za pierwsze półrocze 2016 roku uks</w:t>
      </w:r>
      <w:r w:rsidR="00D86A79">
        <w:rPr>
          <w:rFonts w:asciiTheme="minorHAnsi" w:hAnsiTheme="minorHAnsi"/>
          <w:color w:val="000000"/>
          <w:spacing w:val="-2"/>
          <w:sz w:val="22"/>
          <w:szCs w:val="22"/>
        </w:rPr>
        <w:t xml:space="preserve">ztałtował się na poziomie 0,83 </w:t>
      </w:r>
      <w:r w:rsidRPr="009D4211">
        <w:rPr>
          <w:rFonts w:asciiTheme="minorHAnsi" w:hAnsiTheme="minorHAnsi"/>
          <w:color w:val="000000"/>
          <w:spacing w:val="-2"/>
          <w:sz w:val="22"/>
          <w:szCs w:val="22"/>
        </w:rPr>
        <w:t>i zwiększył się  o 0,01  w stosunku do analogicznego okresu ubiegłego roku. Spółka</w:t>
      </w:r>
      <w:r w:rsidRPr="00F37F68">
        <w:rPr>
          <w:rFonts w:asciiTheme="minorHAnsi" w:hAnsiTheme="minorHAnsi"/>
          <w:color w:val="000000"/>
          <w:spacing w:val="-2"/>
          <w:sz w:val="22"/>
          <w:szCs w:val="22"/>
        </w:rPr>
        <w:t xml:space="preserve"> na bieżąco reguluje swoje zobowiązania i nie posiada w strukturze wiekowej publiczno-prawnych zobowiązań przeterminowanych. Spółka korzysta  z dostępnych limitów kredytowych w rachunkach bieżących przy regulowaniu  zobowiązań oprócz bieżących wpływów </w:t>
      </w:r>
      <w:r w:rsidRPr="009D4211">
        <w:rPr>
          <w:rFonts w:asciiTheme="minorHAnsi" w:hAnsiTheme="minorHAnsi"/>
          <w:color w:val="000000"/>
          <w:spacing w:val="-2"/>
          <w:sz w:val="22"/>
          <w:szCs w:val="22"/>
        </w:rPr>
        <w:t>finansowych. Wskaźniki płynności kształtują się na poziomie: wskaźnik bieżącej płynności 1,13 oraz wskaźnik szybkiej płynności  0,70.  Skróceniu uległ wskaźnik cyklu należności handlowych do 50 dni w pierwszym półroczu 2016 roku w stosunku do 97 dni w pierwszym półroczu 2015 roku. Skróceniu uległ także okres spłaty zobowiązań handlowych z 138 w I półroczu roku 2015 do 117 dni w okresie od stycznia do czerwca 2016.</w:t>
      </w:r>
    </w:p>
    <w:p w14:paraId="0DCD7526" w14:textId="77777777" w:rsidR="002A6DCF" w:rsidRPr="002A6DCF" w:rsidRDefault="002A6DCF" w:rsidP="00B41C6B">
      <w:pPr>
        <w:widowControl w:val="0"/>
        <w:tabs>
          <w:tab w:val="left" w:pos="540"/>
        </w:tabs>
        <w:spacing w:line="360" w:lineRule="auto"/>
        <w:ind w:firstLine="567"/>
        <w:jc w:val="both"/>
        <w:rPr>
          <w:rFonts w:asciiTheme="minorHAnsi" w:hAnsiTheme="minorHAnsi" w:cs="Arial"/>
          <w:b/>
          <w:color w:val="FF0000"/>
          <w:sz w:val="16"/>
          <w:szCs w:val="16"/>
        </w:rPr>
      </w:pPr>
    </w:p>
    <w:p w14:paraId="1E13DEA4" w14:textId="77777777" w:rsidR="00B41C6B" w:rsidRPr="002A6DCF" w:rsidRDefault="00B41C6B" w:rsidP="00B41C6B">
      <w:pPr>
        <w:widowControl w:val="0"/>
        <w:tabs>
          <w:tab w:val="left" w:pos="540"/>
        </w:tabs>
        <w:spacing w:line="360" w:lineRule="auto"/>
        <w:ind w:firstLine="567"/>
        <w:jc w:val="both"/>
        <w:rPr>
          <w:rFonts w:asciiTheme="minorHAnsi" w:hAnsiTheme="minorHAnsi" w:cs="Arial"/>
          <w:b/>
        </w:rPr>
      </w:pPr>
      <w:r w:rsidRPr="002A6DCF">
        <w:rPr>
          <w:rFonts w:asciiTheme="minorHAnsi" w:hAnsiTheme="minorHAnsi" w:cs="Arial"/>
          <w:b/>
        </w:rPr>
        <w:t>Segmenty działalności</w:t>
      </w:r>
    </w:p>
    <w:tbl>
      <w:tblPr>
        <w:tblW w:w="8800" w:type="dxa"/>
        <w:jc w:val="center"/>
        <w:tblCellMar>
          <w:left w:w="70" w:type="dxa"/>
          <w:right w:w="70" w:type="dxa"/>
        </w:tblCellMar>
        <w:tblLook w:val="04A0" w:firstRow="1" w:lastRow="0" w:firstColumn="1" w:lastColumn="0" w:noHBand="0" w:noVBand="1"/>
      </w:tblPr>
      <w:tblGrid>
        <w:gridCol w:w="5288"/>
        <w:gridCol w:w="1756"/>
        <w:gridCol w:w="1756"/>
      </w:tblGrid>
      <w:tr w:rsidR="002A6DCF" w:rsidRPr="002738CF" w14:paraId="355FA6F7"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6C21528E" w14:textId="77777777" w:rsidR="002A6DCF" w:rsidRPr="002738CF" w:rsidRDefault="002A6DCF" w:rsidP="00F03084">
            <w:pPr>
              <w:rPr>
                <w:rFonts w:ascii="Calibri" w:hAnsi="Calibri" w:cs="Arial"/>
                <w:b/>
                <w:bCs/>
                <w:sz w:val="18"/>
                <w:szCs w:val="18"/>
              </w:rPr>
            </w:pPr>
          </w:p>
        </w:tc>
        <w:tc>
          <w:tcPr>
            <w:tcW w:w="1756" w:type="dxa"/>
            <w:tcBorders>
              <w:top w:val="nil"/>
              <w:left w:val="nil"/>
              <w:bottom w:val="nil"/>
              <w:right w:val="nil"/>
            </w:tcBorders>
            <w:shd w:val="clear" w:color="000000" w:fill="D9D9D9" w:themeFill="background1" w:themeFillShade="D9"/>
            <w:vAlign w:val="center"/>
            <w:hideMark/>
          </w:tcPr>
          <w:p w14:paraId="55690666" w14:textId="77777777" w:rsidR="002A6DCF" w:rsidRPr="002738CF" w:rsidRDefault="002A6DCF" w:rsidP="00F03084">
            <w:pPr>
              <w:jc w:val="center"/>
              <w:rPr>
                <w:rFonts w:ascii="Calibri" w:hAnsi="Calibri" w:cs="Arial"/>
                <w:b/>
                <w:bCs/>
                <w:sz w:val="18"/>
                <w:szCs w:val="18"/>
              </w:rPr>
            </w:pPr>
            <w:r w:rsidRPr="002738CF">
              <w:rPr>
                <w:rFonts w:ascii="Calibri" w:hAnsi="Calibri" w:cs="Arial"/>
                <w:b/>
                <w:bCs/>
                <w:sz w:val="18"/>
                <w:szCs w:val="18"/>
              </w:rPr>
              <w:t xml:space="preserve">za 6 miesięcy </w:t>
            </w:r>
          </w:p>
        </w:tc>
        <w:tc>
          <w:tcPr>
            <w:tcW w:w="1756" w:type="dxa"/>
            <w:tcBorders>
              <w:top w:val="nil"/>
              <w:left w:val="nil"/>
              <w:bottom w:val="nil"/>
              <w:right w:val="nil"/>
            </w:tcBorders>
            <w:shd w:val="clear" w:color="auto" w:fill="auto"/>
            <w:vAlign w:val="center"/>
            <w:hideMark/>
          </w:tcPr>
          <w:p w14:paraId="392757CA" w14:textId="77777777" w:rsidR="002A6DCF" w:rsidRPr="002738CF" w:rsidRDefault="002A6DCF" w:rsidP="00F03084">
            <w:pPr>
              <w:jc w:val="center"/>
              <w:rPr>
                <w:rFonts w:ascii="Calibri" w:hAnsi="Calibri" w:cs="Arial"/>
                <w:b/>
                <w:bCs/>
                <w:sz w:val="18"/>
                <w:szCs w:val="18"/>
              </w:rPr>
            </w:pPr>
            <w:r w:rsidRPr="002738CF">
              <w:rPr>
                <w:rFonts w:ascii="Calibri" w:hAnsi="Calibri" w:cs="Arial"/>
                <w:b/>
                <w:bCs/>
                <w:sz w:val="18"/>
                <w:szCs w:val="18"/>
              </w:rPr>
              <w:t xml:space="preserve">za 6 miesięcy </w:t>
            </w:r>
          </w:p>
        </w:tc>
      </w:tr>
      <w:tr w:rsidR="002A6DCF" w:rsidRPr="002738CF" w14:paraId="4B901067" w14:textId="77777777" w:rsidTr="002A6DCF">
        <w:trPr>
          <w:trHeight w:val="300"/>
          <w:jc w:val="center"/>
        </w:trPr>
        <w:tc>
          <w:tcPr>
            <w:tcW w:w="5288" w:type="dxa"/>
            <w:tcBorders>
              <w:top w:val="nil"/>
              <w:left w:val="nil"/>
              <w:bottom w:val="nil"/>
              <w:right w:val="nil"/>
            </w:tcBorders>
            <w:shd w:val="clear" w:color="auto" w:fill="auto"/>
            <w:noWrap/>
            <w:vAlign w:val="center"/>
            <w:hideMark/>
          </w:tcPr>
          <w:p w14:paraId="31952F9E" w14:textId="77777777" w:rsidR="002A6DCF" w:rsidRPr="002738CF" w:rsidRDefault="002A6DCF" w:rsidP="00F03084">
            <w:pPr>
              <w:rPr>
                <w:rFonts w:ascii="Calibri" w:hAnsi="Calibri" w:cs="Arial"/>
                <w:b/>
                <w:bCs/>
                <w:sz w:val="18"/>
                <w:szCs w:val="18"/>
              </w:rPr>
            </w:pPr>
          </w:p>
        </w:tc>
        <w:tc>
          <w:tcPr>
            <w:tcW w:w="1756" w:type="dxa"/>
            <w:tcBorders>
              <w:top w:val="nil"/>
              <w:left w:val="nil"/>
              <w:bottom w:val="nil"/>
              <w:right w:val="nil"/>
            </w:tcBorders>
            <w:shd w:val="clear" w:color="000000" w:fill="D9D9D9" w:themeFill="background1" w:themeFillShade="D9"/>
            <w:vAlign w:val="center"/>
            <w:hideMark/>
          </w:tcPr>
          <w:p w14:paraId="43508ABA" w14:textId="77777777" w:rsidR="002A6DCF" w:rsidRPr="002738CF" w:rsidRDefault="002A6DCF" w:rsidP="00F03084">
            <w:pPr>
              <w:jc w:val="center"/>
              <w:rPr>
                <w:rFonts w:ascii="Calibri" w:hAnsi="Calibri" w:cs="Arial"/>
                <w:b/>
                <w:bCs/>
                <w:sz w:val="18"/>
                <w:szCs w:val="18"/>
              </w:rPr>
            </w:pPr>
            <w:r w:rsidRPr="002738CF">
              <w:rPr>
                <w:rFonts w:ascii="Calibri" w:hAnsi="Calibri" w:cs="Arial"/>
                <w:b/>
                <w:bCs/>
                <w:sz w:val="18"/>
                <w:szCs w:val="18"/>
              </w:rPr>
              <w:t>od 01.01.2016</w:t>
            </w:r>
          </w:p>
        </w:tc>
        <w:tc>
          <w:tcPr>
            <w:tcW w:w="1756" w:type="dxa"/>
            <w:tcBorders>
              <w:top w:val="nil"/>
              <w:left w:val="nil"/>
              <w:bottom w:val="nil"/>
              <w:right w:val="nil"/>
            </w:tcBorders>
            <w:shd w:val="clear" w:color="auto" w:fill="auto"/>
            <w:vAlign w:val="center"/>
            <w:hideMark/>
          </w:tcPr>
          <w:p w14:paraId="03E6E29B" w14:textId="77777777" w:rsidR="002A6DCF" w:rsidRPr="002738CF" w:rsidRDefault="002A6DCF" w:rsidP="00F03084">
            <w:pPr>
              <w:jc w:val="center"/>
              <w:rPr>
                <w:rFonts w:ascii="Calibri" w:hAnsi="Calibri" w:cs="Arial"/>
                <w:b/>
                <w:bCs/>
                <w:sz w:val="18"/>
                <w:szCs w:val="18"/>
              </w:rPr>
            </w:pPr>
            <w:r w:rsidRPr="002738CF">
              <w:rPr>
                <w:rFonts w:ascii="Calibri" w:hAnsi="Calibri" w:cs="Arial"/>
                <w:b/>
                <w:bCs/>
                <w:sz w:val="18"/>
                <w:szCs w:val="18"/>
              </w:rPr>
              <w:t>od 01.01.2015</w:t>
            </w:r>
          </w:p>
        </w:tc>
      </w:tr>
      <w:tr w:rsidR="002A6DCF" w:rsidRPr="002738CF" w14:paraId="73ED483A" w14:textId="77777777" w:rsidTr="002A6DCF">
        <w:trPr>
          <w:trHeight w:val="300"/>
          <w:jc w:val="center"/>
        </w:trPr>
        <w:tc>
          <w:tcPr>
            <w:tcW w:w="5288" w:type="dxa"/>
            <w:tcBorders>
              <w:top w:val="nil"/>
              <w:left w:val="nil"/>
              <w:bottom w:val="nil"/>
              <w:right w:val="nil"/>
            </w:tcBorders>
            <w:shd w:val="clear" w:color="auto" w:fill="auto"/>
            <w:noWrap/>
            <w:vAlign w:val="center"/>
            <w:hideMark/>
          </w:tcPr>
          <w:p w14:paraId="70D20CD1" w14:textId="77777777" w:rsidR="002A6DCF" w:rsidRPr="002738CF" w:rsidRDefault="002A6DCF" w:rsidP="00F03084">
            <w:pPr>
              <w:rPr>
                <w:rFonts w:ascii="Calibri" w:hAnsi="Calibri" w:cs="Arial"/>
                <w:sz w:val="18"/>
                <w:szCs w:val="18"/>
              </w:rPr>
            </w:pPr>
          </w:p>
        </w:tc>
        <w:tc>
          <w:tcPr>
            <w:tcW w:w="1756" w:type="dxa"/>
            <w:tcBorders>
              <w:top w:val="nil"/>
              <w:left w:val="nil"/>
              <w:bottom w:val="nil"/>
              <w:right w:val="nil"/>
            </w:tcBorders>
            <w:shd w:val="clear" w:color="000000" w:fill="D9D9D9" w:themeFill="background1" w:themeFillShade="D9"/>
            <w:vAlign w:val="center"/>
            <w:hideMark/>
          </w:tcPr>
          <w:p w14:paraId="4542A01E" w14:textId="77777777" w:rsidR="002A6DCF" w:rsidRPr="002738CF" w:rsidRDefault="002A6DCF" w:rsidP="00F03084">
            <w:pPr>
              <w:jc w:val="center"/>
              <w:rPr>
                <w:rFonts w:ascii="Calibri" w:hAnsi="Calibri" w:cs="Arial"/>
                <w:b/>
                <w:bCs/>
                <w:color w:val="000000"/>
                <w:sz w:val="18"/>
                <w:szCs w:val="18"/>
              </w:rPr>
            </w:pPr>
            <w:r w:rsidRPr="002738CF">
              <w:rPr>
                <w:rFonts w:ascii="Calibri" w:hAnsi="Calibri" w:cs="Arial"/>
                <w:b/>
                <w:bCs/>
                <w:color w:val="000000"/>
                <w:sz w:val="18"/>
                <w:szCs w:val="18"/>
              </w:rPr>
              <w:t>do 30.06.2016</w:t>
            </w:r>
          </w:p>
        </w:tc>
        <w:tc>
          <w:tcPr>
            <w:tcW w:w="1756" w:type="dxa"/>
            <w:tcBorders>
              <w:top w:val="nil"/>
              <w:left w:val="nil"/>
              <w:bottom w:val="nil"/>
              <w:right w:val="nil"/>
            </w:tcBorders>
            <w:shd w:val="clear" w:color="auto" w:fill="auto"/>
            <w:vAlign w:val="center"/>
            <w:hideMark/>
          </w:tcPr>
          <w:p w14:paraId="280571D9" w14:textId="77777777" w:rsidR="002A6DCF" w:rsidRPr="002738CF" w:rsidRDefault="002A6DCF" w:rsidP="00F03084">
            <w:pPr>
              <w:jc w:val="center"/>
              <w:rPr>
                <w:rFonts w:ascii="Calibri" w:hAnsi="Calibri" w:cs="Arial"/>
                <w:b/>
                <w:bCs/>
                <w:color w:val="000000"/>
                <w:sz w:val="18"/>
                <w:szCs w:val="18"/>
              </w:rPr>
            </w:pPr>
            <w:r w:rsidRPr="002738CF">
              <w:rPr>
                <w:rFonts w:ascii="Calibri" w:hAnsi="Calibri" w:cs="Arial"/>
                <w:b/>
                <w:bCs/>
                <w:color w:val="000000"/>
                <w:sz w:val="18"/>
                <w:szCs w:val="18"/>
              </w:rPr>
              <w:t>do 30.06.2015</w:t>
            </w:r>
          </w:p>
        </w:tc>
      </w:tr>
      <w:tr w:rsidR="002A6DCF" w:rsidRPr="002738CF" w14:paraId="6616C658" w14:textId="77777777" w:rsidTr="002A6DCF">
        <w:trPr>
          <w:trHeight w:val="300"/>
          <w:jc w:val="center"/>
        </w:trPr>
        <w:tc>
          <w:tcPr>
            <w:tcW w:w="5288" w:type="dxa"/>
            <w:tcBorders>
              <w:top w:val="nil"/>
              <w:left w:val="nil"/>
              <w:bottom w:val="nil"/>
              <w:right w:val="nil"/>
            </w:tcBorders>
            <w:shd w:val="clear" w:color="auto" w:fill="auto"/>
            <w:noWrap/>
            <w:vAlign w:val="center"/>
            <w:hideMark/>
          </w:tcPr>
          <w:p w14:paraId="70F8D453" w14:textId="77777777" w:rsidR="002A6DCF" w:rsidRPr="002738CF" w:rsidRDefault="002A6DCF" w:rsidP="00F03084">
            <w:pPr>
              <w:rPr>
                <w:rFonts w:ascii="Calibri" w:hAnsi="Calibri" w:cs="Arial"/>
                <w:sz w:val="18"/>
                <w:szCs w:val="18"/>
              </w:rPr>
            </w:pPr>
          </w:p>
        </w:tc>
        <w:tc>
          <w:tcPr>
            <w:tcW w:w="1756" w:type="dxa"/>
            <w:tcBorders>
              <w:top w:val="single" w:sz="4" w:space="0" w:color="auto"/>
              <w:left w:val="nil"/>
              <w:bottom w:val="nil"/>
              <w:right w:val="nil"/>
            </w:tcBorders>
            <w:shd w:val="clear" w:color="000000" w:fill="D9D9D9" w:themeFill="background1" w:themeFillShade="D9"/>
            <w:vAlign w:val="center"/>
            <w:hideMark/>
          </w:tcPr>
          <w:p w14:paraId="14F66CB7" w14:textId="77777777" w:rsidR="002A6DCF" w:rsidRPr="002738CF" w:rsidRDefault="002A6DCF" w:rsidP="00F03084">
            <w:pPr>
              <w:jc w:val="center"/>
              <w:rPr>
                <w:rFonts w:ascii="Calibri" w:hAnsi="Calibri" w:cs="Arial"/>
                <w:b/>
                <w:bCs/>
                <w:color w:val="000000"/>
                <w:sz w:val="18"/>
                <w:szCs w:val="18"/>
              </w:rPr>
            </w:pPr>
            <w:r w:rsidRPr="002738CF">
              <w:rPr>
                <w:rFonts w:ascii="Calibri" w:hAnsi="Calibri" w:cs="Arial"/>
                <w:b/>
                <w:bCs/>
                <w:color w:val="000000"/>
                <w:sz w:val="18"/>
                <w:szCs w:val="18"/>
              </w:rPr>
              <w:t>(niebadany)</w:t>
            </w:r>
          </w:p>
        </w:tc>
        <w:tc>
          <w:tcPr>
            <w:tcW w:w="1756" w:type="dxa"/>
            <w:tcBorders>
              <w:top w:val="single" w:sz="4" w:space="0" w:color="auto"/>
              <w:left w:val="nil"/>
              <w:bottom w:val="nil"/>
              <w:right w:val="nil"/>
            </w:tcBorders>
            <w:shd w:val="clear" w:color="auto" w:fill="auto"/>
            <w:vAlign w:val="center"/>
            <w:hideMark/>
          </w:tcPr>
          <w:p w14:paraId="4CB565FF" w14:textId="77777777" w:rsidR="002A6DCF" w:rsidRPr="002738CF" w:rsidRDefault="002A6DCF" w:rsidP="00F03084">
            <w:pPr>
              <w:jc w:val="center"/>
              <w:rPr>
                <w:rFonts w:ascii="Calibri" w:hAnsi="Calibri" w:cs="Arial"/>
                <w:b/>
                <w:bCs/>
                <w:color w:val="000000"/>
                <w:sz w:val="18"/>
                <w:szCs w:val="18"/>
              </w:rPr>
            </w:pPr>
            <w:r w:rsidRPr="002738CF">
              <w:rPr>
                <w:rFonts w:ascii="Calibri" w:hAnsi="Calibri" w:cs="Arial"/>
                <w:b/>
                <w:bCs/>
                <w:color w:val="000000"/>
                <w:sz w:val="18"/>
                <w:szCs w:val="18"/>
              </w:rPr>
              <w:t>(niebadany)</w:t>
            </w:r>
          </w:p>
        </w:tc>
      </w:tr>
      <w:tr w:rsidR="002A6DCF" w:rsidRPr="002738CF" w14:paraId="2BD70849" w14:textId="77777777" w:rsidTr="002A6DCF">
        <w:trPr>
          <w:trHeight w:val="225"/>
          <w:jc w:val="center"/>
        </w:trPr>
        <w:tc>
          <w:tcPr>
            <w:tcW w:w="5288" w:type="dxa"/>
            <w:tcBorders>
              <w:top w:val="nil"/>
              <w:left w:val="nil"/>
              <w:bottom w:val="nil"/>
              <w:right w:val="nil"/>
            </w:tcBorders>
            <w:shd w:val="clear" w:color="auto" w:fill="auto"/>
            <w:noWrap/>
            <w:vAlign w:val="center"/>
            <w:hideMark/>
          </w:tcPr>
          <w:p w14:paraId="12C40E97" w14:textId="77777777" w:rsidR="002A6DCF" w:rsidRPr="002738CF" w:rsidRDefault="002A6DCF" w:rsidP="00F03084">
            <w:pPr>
              <w:rPr>
                <w:rFonts w:ascii="Calibri" w:hAnsi="Calibri" w:cs="Arial"/>
                <w:sz w:val="18"/>
                <w:szCs w:val="18"/>
              </w:rPr>
            </w:pPr>
          </w:p>
        </w:tc>
        <w:tc>
          <w:tcPr>
            <w:tcW w:w="1756" w:type="dxa"/>
            <w:tcBorders>
              <w:top w:val="nil"/>
              <w:left w:val="nil"/>
              <w:bottom w:val="single" w:sz="4" w:space="0" w:color="auto"/>
              <w:right w:val="nil"/>
            </w:tcBorders>
            <w:shd w:val="clear" w:color="000000" w:fill="D9D9D9" w:themeFill="background1" w:themeFillShade="D9"/>
            <w:vAlign w:val="center"/>
            <w:hideMark/>
          </w:tcPr>
          <w:p w14:paraId="06706A8F" w14:textId="77777777" w:rsidR="002A6DCF" w:rsidRPr="002738CF" w:rsidRDefault="002A6DCF" w:rsidP="00F03084">
            <w:pPr>
              <w:jc w:val="center"/>
              <w:rPr>
                <w:rFonts w:ascii="Calibri" w:hAnsi="Calibri" w:cs="Arial"/>
                <w:b/>
                <w:bCs/>
                <w:sz w:val="18"/>
                <w:szCs w:val="18"/>
              </w:rPr>
            </w:pPr>
            <w:r w:rsidRPr="002738CF">
              <w:rPr>
                <w:rFonts w:ascii="Calibri" w:hAnsi="Calibri" w:cs="Arial"/>
                <w:b/>
                <w:bCs/>
                <w:sz w:val="18"/>
                <w:szCs w:val="18"/>
              </w:rPr>
              <w:t>PLN</w:t>
            </w:r>
          </w:p>
        </w:tc>
        <w:tc>
          <w:tcPr>
            <w:tcW w:w="1756" w:type="dxa"/>
            <w:tcBorders>
              <w:top w:val="nil"/>
              <w:left w:val="nil"/>
              <w:bottom w:val="single" w:sz="4" w:space="0" w:color="auto"/>
              <w:right w:val="nil"/>
            </w:tcBorders>
            <w:shd w:val="clear" w:color="auto" w:fill="auto"/>
            <w:vAlign w:val="center"/>
            <w:hideMark/>
          </w:tcPr>
          <w:p w14:paraId="21B4B02A" w14:textId="77777777" w:rsidR="002A6DCF" w:rsidRPr="002738CF" w:rsidRDefault="002A6DCF" w:rsidP="00F03084">
            <w:pPr>
              <w:jc w:val="center"/>
              <w:rPr>
                <w:rFonts w:ascii="Calibri" w:hAnsi="Calibri" w:cs="Arial"/>
                <w:b/>
                <w:bCs/>
                <w:sz w:val="18"/>
                <w:szCs w:val="18"/>
              </w:rPr>
            </w:pPr>
            <w:r w:rsidRPr="002738CF">
              <w:rPr>
                <w:rFonts w:ascii="Calibri" w:hAnsi="Calibri" w:cs="Arial"/>
                <w:b/>
                <w:bCs/>
                <w:sz w:val="18"/>
                <w:szCs w:val="18"/>
              </w:rPr>
              <w:t>PLN</w:t>
            </w:r>
          </w:p>
        </w:tc>
      </w:tr>
      <w:tr w:rsidR="002A6DCF" w:rsidRPr="002738CF" w14:paraId="0E9F7AC1" w14:textId="77777777" w:rsidTr="002A6DCF">
        <w:trPr>
          <w:trHeight w:val="90"/>
          <w:jc w:val="center"/>
        </w:trPr>
        <w:tc>
          <w:tcPr>
            <w:tcW w:w="5288" w:type="dxa"/>
            <w:tcBorders>
              <w:top w:val="nil"/>
              <w:left w:val="nil"/>
              <w:bottom w:val="nil"/>
              <w:right w:val="nil"/>
            </w:tcBorders>
            <w:shd w:val="clear" w:color="auto" w:fill="auto"/>
            <w:noWrap/>
            <w:vAlign w:val="center"/>
            <w:hideMark/>
          </w:tcPr>
          <w:p w14:paraId="7365A7DE" w14:textId="77777777" w:rsidR="002A6DCF" w:rsidRPr="002738CF" w:rsidRDefault="002A6DCF" w:rsidP="00F03084">
            <w:pPr>
              <w:rPr>
                <w:rFonts w:ascii="Calibri" w:hAnsi="Calibri" w:cs="Arial"/>
                <w:sz w:val="18"/>
                <w:szCs w:val="18"/>
              </w:rPr>
            </w:pPr>
          </w:p>
        </w:tc>
        <w:tc>
          <w:tcPr>
            <w:tcW w:w="1756" w:type="dxa"/>
            <w:tcBorders>
              <w:top w:val="nil"/>
              <w:left w:val="nil"/>
              <w:bottom w:val="nil"/>
              <w:right w:val="nil"/>
            </w:tcBorders>
            <w:shd w:val="clear" w:color="000000" w:fill="D9D9D9" w:themeFill="background1" w:themeFillShade="D9"/>
            <w:noWrap/>
            <w:vAlign w:val="center"/>
            <w:hideMark/>
          </w:tcPr>
          <w:p w14:paraId="1DE5D734" w14:textId="77777777" w:rsidR="002A6DCF" w:rsidRPr="002738CF" w:rsidRDefault="002A6DCF" w:rsidP="00F03084">
            <w:pPr>
              <w:rPr>
                <w:rFonts w:ascii="Calibri" w:hAnsi="Calibri" w:cs="Arial"/>
                <w:sz w:val="18"/>
                <w:szCs w:val="18"/>
              </w:rPr>
            </w:pPr>
            <w:r w:rsidRPr="002738CF">
              <w:rPr>
                <w:rFonts w:ascii="Calibri" w:hAnsi="Calibri" w:cs="Arial"/>
                <w:sz w:val="18"/>
                <w:szCs w:val="18"/>
              </w:rPr>
              <w:t> </w:t>
            </w:r>
          </w:p>
        </w:tc>
        <w:tc>
          <w:tcPr>
            <w:tcW w:w="1756" w:type="dxa"/>
            <w:tcBorders>
              <w:top w:val="nil"/>
              <w:left w:val="nil"/>
              <w:bottom w:val="nil"/>
              <w:right w:val="nil"/>
            </w:tcBorders>
            <w:shd w:val="clear" w:color="auto" w:fill="auto"/>
            <w:vAlign w:val="center"/>
            <w:hideMark/>
          </w:tcPr>
          <w:p w14:paraId="157D9A91" w14:textId="77777777" w:rsidR="002A6DCF" w:rsidRPr="002738CF" w:rsidRDefault="002A6DCF" w:rsidP="00F03084">
            <w:pPr>
              <w:jc w:val="right"/>
              <w:rPr>
                <w:rFonts w:ascii="Calibri" w:hAnsi="Calibri" w:cs="Arial"/>
                <w:b/>
                <w:bCs/>
                <w:sz w:val="18"/>
                <w:szCs w:val="18"/>
              </w:rPr>
            </w:pPr>
          </w:p>
        </w:tc>
      </w:tr>
      <w:tr w:rsidR="002A6DCF" w:rsidRPr="002738CF" w14:paraId="218C2789"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1734FBEF"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SEGMENT A - USŁUGI ELEKTRYCZNE</w:t>
            </w:r>
          </w:p>
        </w:tc>
        <w:tc>
          <w:tcPr>
            <w:tcW w:w="1756" w:type="dxa"/>
            <w:tcBorders>
              <w:top w:val="nil"/>
              <w:left w:val="nil"/>
              <w:bottom w:val="nil"/>
              <w:right w:val="nil"/>
            </w:tcBorders>
            <w:shd w:val="clear" w:color="000000" w:fill="D9D9D9" w:themeFill="background1" w:themeFillShade="D9"/>
            <w:noWrap/>
            <w:vAlign w:val="center"/>
            <w:hideMark/>
          </w:tcPr>
          <w:p w14:paraId="66B1ADAE"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 </w:t>
            </w:r>
          </w:p>
        </w:tc>
        <w:tc>
          <w:tcPr>
            <w:tcW w:w="1756" w:type="dxa"/>
            <w:tcBorders>
              <w:top w:val="nil"/>
              <w:left w:val="nil"/>
              <w:bottom w:val="nil"/>
              <w:right w:val="nil"/>
            </w:tcBorders>
            <w:shd w:val="clear" w:color="auto" w:fill="auto"/>
            <w:noWrap/>
            <w:vAlign w:val="center"/>
            <w:hideMark/>
          </w:tcPr>
          <w:p w14:paraId="4960CC58" w14:textId="77777777" w:rsidR="002A6DCF" w:rsidRPr="002738CF" w:rsidRDefault="002A6DCF" w:rsidP="00F03084">
            <w:pPr>
              <w:jc w:val="right"/>
              <w:rPr>
                <w:rFonts w:ascii="Calibri" w:hAnsi="Calibri" w:cs="Arial"/>
                <w:sz w:val="18"/>
                <w:szCs w:val="18"/>
              </w:rPr>
            </w:pPr>
          </w:p>
        </w:tc>
      </w:tr>
      <w:tr w:rsidR="002A6DCF" w:rsidRPr="002738CF" w14:paraId="08C8CF2F"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18D564E6" w14:textId="77777777" w:rsidR="002A6DCF" w:rsidRPr="002738CF" w:rsidRDefault="002A6DCF" w:rsidP="00F03084">
            <w:pPr>
              <w:rPr>
                <w:rFonts w:ascii="Calibri" w:hAnsi="Calibri" w:cs="Arial"/>
                <w:sz w:val="18"/>
                <w:szCs w:val="18"/>
              </w:rPr>
            </w:pPr>
            <w:r w:rsidRPr="002738CF">
              <w:rPr>
                <w:rFonts w:ascii="Calibri" w:hAnsi="Calibri" w:cs="Arial"/>
                <w:sz w:val="18"/>
                <w:szCs w:val="18"/>
              </w:rPr>
              <w:t>Przychody ze sprzedaży</w:t>
            </w:r>
          </w:p>
        </w:tc>
        <w:tc>
          <w:tcPr>
            <w:tcW w:w="1756" w:type="dxa"/>
            <w:tcBorders>
              <w:top w:val="nil"/>
              <w:left w:val="nil"/>
              <w:bottom w:val="nil"/>
              <w:right w:val="nil"/>
            </w:tcBorders>
            <w:shd w:val="clear" w:color="000000" w:fill="D9D9D9" w:themeFill="background1" w:themeFillShade="D9"/>
            <w:noWrap/>
            <w:vAlign w:val="center"/>
            <w:hideMark/>
          </w:tcPr>
          <w:p w14:paraId="4D8C92E3"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9 442 457,84</w:t>
            </w:r>
          </w:p>
        </w:tc>
        <w:tc>
          <w:tcPr>
            <w:tcW w:w="1756" w:type="dxa"/>
            <w:tcBorders>
              <w:top w:val="nil"/>
              <w:left w:val="nil"/>
              <w:bottom w:val="nil"/>
              <w:right w:val="nil"/>
            </w:tcBorders>
            <w:shd w:val="clear" w:color="auto" w:fill="auto"/>
            <w:noWrap/>
            <w:vAlign w:val="center"/>
            <w:hideMark/>
          </w:tcPr>
          <w:p w14:paraId="24EBE54F"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2 504 297,82</w:t>
            </w:r>
          </w:p>
        </w:tc>
      </w:tr>
      <w:tr w:rsidR="002A6DCF" w:rsidRPr="002738CF" w14:paraId="2D64D909"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1AC0FC7E" w14:textId="77777777" w:rsidR="002A6DCF" w:rsidRPr="002738CF" w:rsidRDefault="002A6DCF" w:rsidP="00F03084">
            <w:pPr>
              <w:rPr>
                <w:rFonts w:ascii="Calibri" w:hAnsi="Calibri" w:cs="Arial"/>
                <w:sz w:val="18"/>
                <w:szCs w:val="18"/>
              </w:rPr>
            </w:pPr>
            <w:r w:rsidRPr="002738CF">
              <w:rPr>
                <w:rFonts w:ascii="Calibri" w:hAnsi="Calibri" w:cs="Arial"/>
                <w:sz w:val="18"/>
                <w:szCs w:val="18"/>
              </w:rPr>
              <w:t>Koszt własny sprzedaży</w:t>
            </w:r>
          </w:p>
        </w:tc>
        <w:tc>
          <w:tcPr>
            <w:tcW w:w="1756" w:type="dxa"/>
            <w:tcBorders>
              <w:top w:val="nil"/>
              <w:left w:val="nil"/>
              <w:bottom w:val="nil"/>
              <w:right w:val="nil"/>
            </w:tcBorders>
            <w:shd w:val="clear" w:color="000000" w:fill="D9D9D9" w:themeFill="background1" w:themeFillShade="D9"/>
            <w:noWrap/>
            <w:vAlign w:val="center"/>
            <w:hideMark/>
          </w:tcPr>
          <w:p w14:paraId="78A32D03"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8 727 165,51</w:t>
            </w:r>
          </w:p>
        </w:tc>
        <w:tc>
          <w:tcPr>
            <w:tcW w:w="1756" w:type="dxa"/>
            <w:tcBorders>
              <w:top w:val="nil"/>
              <w:left w:val="nil"/>
              <w:bottom w:val="nil"/>
              <w:right w:val="nil"/>
            </w:tcBorders>
            <w:shd w:val="clear" w:color="auto" w:fill="auto"/>
            <w:noWrap/>
            <w:vAlign w:val="center"/>
            <w:hideMark/>
          </w:tcPr>
          <w:p w14:paraId="2702B19F"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2 035 836,94</w:t>
            </w:r>
          </w:p>
        </w:tc>
      </w:tr>
      <w:tr w:rsidR="002A6DCF" w:rsidRPr="002738CF" w14:paraId="475FF71D"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10E6F18F"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Wynik na działalności segmentu</w:t>
            </w:r>
          </w:p>
        </w:tc>
        <w:tc>
          <w:tcPr>
            <w:tcW w:w="175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6CDB2C6"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715 292,33</w:t>
            </w:r>
          </w:p>
        </w:tc>
        <w:tc>
          <w:tcPr>
            <w:tcW w:w="1756" w:type="dxa"/>
            <w:tcBorders>
              <w:top w:val="single" w:sz="4" w:space="0" w:color="auto"/>
              <w:left w:val="nil"/>
              <w:bottom w:val="double" w:sz="6" w:space="0" w:color="auto"/>
              <w:right w:val="nil"/>
            </w:tcBorders>
            <w:shd w:val="clear" w:color="auto" w:fill="auto"/>
            <w:noWrap/>
            <w:vAlign w:val="center"/>
            <w:hideMark/>
          </w:tcPr>
          <w:p w14:paraId="1C5015C5"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468 460,88</w:t>
            </w:r>
          </w:p>
        </w:tc>
      </w:tr>
      <w:tr w:rsidR="002A6DCF" w:rsidRPr="002738CF" w14:paraId="50F629D9"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4797F77D" w14:textId="77777777" w:rsidR="002A6DCF" w:rsidRPr="002738CF" w:rsidRDefault="002A6DCF" w:rsidP="00F03084">
            <w:pPr>
              <w:rPr>
                <w:rFonts w:ascii="Calibri" w:hAnsi="Calibri" w:cs="Arial"/>
                <w:sz w:val="18"/>
                <w:szCs w:val="18"/>
              </w:rPr>
            </w:pPr>
          </w:p>
        </w:tc>
        <w:tc>
          <w:tcPr>
            <w:tcW w:w="1756" w:type="dxa"/>
            <w:tcBorders>
              <w:top w:val="nil"/>
              <w:left w:val="nil"/>
              <w:bottom w:val="nil"/>
              <w:right w:val="nil"/>
            </w:tcBorders>
            <w:shd w:val="clear" w:color="000000" w:fill="D9D9D9" w:themeFill="background1" w:themeFillShade="D9"/>
            <w:noWrap/>
            <w:vAlign w:val="center"/>
            <w:hideMark/>
          </w:tcPr>
          <w:p w14:paraId="2BFE5C17" w14:textId="77777777" w:rsidR="002A6DCF" w:rsidRPr="002738CF" w:rsidRDefault="002A6DCF" w:rsidP="00F03084">
            <w:pPr>
              <w:rPr>
                <w:rFonts w:ascii="Calibri" w:hAnsi="Calibri" w:cs="Arial"/>
                <w:sz w:val="18"/>
                <w:szCs w:val="18"/>
              </w:rPr>
            </w:pPr>
            <w:r w:rsidRPr="002738CF">
              <w:rPr>
                <w:rFonts w:ascii="Calibri" w:hAnsi="Calibri" w:cs="Arial"/>
                <w:sz w:val="18"/>
                <w:szCs w:val="18"/>
              </w:rPr>
              <w:t> </w:t>
            </w:r>
          </w:p>
        </w:tc>
        <w:tc>
          <w:tcPr>
            <w:tcW w:w="1756" w:type="dxa"/>
            <w:tcBorders>
              <w:top w:val="nil"/>
              <w:left w:val="nil"/>
              <w:bottom w:val="nil"/>
              <w:right w:val="nil"/>
            </w:tcBorders>
            <w:shd w:val="clear" w:color="auto" w:fill="auto"/>
            <w:noWrap/>
            <w:vAlign w:val="center"/>
            <w:hideMark/>
          </w:tcPr>
          <w:p w14:paraId="581FA47D" w14:textId="77777777" w:rsidR="002A6DCF" w:rsidRPr="002738CF" w:rsidRDefault="002A6DCF" w:rsidP="00F03084">
            <w:pPr>
              <w:jc w:val="right"/>
              <w:rPr>
                <w:rFonts w:ascii="Calibri" w:hAnsi="Calibri" w:cs="Arial"/>
                <w:sz w:val="18"/>
                <w:szCs w:val="18"/>
              </w:rPr>
            </w:pPr>
          </w:p>
        </w:tc>
      </w:tr>
      <w:tr w:rsidR="002A6DCF" w:rsidRPr="002738CF" w14:paraId="40EB76E6"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0EB04CE4"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SEGMENT B - USŁUGI ENERGETYCZNE</w:t>
            </w:r>
          </w:p>
        </w:tc>
        <w:tc>
          <w:tcPr>
            <w:tcW w:w="1756" w:type="dxa"/>
            <w:tcBorders>
              <w:top w:val="nil"/>
              <w:left w:val="nil"/>
              <w:bottom w:val="nil"/>
              <w:right w:val="nil"/>
            </w:tcBorders>
            <w:shd w:val="clear" w:color="000000" w:fill="D9D9D9" w:themeFill="background1" w:themeFillShade="D9"/>
            <w:noWrap/>
            <w:vAlign w:val="center"/>
            <w:hideMark/>
          </w:tcPr>
          <w:p w14:paraId="1C827F40"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 </w:t>
            </w:r>
          </w:p>
        </w:tc>
        <w:tc>
          <w:tcPr>
            <w:tcW w:w="1756" w:type="dxa"/>
            <w:tcBorders>
              <w:top w:val="nil"/>
              <w:left w:val="nil"/>
              <w:bottom w:val="nil"/>
              <w:right w:val="nil"/>
            </w:tcBorders>
            <w:shd w:val="clear" w:color="auto" w:fill="auto"/>
            <w:noWrap/>
            <w:vAlign w:val="center"/>
            <w:hideMark/>
          </w:tcPr>
          <w:p w14:paraId="55588B79" w14:textId="77777777" w:rsidR="002A6DCF" w:rsidRPr="002738CF" w:rsidRDefault="002A6DCF" w:rsidP="00F03084">
            <w:pPr>
              <w:jc w:val="right"/>
              <w:rPr>
                <w:rFonts w:ascii="Calibri" w:hAnsi="Calibri" w:cs="Arial"/>
                <w:sz w:val="18"/>
                <w:szCs w:val="18"/>
              </w:rPr>
            </w:pPr>
          </w:p>
        </w:tc>
      </w:tr>
      <w:tr w:rsidR="002A6DCF" w:rsidRPr="002738CF" w14:paraId="65CFE40E"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243D3C82" w14:textId="77777777" w:rsidR="002A6DCF" w:rsidRPr="002738CF" w:rsidRDefault="002A6DCF" w:rsidP="00F03084">
            <w:pPr>
              <w:rPr>
                <w:rFonts w:ascii="Calibri" w:hAnsi="Calibri" w:cs="Arial"/>
                <w:sz w:val="18"/>
                <w:szCs w:val="18"/>
              </w:rPr>
            </w:pPr>
            <w:r w:rsidRPr="002738CF">
              <w:rPr>
                <w:rFonts w:ascii="Calibri" w:hAnsi="Calibri" w:cs="Arial"/>
                <w:sz w:val="18"/>
                <w:szCs w:val="18"/>
              </w:rPr>
              <w:t>Przychody ze sprzedaży</w:t>
            </w:r>
          </w:p>
        </w:tc>
        <w:tc>
          <w:tcPr>
            <w:tcW w:w="1756" w:type="dxa"/>
            <w:tcBorders>
              <w:top w:val="nil"/>
              <w:left w:val="nil"/>
              <w:bottom w:val="nil"/>
              <w:right w:val="nil"/>
            </w:tcBorders>
            <w:shd w:val="clear" w:color="000000" w:fill="D9D9D9" w:themeFill="background1" w:themeFillShade="D9"/>
            <w:noWrap/>
            <w:vAlign w:val="center"/>
            <w:hideMark/>
          </w:tcPr>
          <w:p w14:paraId="5C4710BB"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4 705 274,55</w:t>
            </w:r>
          </w:p>
        </w:tc>
        <w:tc>
          <w:tcPr>
            <w:tcW w:w="1756" w:type="dxa"/>
            <w:tcBorders>
              <w:top w:val="nil"/>
              <w:left w:val="nil"/>
              <w:bottom w:val="nil"/>
              <w:right w:val="nil"/>
            </w:tcBorders>
            <w:shd w:val="clear" w:color="auto" w:fill="auto"/>
            <w:noWrap/>
            <w:vAlign w:val="center"/>
            <w:hideMark/>
          </w:tcPr>
          <w:p w14:paraId="2D59B70B"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4 415 619,68</w:t>
            </w:r>
          </w:p>
        </w:tc>
      </w:tr>
      <w:tr w:rsidR="002A6DCF" w:rsidRPr="002738CF" w14:paraId="63CF511A"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736CDCBA" w14:textId="77777777" w:rsidR="002A6DCF" w:rsidRPr="002738CF" w:rsidRDefault="002A6DCF" w:rsidP="00F03084">
            <w:pPr>
              <w:rPr>
                <w:rFonts w:ascii="Calibri" w:hAnsi="Calibri" w:cs="Arial"/>
                <w:sz w:val="18"/>
                <w:szCs w:val="18"/>
              </w:rPr>
            </w:pPr>
            <w:r w:rsidRPr="002738CF">
              <w:rPr>
                <w:rFonts w:ascii="Calibri" w:hAnsi="Calibri" w:cs="Arial"/>
                <w:sz w:val="18"/>
                <w:szCs w:val="18"/>
              </w:rPr>
              <w:t>Koszt własny sprzedaży</w:t>
            </w:r>
          </w:p>
        </w:tc>
        <w:tc>
          <w:tcPr>
            <w:tcW w:w="1756" w:type="dxa"/>
            <w:tcBorders>
              <w:top w:val="nil"/>
              <w:left w:val="nil"/>
              <w:bottom w:val="nil"/>
              <w:right w:val="nil"/>
            </w:tcBorders>
            <w:shd w:val="clear" w:color="000000" w:fill="D9D9D9" w:themeFill="background1" w:themeFillShade="D9"/>
            <w:noWrap/>
            <w:vAlign w:val="center"/>
            <w:hideMark/>
          </w:tcPr>
          <w:p w14:paraId="325CBE23"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4 313 148,62</w:t>
            </w:r>
          </w:p>
        </w:tc>
        <w:tc>
          <w:tcPr>
            <w:tcW w:w="1756" w:type="dxa"/>
            <w:tcBorders>
              <w:top w:val="nil"/>
              <w:left w:val="nil"/>
              <w:bottom w:val="nil"/>
              <w:right w:val="nil"/>
            </w:tcBorders>
            <w:shd w:val="clear" w:color="auto" w:fill="auto"/>
            <w:noWrap/>
            <w:vAlign w:val="center"/>
            <w:hideMark/>
          </w:tcPr>
          <w:p w14:paraId="2AF71437"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3 814 247,36</w:t>
            </w:r>
          </w:p>
        </w:tc>
      </w:tr>
      <w:tr w:rsidR="002A6DCF" w:rsidRPr="002738CF" w14:paraId="69F77560"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23674B75"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Wynik na działalności segmentu</w:t>
            </w:r>
          </w:p>
        </w:tc>
        <w:tc>
          <w:tcPr>
            <w:tcW w:w="175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4CC68864"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392 125,93</w:t>
            </w:r>
          </w:p>
        </w:tc>
        <w:tc>
          <w:tcPr>
            <w:tcW w:w="1756" w:type="dxa"/>
            <w:tcBorders>
              <w:top w:val="single" w:sz="4" w:space="0" w:color="auto"/>
              <w:left w:val="nil"/>
              <w:bottom w:val="double" w:sz="6" w:space="0" w:color="auto"/>
              <w:right w:val="nil"/>
            </w:tcBorders>
            <w:shd w:val="clear" w:color="auto" w:fill="auto"/>
            <w:noWrap/>
            <w:vAlign w:val="center"/>
            <w:hideMark/>
          </w:tcPr>
          <w:p w14:paraId="776B49B4"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601 372,32</w:t>
            </w:r>
          </w:p>
        </w:tc>
      </w:tr>
      <w:tr w:rsidR="002A6DCF" w:rsidRPr="002738CF" w14:paraId="5F0E266B"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12A1A23C" w14:textId="77777777" w:rsidR="002A6DCF" w:rsidRDefault="002A6DCF" w:rsidP="00F03084">
            <w:pPr>
              <w:rPr>
                <w:rFonts w:ascii="Calibri" w:hAnsi="Calibri" w:cs="Arial"/>
                <w:b/>
                <w:bCs/>
                <w:sz w:val="18"/>
                <w:szCs w:val="18"/>
              </w:rPr>
            </w:pPr>
          </w:p>
          <w:p w14:paraId="5DD99217"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SEGMENT C - USŁUGI UTRZYMANIA RUCHU</w:t>
            </w:r>
          </w:p>
        </w:tc>
        <w:tc>
          <w:tcPr>
            <w:tcW w:w="1756" w:type="dxa"/>
            <w:tcBorders>
              <w:top w:val="nil"/>
              <w:left w:val="nil"/>
              <w:bottom w:val="nil"/>
              <w:right w:val="nil"/>
            </w:tcBorders>
            <w:shd w:val="clear" w:color="000000" w:fill="D9D9D9" w:themeFill="background1" w:themeFillShade="D9"/>
            <w:noWrap/>
            <w:vAlign w:val="center"/>
            <w:hideMark/>
          </w:tcPr>
          <w:p w14:paraId="7EC66254"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 </w:t>
            </w:r>
          </w:p>
        </w:tc>
        <w:tc>
          <w:tcPr>
            <w:tcW w:w="1756" w:type="dxa"/>
            <w:tcBorders>
              <w:top w:val="nil"/>
              <w:left w:val="nil"/>
              <w:bottom w:val="nil"/>
              <w:right w:val="nil"/>
            </w:tcBorders>
            <w:shd w:val="clear" w:color="auto" w:fill="auto"/>
            <w:noWrap/>
            <w:vAlign w:val="center"/>
            <w:hideMark/>
          </w:tcPr>
          <w:p w14:paraId="1BB738E3" w14:textId="77777777" w:rsidR="002A6DCF" w:rsidRPr="002738CF" w:rsidRDefault="002A6DCF" w:rsidP="00F03084">
            <w:pPr>
              <w:jc w:val="right"/>
              <w:rPr>
                <w:rFonts w:ascii="Calibri" w:hAnsi="Calibri" w:cs="Arial"/>
                <w:sz w:val="18"/>
                <w:szCs w:val="18"/>
              </w:rPr>
            </w:pPr>
          </w:p>
        </w:tc>
      </w:tr>
      <w:tr w:rsidR="002A6DCF" w:rsidRPr="002738CF" w14:paraId="3655AC27"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3CE4BB6D" w14:textId="77777777" w:rsidR="002A6DCF" w:rsidRPr="002738CF" w:rsidRDefault="002A6DCF" w:rsidP="00F03084">
            <w:pPr>
              <w:rPr>
                <w:rFonts w:ascii="Calibri" w:hAnsi="Calibri" w:cs="Arial"/>
                <w:sz w:val="18"/>
                <w:szCs w:val="18"/>
              </w:rPr>
            </w:pPr>
            <w:r w:rsidRPr="002738CF">
              <w:rPr>
                <w:rFonts w:ascii="Calibri" w:hAnsi="Calibri" w:cs="Arial"/>
                <w:sz w:val="18"/>
                <w:szCs w:val="18"/>
              </w:rPr>
              <w:t>Przychody ze sprzedaży</w:t>
            </w:r>
          </w:p>
        </w:tc>
        <w:tc>
          <w:tcPr>
            <w:tcW w:w="1756" w:type="dxa"/>
            <w:tcBorders>
              <w:top w:val="nil"/>
              <w:left w:val="nil"/>
              <w:bottom w:val="nil"/>
              <w:right w:val="nil"/>
            </w:tcBorders>
            <w:shd w:val="clear" w:color="000000" w:fill="D9D9D9" w:themeFill="background1" w:themeFillShade="D9"/>
            <w:noWrap/>
            <w:vAlign w:val="center"/>
            <w:hideMark/>
          </w:tcPr>
          <w:p w14:paraId="2DF7154C"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4 911 236,09</w:t>
            </w:r>
          </w:p>
        </w:tc>
        <w:tc>
          <w:tcPr>
            <w:tcW w:w="1756" w:type="dxa"/>
            <w:tcBorders>
              <w:top w:val="nil"/>
              <w:left w:val="nil"/>
              <w:bottom w:val="nil"/>
              <w:right w:val="nil"/>
            </w:tcBorders>
            <w:shd w:val="clear" w:color="auto" w:fill="auto"/>
            <w:noWrap/>
            <w:vAlign w:val="center"/>
            <w:hideMark/>
          </w:tcPr>
          <w:p w14:paraId="7AF8D022"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5 451 492,50</w:t>
            </w:r>
          </w:p>
        </w:tc>
      </w:tr>
      <w:tr w:rsidR="002A6DCF" w:rsidRPr="002738CF" w14:paraId="5D48BE9E"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0FBA1B21" w14:textId="77777777" w:rsidR="002A6DCF" w:rsidRPr="002738CF" w:rsidRDefault="002A6DCF" w:rsidP="00F03084">
            <w:pPr>
              <w:rPr>
                <w:rFonts w:ascii="Calibri" w:hAnsi="Calibri" w:cs="Arial"/>
                <w:sz w:val="18"/>
                <w:szCs w:val="18"/>
              </w:rPr>
            </w:pPr>
            <w:r w:rsidRPr="002738CF">
              <w:rPr>
                <w:rFonts w:ascii="Calibri" w:hAnsi="Calibri" w:cs="Arial"/>
                <w:sz w:val="18"/>
                <w:szCs w:val="18"/>
              </w:rPr>
              <w:t>Koszt własny sprzedaży</w:t>
            </w:r>
          </w:p>
        </w:tc>
        <w:tc>
          <w:tcPr>
            <w:tcW w:w="1756" w:type="dxa"/>
            <w:tcBorders>
              <w:top w:val="nil"/>
              <w:left w:val="nil"/>
              <w:bottom w:val="nil"/>
              <w:right w:val="nil"/>
            </w:tcBorders>
            <w:shd w:val="clear" w:color="000000" w:fill="D9D9D9" w:themeFill="background1" w:themeFillShade="D9"/>
            <w:noWrap/>
            <w:vAlign w:val="center"/>
            <w:hideMark/>
          </w:tcPr>
          <w:p w14:paraId="71AF74FC"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3 793 791,06</w:t>
            </w:r>
          </w:p>
        </w:tc>
        <w:tc>
          <w:tcPr>
            <w:tcW w:w="1756" w:type="dxa"/>
            <w:tcBorders>
              <w:top w:val="nil"/>
              <w:left w:val="nil"/>
              <w:bottom w:val="nil"/>
              <w:right w:val="nil"/>
            </w:tcBorders>
            <w:shd w:val="clear" w:color="auto" w:fill="auto"/>
            <w:noWrap/>
            <w:vAlign w:val="center"/>
            <w:hideMark/>
          </w:tcPr>
          <w:p w14:paraId="7327E9FF"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4 724 348,40</w:t>
            </w:r>
          </w:p>
        </w:tc>
      </w:tr>
      <w:tr w:rsidR="002A6DCF" w:rsidRPr="002738CF" w14:paraId="11E78086"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4AC58B4A"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Wynik na działalności segmentu</w:t>
            </w:r>
          </w:p>
        </w:tc>
        <w:tc>
          <w:tcPr>
            <w:tcW w:w="175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177D7233"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1 117 445,03</w:t>
            </w:r>
          </w:p>
        </w:tc>
        <w:tc>
          <w:tcPr>
            <w:tcW w:w="1756" w:type="dxa"/>
            <w:tcBorders>
              <w:top w:val="single" w:sz="4" w:space="0" w:color="auto"/>
              <w:left w:val="nil"/>
              <w:bottom w:val="double" w:sz="6" w:space="0" w:color="auto"/>
              <w:right w:val="nil"/>
            </w:tcBorders>
            <w:shd w:val="clear" w:color="auto" w:fill="auto"/>
            <w:noWrap/>
            <w:vAlign w:val="center"/>
            <w:hideMark/>
          </w:tcPr>
          <w:p w14:paraId="4292B99C"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727 144,10</w:t>
            </w:r>
          </w:p>
        </w:tc>
      </w:tr>
      <w:tr w:rsidR="002A6DCF" w:rsidRPr="002738CF" w14:paraId="36A30669"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793A48E7" w14:textId="77777777" w:rsidR="002A6DCF" w:rsidRPr="002738CF" w:rsidRDefault="002A6DCF" w:rsidP="00F03084">
            <w:pPr>
              <w:rPr>
                <w:rFonts w:ascii="Calibri" w:hAnsi="Calibri" w:cs="Arial"/>
                <w:sz w:val="18"/>
                <w:szCs w:val="18"/>
              </w:rPr>
            </w:pPr>
          </w:p>
        </w:tc>
        <w:tc>
          <w:tcPr>
            <w:tcW w:w="1756" w:type="dxa"/>
            <w:tcBorders>
              <w:top w:val="nil"/>
              <w:left w:val="nil"/>
              <w:bottom w:val="nil"/>
              <w:right w:val="nil"/>
            </w:tcBorders>
            <w:shd w:val="clear" w:color="000000" w:fill="D9D9D9" w:themeFill="background1" w:themeFillShade="D9"/>
            <w:noWrap/>
            <w:vAlign w:val="center"/>
            <w:hideMark/>
          </w:tcPr>
          <w:p w14:paraId="4C0BB6E9" w14:textId="77777777" w:rsidR="002A6DCF" w:rsidRPr="002738CF" w:rsidRDefault="002A6DCF" w:rsidP="00F03084">
            <w:pPr>
              <w:rPr>
                <w:rFonts w:ascii="Calibri" w:hAnsi="Calibri" w:cs="Arial"/>
                <w:sz w:val="18"/>
                <w:szCs w:val="18"/>
              </w:rPr>
            </w:pPr>
            <w:r w:rsidRPr="002738CF">
              <w:rPr>
                <w:rFonts w:ascii="Calibri" w:hAnsi="Calibri" w:cs="Arial"/>
                <w:sz w:val="18"/>
                <w:szCs w:val="18"/>
              </w:rPr>
              <w:t> </w:t>
            </w:r>
          </w:p>
        </w:tc>
        <w:tc>
          <w:tcPr>
            <w:tcW w:w="1756" w:type="dxa"/>
            <w:tcBorders>
              <w:top w:val="nil"/>
              <w:left w:val="nil"/>
              <w:bottom w:val="nil"/>
              <w:right w:val="nil"/>
            </w:tcBorders>
            <w:shd w:val="clear" w:color="auto" w:fill="auto"/>
            <w:noWrap/>
            <w:vAlign w:val="center"/>
            <w:hideMark/>
          </w:tcPr>
          <w:p w14:paraId="7874DF2F" w14:textId="77777777" w:rsidR="002A6DCF" w:rsidRPr="002738CF" w:rsidRDefault="002A6DCF" w:rsidP="00F03084">
            <w:pPr>
              <w:jc w:val="right"/>
              <w:rPr>
                <w:rFonts w:ascii="Calibri" w:hAnsi="Calibri" w:cs="Arial"/>
                <w:sz w:val="18"/>
                <w:szCs w:val="18"/>
              </w:rPr>
            </w:pPr>
          </w:p>
        </w:tc>
      </w:tr>
      <w:tr w:rsidR="002A6DCF" w:rsidRPr="002738CF" w14:paraId="7FCC3CA9"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2739B932" w14:textId="77777777" w:rsidR="000A3917" w:rsidRDefault="000A3917" w:rsidP="00F03084">
            <w:pPr>
              <w:rPr>
                <w:rFonts w:ascii="Calibri" w:hAnsi="Calibri" w:cs="Arial"/>
                <w:b/>
                <w:bCs/>
                <w:sz w:val="18"/>
                <w:szCs w:val="18"/>
              </w:rPr>
            </w:pPr>
          </w:p>
          <w:p w14:paraId="6C827ED7" w14:textId="77777777" w:rsidR="000A3917" w:rsidRDefault="000A3917" w:rsidP="00F03084">
            <w:pPr>
              <w:rPr>
                <w:rFonts w:ascii="Calibri" w:hAnsi="Calibri" w:cs="Arial"/>
                <w:b/>
                <w:bCs/>
                <w:sz w:val="18"/>
                <w:szCs w:val="18"/>
              </w:rPr>
            </w:pPr>
          </w:p>
          <w:p w14:paraId="6548E97A"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SEGMENT D - POZOSTAŁE USŁUGI</w:t>
            </w:r>
          </w:p>
        </w:tc>
        <w:tc>
          <w:tcPr>
            <w:tcW w:w="1756" w:type="dxa"/>
            <w:tcBorders>
              <w:top w:val="nil"/>
              <w:left w:val="nil"/>
              <w:bottom w:val="nil"/>
              <w:right w:val="nil"/>
            </w:tcBorders>
            <w:shd w:val="clear" w:color="000000" w:fill="D9D9D9" w:themeFill="background1" w:themeFillShade="D9"/>
            <w:noWrap/>
            <w:vAlign w:val="center"/>
            <w:hideMark/>
          </w:tcPr>
          <w:p w14:paraId="3931D266"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 </w:t>
            </w:r>
          </w:p>
        </w:tc>
        <w:tc>
          <w:tcPr>
            <w:tcW w:w="1756" w:type="dxa"/>
            <w:tcBorders>
              <w:top w:val="nil"/>
              <w:left w:val="nil"/>
              <w:bottom w:val="nil"/>
              <w:right w:val="nil"/>
            </w:tcBorders>
            <w:shd w:val="clear" w:color="auto" w:fill="auto"/>
            <w:noWrap/>
            <w:vAlign w:val="center"/>
            <w:hideMark/>
          </w:tcPr>
          <w:p w14:paraId="47616E2B" w14:textId="77777777" w:rsidR="002A6DCF" w:rsidRPr="002738CF" w:rsidRDefault="002A6DCF" w:rsidP="00F03084">
            <w:pPr>
              <w:jc w:val="right"/>
              <w:rPr>
                <w:rFonts w:ascii="Calibri" w:hAnsi="Calibri" w:cs="Arial"/>
                <w:sz w:val="18"/>
                <w:szCs w:val="18"/>
              </w:rPr>
            </w:pPr>
          </w:p>
        </w:tc>
      </w:tr>
      <w:tr w:rsidR="002A6DCF" w:rsidRPr="002738CF" w14:paraId="52833633"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594025D1" w14:textId="77777777" w:rsidR="002A6DCF" w:rsidRPr="002738CF" w:rsidRDefault="002A6DCF" w:rsidP="00F03084">
            <w:pPr>
              <w:rPr>
                <w:rFonts w:ascii="Calibri" w:hAnsi="Calibri" w:cs="Arial"/>
                <w:sz w:val="18"/>
                <w:szCs w:val="18"/>
              </w:rPr>
            </w:pPr>
            <w:r w:rsidRPr="002738CF">
              <w:rPr>
                <w:rFonts w:ascii="Calibri" w:hAnsi="Calibri" w:cs="Arial"/>
                <w:sz w:val="18"/>
                <w:szCs w:val="18"/>
              </w:rPr>
              <w:t>Przychody ze sprzedaży</w:t>
            </w:r>
          </w:p>
        </w:tc>
        <w:tc>
          <w:tcPr>
            <w:tcW w:w="1756" w:type="dxa"/>
            <w:tcBorders>
              <w:top w:val="nil"/>
              <w:left w:val="nil"/>
              <w:bottom w:val="nil"/>
              <w:right w:val="nil"/>
            </w:tcBorders>
            <w:shd w:val="clear" w:color="000000" w:fill="D9D9D9" w:themeFill="background1" w:themeFillShade="D9"/>
            <w:noWrap/>
            <w:vAlign w:val="center"/>
            <w:hideMark/>
          </w:tcPr>
          <w:p w14:paraId="0CF797AC"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2 192 876,69</w:t>
            </w:r>
          </w:p>
        </w:tc>
        <w:tc>
          <w:tcPr>
            <w:tcW w:w="1756" w:type="dxa"/>
            <w:tcBorders>
              <w:top w:val="nil"/>
              <w:left w:val="nil"/>
              <w:bottom w:val="nil"/>
              <w:right w:val="nil"/>
            </w:tcBorders>
            <w:shd w:val="clear" w:color="auto" w:fill="auto"/>
            <w:noWrap/>
            <w:vAlign w:val="center"/>
            <w:hideMark/>
          </w:tcPr>
          <w:p w14:paraId="118265AC"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2 568 653,43</w:t>
            </w:r>
          </w:p>
        </w:tc>
      </w:tr>
      <w:tr w:rsidR="002A6DCF" w:rsidRPr="002738CF" w14:paraId="0FB18D09"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0EC31DA5" w14:textId="77777777" w:rsidR="002A6DCF" w:rsidRPr="002738CF" w:rsidRDefault="002A6DCF" w:rsidP="00F03084">
            <w:pPr>
              <w:rPr>
                <w:rFonts w:ascii="Calibri" w:hAnsi="Calibri" w:cs="Arial"/>
                <w:sz w:val="18"/>
                <w:szCs w:val="18"/>
              </w:rPr>
            </w:pPr>
            <w:r w:rsidRPr="002738CF">
              <w:rPr>
                <w:rFonts w:ascii="Calibri" w:hAnsi="Calibri" w:cs="Arial"/>
                <w:sz w:val="18"/>
                <w:szCs w:val="18"/>
              </w:rPr>
              <w:t>Koszt własny sprzedaży</w:t>
            </w:r>
          </w:p>
        </w:tc>
        <w:tc>
          <w:tcPr>
            <w:tcW w:w="1756" w:type="dxa"/>
            <w:tcBorders>
              <w:top w:val="nil"/>
              <w:left w:val="nil"/>
              <w:bottom w:val="nil"/>
              <w:right w:val="nil"/>
            </w:tcBorders>
            <w:shd w:val="clear" w:color="000000" w:fill="D9D9D9" w:themeFill="background1" w:themeFillShade="D9"/>
            <w:noWrap/>
            <w:vAlign w:val="center"/>
            <w:hideMark/>
          </w:tcPr>
          <w:p w14:paraId="6E54F19F"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2 443 498,84</w:t>
            </w:r>
          </w:p>
        </w:tc>
        <w:tc>
          <w:tcPr>
            <w:tcW w:w="1756" w:type="dxa"/>
            <w:tcBorders>
              <w:top w:val="nil"/>
              <w:left w:val="nil"/>
              <w:bottom w:val="nil"/>
              <w:right w:val="nil"/>
            </w:tcBorders>
            <w:shd w:val="clear" w:color="auto" w:fill="auto"/>
            <w:noWrap/>
            <w:vAlign w:val="center"/>
            <w:hideMark/>
          </w:tcPr>
          <w:p w14:paraId="4BC640D2"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2 580 457,51</w:t>
            </w:r>
          </w:p>
        </w:tc>
      </w:tr>
      <w:tr w:rsidR="002A6DCF" w:rsidRPr="002738CF" w14:paraId="0BFEAD8D"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297C5675"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Wynik na działalności segmentu</w:t>
            </w:r>
          </w:p>
        </w:tc>
        <w:tc>
          <w:tcPr>
            <w:tcW w:w="175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220D8539"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-250 622,15</w:t>
            </w:r>
          </w:p>
        </w:tc>
        <w:tc>
          <w:tcPr>
            <w:tcW w:w="1756" w:type="dxa"/>
            <w:tcBorders>
              <w:top w:val="single" w:sz="4" w:space="0" w:color="auto"/>
              <w:left w:val="nil"/>
              <w:bottom w:val="double" w:sz="6" w:space="0" w:color="auto"/>
              <w:right w:val="nil"/>
            </w:tcBorders>
            <w:shd w:val="clear" w:color="auto" w:fill="auto"/>
            <w:noWrap/>
            <w:vAlign w:val="center"/>
            <w:hideMark/>
          </w:tcPr>
          <w:p w14:paraId="7BBC9074"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-11 804,08</w:t>
            </w:r>
          </w:p>
        </w:tc>
      </w:tr>
      <w:tr w:rsidR="002A6DCF" w:rsidRPr="002738CF" w14:paraId="771BC920"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4454B3FE" w14:textId="77777777" w:rsidR="002A6DCF" w:rsidRPr="002738CF" w:rsidRDefault="002A6DCF" w:rsidP="00F03084">
            <w:pPr>
              <w:rPr>
                <w:rFonts w:ascii="Calibri" w:hAnsi="Calibri" w:cs="Arial"/>
                <w:sz w:val="18"/>
                <w:szCs w:val="18"/>
              </w:rPr>
            </w:pPr>
          </w:p>
        </w:tc>
        <w:tc>
          <w:tcPr>
            <w:tcW w:w="1756" w:type="dxa"/>
            <w:tcBorders>
              <w:top w:val="nil"/>
              <w:left w:val="nil"/>
              <w:bottom w:val="nil"/>
              <w:right w:val="nil"/>
            </w:tcBorders>
            <w:shd w:val="clear" w:color="000000" w:fill="D9D9D9" w:themeFill="background1" w:themeFillShade="D9"/>
            <w:noWrap/>
            <w:vAlign w:val="center"/>
            <w:hideMark/>
          </w:tcPr>
          <w:p w14:paraId="0089F2D7" w14:textId="77777777" w:rsidR="002A6DCF" w:rsidRPr="002738CF" w:rsidRDefault="002A6DCF" w:rsidP="00F03084">
            <w:pPr>
              <w:rPr>
                <w:rFonts w:ascii="Calibri" w:hAnsi="Calibri" w:cs="Arial"/>
                <w:sz w:val="18"/>
                <w:szCs w:val="18"/>
              </w:rPr>
            </w:pPr>
            <w:r w:rsidRPr="002738CF">
              <w:rPr>
                <w:rFonts w:ascii="Calibri" w:hAnsi="Calibri" w:cs="Arial"/>
                <w:sz w:val="18"/>
                <w:szCs w:val="18"/>
              </w:rPr>
              <w:t> </w:t>
            </w:r>
          </w:p>
        </w:tc>
        <w:tc>
          <w:tcPr>
            <w:tcW w:w="1756" w:type="dxa"/>
            <w:tcBorders>
              <w:top w:val="nil"/>
              <w:left w:val="nil"/>
              <w:bottom w:val="nil"/>
              <w:right w:val="nil"/>
            </w:tcBorders>
            <w:shd w:val="clear" w:color="auto" w:fill="auto"/>
            <w:noWrap/>
            <w:vAlign w:val="center"/>
            <w:hideMark/>
          </w:tcPr>
          <w:p w14:paraId="4735D43B" w14:textId="77777777" w:rsidR="002A6DCF" w:rsidRPr="002738CF" w:rsidRDefault="002A6DCF" w:rsidP="00F03084">
            <w:pPr>
              <w:jc w:val="right"/>
              <w:rPr>
                <w:rFonts w:ascii="Calibri" w:hAnsi="Calibri" w:cs="Arial"/>
                <w:sz w:val="18"/>
                <w:szCs w:val="18"/>
              </w:rPr>
            </w:pPr>
          </w:p>
        </w:tc>
      </w:tr>
      <w:tr w:rsidR="002A6DCF" w:rsidRPr="002738CF" w14:paraId="34C03686"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7FFFD94A" w14:textId="77777777" w:rsidR="002A6DCF" w:rsidRPr="002738CF" w:rsidRDefault="002A6DCF" w:rsidP="00F03084">
            <w:pPr>
              <w:rPr>
                <w:rFonts w:ascii="Calibri" w:hAnsi="Calibri" w:cs="Arial"/>
                <w:sz w:val="18"/>
                <w:szCs w:val="18"/>
              </w:rPr>
            </w:pPr>
            <w:r w:rsidRPr="002738CF">
              <w:rPr>
                <w:rFonts w:ascii="Calibri" w:hAnsi="Calibri" w:cs="Arial"/>
                <w:sz w:val="18"/>
                <w:szCs w:val="18"/>
              </w:rPr>
              <w:t>Przychody ze sprzedaży towarów i materiałów</w:t>
            </w:r>
          </w:p>
        </w:tc>
        <w:tc>
          <w:tcPr>
            <w:tcW w:w="1756" w:type="dxa"/>
            <w:tcBorders>
              <w:top w:val="nil"/>
              <w:left w:val="nil"/>
              <w:bottom w:val="nil"/>
              <w:right w:val="nil"/>
            </w:tcBorders>
            <w:shd w:val="clear" w:color="000000" w:fill="D9D9D9" w:themeFill="background1" w:themeFillShade="D9"/>
            <w:noWrap/>
            <w:vAlign w:val="center"/>
            <w:hideMark/>
          </w:tcPr>
          <w:p w14:paraId="153FF814"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0,00</w:t>
            </w:r>
          </w:p>
        </w:tc>
        <w:tc>
          <w:tcPr>
            <w:tcW w:w="1756" w:type="dxa"/>
            <w:tcBorders>
              <w:top w:val="nil"/>
              <w:left w:val="nil"/>
              <w:bottom w:val="nil"/>
              <w:right w:val="nil"/>
            </w:tcBorders>
            <w:shd w:val="clear" w:color="auto" w:fill="auto"/>
            <w:noWrap/>
            <w:vAlign w:val="center"/>
            <w:hideMark/>
          </w:tcPr>
          <w:p w14:paraId="521CC50C"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0,00</w:t>
            </w:r>
          </w:p>
        </w:tc>
      </w:tr>
      <w:tr w:rsidR="002A6DCF" w:rsidRPr="002738CF" w14:paraId="13AF5217"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4CF8925D" w14:textId="77777777" w:rsidR="002A6DCF" w:rsidRPr="002738CF" w:rsidRDefault="002A6DCF" w:rsidP="00F03084">
            <w:pPr>
              <w:rPr>
                <w:rFonts w:ascii="Calibri" w:hAnsi="Calibri" w:cs="Arial"/>
                <w:sz w:val="18"/>
                <w:szCs w:val="18"/>
              </w:rPr>
            </w:pPr>
            <w:r w:rsidRPr="002738CF">
              <w:rPr>
                <w:rFonts w:ascii="Calibri" w:hAnsi="Calibri" w:cs="Arial"/>
                <w:sz w:val="18"/>
                <w:szCs w:val="18"/>
              </w:rPr>
              <w:t>Koszt własny sprzedaży towarów i materiałów</w:t>
            </w:r>
          </w:p>
        </w:tc>
        <w:tc>
          <w:tcPr>
            <w:tcW w:w="1756" w:type="dxa"/>
            <w:tcBorders>
              <w:top w:val="nil"/>
              <w:left w:val="nil"/>
              <w:bottom w:val="nil"/>
              <w:right w:val="nil"/>
            </w:tcBorders>
            <w:shd w:val="clear" w:color="000000" w:fill="D9D9D9" w:themeFill="background1" w:themeFillShade="D9"/>
            <w:noWrap/>
            <w:vAlign w:val="center"/>
            <w:hideMark/>
          </w:tcPr>
          <w:p w14:paraId="7713D1E6"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0,00</w:t>
            </w:r>
          </w:p>
        </w:tc>
        <w:tc>
          <w:tcPr>
            <w:tcW w:w="1756" w:type="dxa"/>
            <w:tcBorders>
              <w:top w:val="nil"/>
              <w:left w:val="nil"/>
              <w:bottom w:val="nil"/>
              <w:right w:val="nil"/>
            </w:tcBorders>
            <w:shd w:val="clear" w:color="auto" w:fill="auto"/>
            <w:noWrap/>
            <w:vAlign w:val="center"/>
            <w:hideMark/>
          </w:tcPr>
          <w:p w14:paraId="4E6855C5"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0,00</w:t>
            </w:r>
          </w:p>
        </w:tc>
      </w:tr>
      <w:tr w:rsidR="002A6DCF" w:rsidRPr="002738CF" w14:paraId="529846B0"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47ED08EF"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Wynik na sprzedaży towarów i materiałów</w:t>
            </w:r>
          </w:p>
        </w:tc>
        <w:tc>
          <w:tcPr>
            <w:tcW w:w="175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6B7C84B9"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0,00</w:t>
            </w:r>
          </w:p>
        </w:tc>
        <w:tc>
          <w:tcPr>
            <w:tcW w:w="1756" w:type="dxa"/>
            <w:tcBorders>
              <w:top w:val="single" w:sz="4" w:space="0" w:color="auto"/>
              <w:left w:val="nil"/>
              <w:bottom w:val="double" w:sz="6" w:space="0" w:color="auto"/>
              <w:right w:val="nil"/>
            </w:tcBorders>
            <w:shd w:val="clear" w:color="auto" w:fill="auto"/>
            <w:noWrap/>
            <w:vAlign w:val="center"/>
            <w:hideMark/>
          </w:tcPr>
          <w:p w14:paraId="22FCAD7D"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0,00</w:t>
            </w:r>
          </w:p>
        </w:tc>
      </w:tr>
      <w:tr w:rsidR="002A6DCF" w:rsidRPr="002738CF" w14:paraId="1F65DE1F"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36DCA335" w14:textId="77777777" w:rsidR="002A6DCF" w:rsidRPr="002738CF" w:rsidRDefault="002A6DCF" w:rsidP="00F03084">
            <w:pPr>
              <w:rPr>
                <w:rFonts w:ascii="Calibri" w:hAnsi="Calibri" w:cs="Arial"/>
                <w:sz w:val="18"/>
                <w:szCs w:val="18"/>
              </w:rPr>
            </w:pPr>
          </w:p>
        </w:tc>
        <w:tc>
          <w:tcPr>
            <w:tcW w:w="1756" w:type="dxa"/>
            <w:tcBorders>
              <w:top w:val="nil"/>
              <w:left w:val="nil"/>
              <w:bottom w:val="nil"/>
              <w:right w:val="nil"/>
            </w:tcBorders>
            <w:shd w:val="clear" w:color="000000" w:fill="D9D9D9" w:themeFill="background1" w:themeFillShade="D9"/>
            <w:noWrap/>
            <w:vAlign w:val="center"/>
            <w:hideMark/>
          </w:tcPr>
          <w:p w14:paraId="496DF6DA" w14:textId="77777777" w:rsidR="002A6DCF" w:rsidRPr="002738CF" w:rsidRDefault="002A6DCF" w:rsidP="00F03084">
            <w:pPr>
              <w:rPr>
                <w:rFonts w:ascii="Calibri" w:hAnsi="Calibri" w:cs="Arial"/>
                <w:sz w:val="18"/>
                <w:szCs w:val="18"/>
              </w:rPr>
            </w:pPr>
            <w:r w:rsidRPr="002738CF">
              <w:rPr>
                <w:rFonts w:ascii="Calibri" w:hAnsi="Calibri" w:cs="Arial"/>
                <w:sz w:val="18"/>
                <w:szCs w:val="18"/>
              </w:rPr>
              <w:t> </w:t>
            </w:r>
          </w:p>
        </w:tc>
        <w:tc>
          <w:tcPr>
            <w:tcW w:w="1756" w:type="dxa"/>
            <w:tcBorders>
              <w:top w:val="nil"/>
              <w:left w:val="nil"/>
              <w:bottom w:val="nil"/>
              <w:right w:val="nil"/>
            </w:tcBorders>
            <w:shd w:val="clear" w:color="auto" w:fill="auto"/>
            <w:noWrap/>
            <w:vAlign w:val="center"/>
            <w:hideMark/>
          </w:tcPr>
          <w:p w14:paraId="1AA3F7CB" w14:textId="77777777" w:rsidR="002A6DCF" w:rsidRPr="002738CF" w:rsidRDefault="002A6DCF" w:rsidP="00F03084">
            <w:pPr>
              <w:jc w:val="right"/>
              <w:rPr>
                <w:rFonts w:ascii="Calibri" w:hAnsi="Calibri" w:cs="Arial"/>
                <w:sz w:val="18"/>
                <w:szCs w:val="18"/>
              </w:rPr>
            </w:pPr>
          </w:p>
        </w:tc>
      </w:tr>
      <w:tr w:rsidR="002A6DCF" w:rsidRPr="002738CF" w14:paraId="5194256C"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220707A8" w14:textId="77777777" w:rsidR="002A6DCF" w:rsidRPr="002738CF" w:rsidRDefault="002A6DCF" w:rsidP="00F03084">
            <w:pPr>
              <w:rPr>
                <w:rFonts w:ascii="Calibri" w:hAnsi="Calibri" w:cs="Arial"/>
                <w:sz w:val="18"/>
                <w:szCs w:val="18"/>
              </w:rPr>
            </w:pPr>
            <w:r w:rsidRPr="002738CF">
              <w:rPr>
                <w:rFonts w:ascii="Calibri" w:hAnsi="Calibri" w:cs="Arial"/>
                <w:sz w:val="18"/>
                <w:szCs w:val="18"/>
              </w:rPr>
              <w:t>Razem przychody</w:t>
            </w:r>
          </w:p>
        </w:tc>
        <w:tc>
          <w:tcPr>
            <w:tcW w:w="1756" w:type="dxa"/>
            <w:tcBorders>
              <w:top w:val="nil"/>
              <w:left w:val="nil"/>
              <w:bottom w:val="nil"/>
              <w:right w:val="nil"/>
            </w:tcBorders>
            <w:shd w:val="clear" w:color="000000" w:fill="D9D9D9" w:themeFill="background1" w:themeFillShade="D9"/>
            <w:noWrap/>
            <w:vAlign w:val="center"/>
            <w:hideMark/>
          </w:tcPr>
          <w:p w14:paraId="02BD7AF2"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21 251 845,17</w:t>
            </w:r>
          </w:p>
        </w:tc>
        <w:tc>
          <w:tcPr>
            <w:tcW w:w="1756" w:type="dxa"/>
            <w:tcBorders>
              <w:top w:val="nil"/>
              <w:left w:val="nil"/>
              <w:bottom w:val="nil"/>
              <w:right w:val="nil"/>
            </w:tcBorders>
            <w:shd w:val="clear" w:color="auto" w:fill="auto"/>
            <w:noWrap/>
            <w:vAlign w:val="center"/>
            <w:hideMark/>
          </w:tcPr>
          <w:p w14:paraId="3A225142"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14 940 063,43</w:t>
            </w:r>
          </w:p>
        </w:tc>
      </w:tr>
      <w:tr w:rsidR="002A6DCF" w:rsidRPr="002738CF" w14:paraId="496CF602" w14:textId="77777777" w:rsidTr="002A6DCF">
        <w:trPr>
          <w:trHeight w:val="240"/>
          <w:jc w:val="center"/>
        </w:trPr>
        <w:tc>
          <w:tcPr>
            <w:tcW w:w="5288" w:type="dxa"/>
            <w:tcBorders>
              <w:top w:val="nil"/>
              <w:left w:val="nil"/>
              <w:bottom w:val="nil"/>
              <w:right w:val="nil"/>
            </w:tcBorders>
            <w:shd w:val="clear" w:color="auto" w:fill="auto"/>
            <w:noWrap/>
            <w:vAlign w:val="center"/>
            <w:hideMark/>
          </w:tcPr>
          <w:p w14:paraId="3B6C85EA" w14:textId="77777777" w:rsidR="002A6DCF" w:rsidRPr="002738CF" w:rsidRDefault="002A6DCF" w:rsidP="00F03084">
            <w:pPr>
              <w:rPr>
                <w:rFonts w:ascii="Calibri" w:hAnsi="Calibri" w:cs="Arial"/>
                <w:sz w:val="18"/>
                <w:szCs w:val="18"/>
              </w:rPr>
            </w:pPr>
            <w:r w:rsidRPr="002738CF">
              <w:rPr>
                <w:rFonts w:ascii="Calibri" w:hAnsi="Calibri" w:cs="Arial"/>
                <w:sz w:val="18"/>
                <w:szCs w:val="18"/>
              </w:rPr>
              <w:t>Razem koszty</w:t>
            </w:r>
          </w:p>
        </w:tc>
        <w:tc>
          <w:tcPr>
            <w:tcW w:w="1756" w:type="dxa"/>
            <w:tcBorders>
              <w:top w:val="nil"/>
              <w:left w:val="nil"/>
              <w:bottom w:val="nil"/>
              <w:right w:val="nil"/>
            </w:tcBorders>
            <w:shd w:val="clear" w:color="000000" w:fill="D9D9D9" w:themeFill="background1" w:themeFillShade="D9"/>
            <w:noWrap/>
            <w:vAlign w:val="center"/>
            <w:hideMark/>
          </w:tcPr>
          <w:p w14:paraId="4D5A2824"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19 277 604,03</w:t>
            </w:r>
          </w:p>
        </w:tc>
        <w:tc>
          <w:tcPr>
            <w:tcW w:w="1756" w:type="dxa"/>
            <w:tcBorders>
              <w:top w:val="nil"/>
              <w:left w:val="nil"/>
              <w:bottom w:val="nil"/>
              <w:right w:val="nil"/>
            </w:tcBorders>
            <w:shd w:val="clear" w:color="auto" w:fill="auto"/>
            <w:noWrap/>
            <w:vAlign w:val="center"/>
            <w:hideMark/>
          </w:tcPr>
          <w:p w14:paraId="16C2C785" w14:textId="77777777" w:rsidR="002A6DCF" w:rsidRPr="002738CF" w:rsidRDefault="002A6DCF" w:rsidP="00F03084">
            <w:pPr>
              <w:jc w:val="right"/>
              <w:rPr>
                <w:rFonts w:ascii="Calibri" w:hAnsi="Calibri" w:cs="Arial"/>
                <w:sz w:val="18"/>
                <w:szCs w:val="18"/>
              </w:rPr>
            </w:pPr>
            <w:r w:rsidRPr="002738CF">
              <w:rPr>
                <w:rFonts w:ascii="Calibri" w:hAnsi="Calibri" w:cs="Arial"/>
                <w:sz w:val="18"/>
                <w:szCs w:val="18"/>
              </w:rPr>
              <w:t>13 154 890,21</w:t>
            </w:r>
          </w:p>
        </w:tc>
      </w:tr>
      <w:tr w:rsidR="002A6DCF" w:rsidRPr="002738CF" w14:paraId="1BAEC7D1" w14:textId="77777777" w:rsidTr="002A6DCF">
        <w:trPr>
          <w:trHeight w:val="255"/>
          <w:jc w:val="center"/>
        </w:trPr>
        <w:tc>
          <w:tcPr>
            <w:tcW w:w="5288" w:type="dxa"/>
            <w:tcBorders>
              <w:top w:val="nil"/>
              <w:left w:val="nil"/>
              <w:bottom w:val="nil"/>
              <w:right w:val="nil"/>
            </w:tcBorders>
            <w:shd w:val="clear" w:color="auto" w:fill="auto"/>
            <w:noWrap/>
            <w:vAlign w:val="center"/>
            <w:hideMark/>
          </w:tcPr>
          <w:p w14:paraId="74268982" w14:textId="77777777" w:rsidR="002A6DCF" w:rsidRPr="002738CF" w:rsidRDefault="002A6DCF" w:rsidP="00F03084">
            <w:pPr>
              <w:rPr>
                <w:rFonts w:ascii="Calibri" w:hAnsi="Calibri" w:cs="Arial"/>
                <w:b/>
                <w:bCs/>
                <w:sz w:val="18"/>
                <w:szCs w:val="18"/>
              </w:rPr>
            </w:pPr>
            <w:r w:rsidRPr="002738CF">
              <w:rPr>
                <w:rFonts w:ascii="Calibri" w:hAnsi="Calibri" w:cs="Arial"/>
                <w:b/>
                <w:bCs/>
                <w:sz w:val="18"/>
                <w:szCs w:val="18"/>
              </w:rPr>
              <w:t>Razem wynik na sprzedaży</w:t>
            </w:r>
          </w:p>
        </w:tc>
        <w:tc>
          <w:tcPr>
            <w:tcW w:w="175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57637D1"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1 974 241,14</w:t>
            </w:r>
          </w:p>
        </w:tc>
        <w:tc>
          <w:tcPr>
            <w:tcW w:w="1756" w:type="dxa"/>
            <w:tcBorders>
              <w:top w:val="single" w:sz="4" w:space="0" w:color="auto"/>
              <w:left w:val="nil"/>
              <w:bottom w:val="double" w:sz="6" w:space="0" w:color="auto"/>
              <w:right w:val="nil"/>
            </w:tcBorders>
            <w:shd w:val="clear" w:color="auto" w:fill="auto"/>
            <w:noWrap/>
            <w:vAlign w:val="center"/>
            <w:hideMark/>
          </w:tcPr>
          <w:p w14:paraId="2347FC82" w14:textId="77777777" w:rsidR="002A6DCF" w:rsidRPr="002738CF" w:rsidRDefault="002A6DCF" w:rsidP="00F03084">
            <w:pPr>
              <w:jc w:val="right"/>
              <w:rPr>
                <w:rFonts w:ascii="Calibri" w:hAnsi="Calibri" w:cs="Arial"/>
                <w:b/>
                <w:bCs/>
                <w:sz w:val="18"/>
                <w:szCs w:val="18"/>
              </w:rPr>
            </w:pPr>
            <w:r w:rsidRPr="002738CF">
              <w:rPr>
                <w:rFonts w:ascii="Calibri" w:hAnsi="Calibri" w:cs="Arial"/>
                <w:b/>
                <w:bCs/>
                <w:sz w:val="18"/>
                <w:szCs w:val="18"/>
              </w:rPr>
              <w:t>1 785 173,22</w:t>
            </w:r>
          </w:p>
        </w:tc>
      </w:tr>
    </w:tbl>
    <w:p w14:paraId="1B34666F" w14:textId="77777777" w:rsidR="002A6DCF" w:rsidRPr="00360EFC" w:rsidRDefault="002A6DCF" w:rsidP="00343311">
      <w:pPr>
        <w:pStyle w:val="wypunktowanie1sprawozdanie"/>
        <w:spacing w:before="0" w:after="0" w:line="360" w:lineRule="auto"/>
        <w:ind w:firstLine="567"/>
        <w:rPr>
          <w:rFonts w:asciiTheme="minorHAnsi" w:hAnsiTheme="minorHAnsi"/>
          <w:b w:val="0"/>
          <w:color w:val="FF0000"/>
          <w:sz w:val="22"/>
          <w:szCs w:val="22"/>
        </w:rPr>
      </w:pPr>
    </w:p>
    <w:p w14:paraId="444A6B11" w14:textId="77777777" w:rsidR="00E67FA6" w:rsidRPr="005C60B6" w:rsidRDefault="00E67FA6" w:rsidP="00F96957">
      <w:pPr>
        <w:tabs>
          <w:tab w:val="left" w:pos="567"/>
        </w:tabs>
        <w:spacing w:line="360" w:lineRule="auto"/>
        <w:jc w:val="both"/>
        <w:rPr>
          <w:rFonts w:ascii="Calibri" w:hAnsi="Calibri" w:cs="Arial"/>
          <w:u w:val="single"/>
        </w:rPr>
      </w:pPr>
      <w:r w:rsidRPr="005C60B6">
        <w:rPr>
          <w:rFonts w:ascii="Calibri" w:hAnsi="Calibri" w:cs="Arial"/>
          <w:u w:val="single"/>
        </w:rPr>
        <w:t xml:space="preserve">Dane </w:t>
      </w:r>
      <w:r w:rsidR="003A6307" w:rsidRPr="005C60B6">
        <w:rPr>
          <w:rFonts w:ascii="Calibri" w:hAnsi="Calibri" w:cs="Arial"/>
          <w:u w:val="single"/>
        </w:rPr>
        <w:t xml:space="preserve">finansowe </w:t>
      </w:r>
      <w:r w:rsidRPr="005C60B6">
        <w:rPr>
          <w:rFonts w:ascii="Calibri" w:hAnsi="Calibri" w:cs="Arial"/>
          <w:u w:val="single"/>
        </w:rPr>
        <w:t>jednostkowe dotyczące Spółki zależnej – K-</w:t>
      </w:r>
      <w:proofErr w:type="spellStart"/>
      <w:r w:rsidRPr="005C60B6">
        <w:rPr>
          <w:rFonts w:ascii="Calibri" w:hAnsi="Calibri" w:cs="Arial"/>
          <w:u w:val="single"/>
        </w:rPr>
        <w:t>Protos</w:t>
      </w:r>
      <w:proofErr w:type="spellEnd"/>
      <w:r w:rsidRPr="005C60B6">
        <w:rPr>
          <w:rFonts w:ascii="Calibri" w:hAnsi="Calibri" w:cs="Arial"/>
          <w:u w:val="single"/>
        </w:rPr>
        <w:t xml:space="preserve"> </w:t>
      </w:r>
      <w:proofErr w:type="spellStart"/>
      <w:r w:rsidRPr="005C60B6">
        <w:rPr>
          <w:rFonts w:ascii="Calibri" w:hAnsi="Calibri" w:cs="Arial"/>
          <w:u w:val="single"/>
        </w:rPr>
        <w:t>a.s</w:t>
      </w:r>
      <w:proofErr w:type="spellEnd"/>
      <w:r w:rsidRPr="005C60B6">
        <w:rPr>
          <w:rFonts w:ascii="Calibri" w:hAnsi="Calibri" w:cs="Arial"/>
          <w:u w:val="single"/>
        </w:rPr>
        <w:t>.</w:t>
      </w:r>
    </w:p>
    <w:p w14:paraId="75FA5499" w14:textId="77777777" w:rsidR="005C60B6" w:rsidRPr="005C60B6" w:rsidRDefault="005C60B6" w:rsidP="005C60B6">
      <w:pPr>
        <w:pStyle w:val="wypunktowanie1sprawozdanie"/>
        <w:tabs>
          <w:tab w:val="left" w:pos="1134"/>
        </w:tabs>
        <w:spacing w:before="0" w:after="0" w:line="360" w:lineRule="auto"/>
        <w:ind w:firstLine="567"/>
        <w:rPr>
          <w:rFonts w:asciiTheme="minorHAnsi" w:hAnsiTheme="minorHAnsi"/>
          <w:b w:val="0"/>
          <w:sz w:val="16"/>
          <w:szCs w:val="16"/>
        </w:rPr>
      </w:pPr>
    </w:p>
    <w:p w14:paraId="1F8C613A" w14:textId="77777777" w:rsidR="005C60B6" w:rsidRPr="005C60B6" w:rsidRDefault="005C60B6" w:rsidP="005C60B6">
      <w:pPr>
        <w:pStyle w:val="Tekstpodstawowy"/>
        <w:spacing w:line="360" w:lineRule="auto"/>
        <w:ind w:firstLine="567"/>
        <w:rPr>
          <w:rFonts w:asciiTheme="minorHAnsi" w:hAnsiTheme="minorHAnsi"/>
          <w:b w:val="0"/>
          <w:sz w:val="22"/>
          <w:szCs w:val="22"/>
        </w:rPr>
      </w:pPr>
      <w:r w:rsidRPr="00AE02F3">
        <w:rPr>
          <w:rFonts w:asciiTheme="minorHAnsi" w:hAnsiTheme="minorHAnsi"/>
          <w:b w:val="0"/>
          <w:sz w:val="22"/>
          <w:szCs w:val="22"/>
        </w:rPr>
        <w:t xml:space="preserve">Narastająco na koniec pierwszego półrocza 2016 Spółka odnotowała przychody na poziomie </w:t>
      </w:r>
      <w:r w:rsidR="00AE02F3" w:rsidRPr="00AE02F3">
        <w:rPr>
          <w:rFonts w:asciiTheme="minorHAnsi" w:hAnsiTheme="minorHAnsi"/>
          <w:b w:val="0"/>
          <w:sz w:val="22"/>
          <w:szCs w:val="22"/>
        </w:rPr>
        <w:t>24 800 tys. zł</w:t>
      </w:r>
      <w:r w:rsidRPr="00AE02F3">
        <w:rPr>
          <w:rFonts w:asciiTheme="minorHAnsi" w:hAnsiTheme="minorHAnsi"/>
          <w:b w:val="0"/>
          <w:sz w:val="22"/>
          <w:szCs w:val="22"/>
        </w:rPr>
        <w:t xml:space="preserve">, w porównaniu do </w:t>
      </w:r>
      <w:r w:rsidR="00AE02F3" w:rsidRPr="00AE02F3">
        <w:rPr>
          <w:rFonts w:asciiTheme="minorHAnsi" w:hAnsiTheme="minorHAnsi"/>
          <w:b w:val="0"/>
          <w:sz w:val="22"/>
          <w:szCs w:val="22"/>
        </w:rPr>
        <w:t>21 532 tys. zł</w:t>
      </w:r>
      <w:r w:rsidRPr="00AE02F3">
        <w:rPr>
          <w:rFonts w:asciiTheme="minorHAnsi" w:hAnsiTheme="minorHAnsi"/>
          <w:b w:val="0"/>
          <w:sz w:val="22"/>
          <w:szCs w:val="22"/>
        </w:rPr>
        <w:t xml:space="preserve"> w </w:t>
      </w:r>
      <w:r w:rsidRPr="005C60B6">
        <w:rPr>
          <w:rFonts w:asciiTheme="minorHAnsi" w:hAnsiTheme="minorHAnsi"/>
          <w:b w:val="0"/>
          <w:sz w:val="22"/>
          <w:szCs w:val="22"/>
        </w:rPr>
        <w:t>analogicznym okresie 2015 r</w:t>
      </w:r>
      <w:r>
        <w:rPr>
          <w:rFonts w:asciiTheme="minorHAnsi" w:hAnsiTheme="minorHAnsi"/>
          <w:b w:val="0"/>
          <w:sz w:val="22"/>
          <w:szCs w:val="22"/>
        </w:rPr>
        <w:t>oku</w:t>
      </w:r>
      <w:r w:rsidRPr="005C60B6">
        <w:rPr>
          <w:rFonts w:asciiTheme="minorHAnsi" w:hAnsiTheme="minorHAnsi"/>
          <w:b w:val="0"/>
          <w:sz w:val="22"/>
          <w:szCs w:val="22"/>
        </w:rPr>
        <w:t xml:space="preserve">. Odnotowano zysk narastająco netto w </w:t>
      </w:r>
      <w:r w:rsidRPr="00AE02F3">
        <w:rPr>
          <w:rFonts w:asciiTheme="minorHAnsi" w:hAnsiTheme="minorHAnsi"/>
          <w:b w:val="0"/>
          <w:sz w:val="22"/>
          <w:szCs w:val="22"/>
        </w:rPr>
        <w:t xml:space="preserve">wysokości </w:t>
      </w:r>
      <w:r w:rsidR="00AE02F3">
        <w:rPr>
          <w:rFonts w:asciiTheme="minorHAnsi" w:hAnsiTheme="minorHAnsi"/>
          <w:b w:val="0"/>
          <w:sz w:val="22"/>
          <w:szCs w:val="22"/>
        </w:rPr>
        <w:t>896</w:t>
      </w:r>
      <w:r w:rsidR="00AE02F3" w:rsidRPr="00AE02F3">
        <w:rPr>
          <w:rFonts w:asciiTheme="minorHAnsi" w:hAnsiTheme="minorHAnsi"/>
          <w:b w:val="0"/>
          <w:sz w:val="22"/>
          <w:szCs w:val="22"/>
        </w:rPr>
        <w:t xml:space="preserve"> tys. zł</w:t>
      </w:r>
      <w:r w:rsidRPr="00AE02F3">
        <w:rPr>
          <w:rFonts w:asciiTheme="minorHAnsi" w:hAnsiTheme="minorHAnsi"/>
          <w:b w:val="0"/>
          <w:sz w:val="22"/>
          <w:szCs w:val="22"/>
        </w:rPr>
        <w:t xml:space="preserve">, w porównaniu do </w:t>
      </w:r>
      <w:r w:rsidR="00AE02F3">
        <w:rPr>
          <w:rFonts w:asciiTheme="minorHAnsi" w:hAnsiTheme="minorHAnsi"/>
          <w:b w:val="0"/>
          <w:sz w:val="22"/>
          <w:szCs w:val="22"/>
        </w:rPr>
        <w:t>692</w:t>
      </w:r>
      <w:r w:rsidR="00AE02F3" w:rsidRPr="00AE02F3">
        <w:rPr>
          <w:rFonts w:asciiTheme="minorHAnsi" w:hAnsiTheme="minorHAnsi"/>
          <w:b w:val="0"/>
          <w:sz w:val="22"/>
          <w:szCs w:val="22"/>
        </w:rPr>
        <w:t xml:space="preserve"> tys. zł</w:t>
      </w:r>
      <w:r w:rsidRPr="00AE02F3">
        <w:rPr>
          <w:rFonts w:asciiTheme="minorHAnsi" w:hAnsiTheme="minorHAnsi"/>
          <w:b w:val="0"/>
          <w:sz w:val="22"/>
          <w:szCs w:val="22"/>
        </w:rPr>
        <w:t xml:space="preserve">  na </w:t>
      </w:r>
      <w:r w:rsidRPr="005C60B6">
        <w:rPr>
          <w:rFonts w:asciiTheme="minorHAnsi" w:hAnsiTheme="minorHAnsi"/>
          <w:b w:val="0"/>
          <w:sz w:val="22"/>
          <w:szCs w:val="22"/>
        </w:rPr>
        <w:t xml:space="preserve">koniec </w:t>
      </w:r>
      <w:r>
        <w:rPr>
          <w:rFonts w:asciiTheme="minorHAnsi" w:hAnsiTheme="minorHAnsi"/>
          <w:b w:val="0"/>
          <w:sz w:val="22"/>
          <w:szCs w:val="22"/>
        </w:rPr>
        <w:t>pierwszego półrocza</w:t>
      </w:r>
      <w:r w:rsidRPr="005C60B6">
        <w:rPr>
          <w:rFonts w:asciiTheme="minorHAnsi" w:hAnsiTheme="minorHAnsi"/>
          <w:b w:val="0"/>
          <w:sz w:val="22"/>
          <w:szCs w:val="22"/>
        </w:rPr>
        <w:t xml:space="preserve"> roku 2015.  Wynik końcowy jest wypadkową wzrostu przychodów oraz marż na realizowanych kontraktach. </w:t>
      </w:r>
    </w:p>
    <w:p w14:paraId="677ABA6C" w14:textId="77777777" w:rsidR="005C60B6" w:rsidRDefault="005C60B6" w:rsidP="005C60B6">
      <w:pPr>
        <w:pStyle w:val="Tekstpodstawowy"/>
        <w:tabs>
          <w:tab w:val="left" w:pos="567"/>
        </w:tabs>
        <w:spacing w:line="360" w:lineRule="auto"/>
        <w:rPr>
          <w:rFonts w:asciiTheme="minorHAnsi" w:hAnsiTheme="minorHAnsi"/>
          <w:b w:val="0"/>
          <w:sz w:val="22"/>
          <w:szCs w:val="22"/>
        </w:rPr>
      </w:pPr>
      <w:r>
        <w:rPr>
          <w:rFonts w:asciiTheme="minorHAnsi" w:hAnsiTheme="minorHAnsi"/>
          <w:b w:val="0"/>
          <w:sz w:val="22"/>
          <w:szCs w:val="22"/>
        </w:rPr>
        <w:tab/>
      </w:r>
      <w:r w:rsidRPr="005C60B6">
        <w:rPr>
          <w:rFonts w:asciiTheme="minorHAnsi" w:hAnsiTheme="minorHAnsi"/>
          <w:b w:val="0"/>
          <w:sz w:val="22"/>
          <w:szCs w:val="22"/>
        </w:rPr>
        <w:t xml:space="preserve">Osiągnięte przez Spółkę przychody </w:t>
      </w:r>
      <w:r>
        <w:rPr>
          <w:rFonts w:asciiTheme="minorHAnsi" w:hAnsiTheme="minorHAnsi"/>
          <w:b w:val="0"/>
          <w:sz w:val="22"/>
          <w:szCs w:val="22"/>
        </w:rPr>
        <w:t>w badanym okresie</w:t>
      </w:r>
      <w:r w:rsidRPr="005C60B6">
        <w:rPr>
          <w:rFonts w:asciiTheme="minorHAnsi" w:hAnsiTheme="minorHAnsi"/>
          <w:b w:val="0"/>
          <w:sz w:val="22"/>
          <w:szCs w:val="22"/>
        </w:rPr>
        <w:t xml:space="preserve"> są wynikiem realizacji kontraktów </w:t>
      </w:r>
      <w:r w:rsidR="00AE02F3">
        <w:rPr>
          <w:rFonts w:asciiTheme="minorHAnsi" w:hAnsiTheme="minorHAnsi"/>
          <w:b w:val="0"/>
          <w:sz w:val="22"/>
          <w:szCs w:val="22"/>
        </w:rPr>
        <w:br/>
      </w:r>
      <w:r w:rsidRPr="005C60B6">
        <w:rPr>
          <w:rFonts w:asciiTheme="minorHAnsi" w:hAnsiTheme="minorHAnsi"/>
          <w:b w:val="0"/>
          <w:sz w:val="22"/>
          <w:szCs w:val="22"/>
        </w:rPr>
        <w:t xml:space="preserve">oraz wygranych postępowań przetargowych, jak również z tytułu wykonywania stałych zleceń związanych z utrzymaniem ruchu i remontami. Porównując pozycje bilansowe na koniec </w:t>
      </w:r>
      <w:r>
        <w:rPr>
          <w:rFonts w:asciiTheme="minorHAnsi" w:hAnsiTheme="minorHAnsi"/>
          <w:b w:val="0"/>
          <w:sz w:val="22"/>
          <w:szCs w:val="22"/>
        </w:rPr>
        <w:t>pierwszego półrocza</w:t>
      </w:r>
      <w:r w:rsidRPr="005C60B6">
        <w:rPr>
          <w:rFonts w:asciiTheme="minorHAnsi" w:hAnsiTheme="minorHAnsi"/>
          <w:b w:val="0"/>
          <w:sz w:val="22"/>
          <w:szCs w:val="22"/>
        </w:rPr>
        <w:t xml:space="preserve"> 2016</w:t>
      </w:r>
      <w:r>
        <w:rPr>
          <w:rFonts w:asciiTheme="minorHAnsi" w:hAnsiTheme="minorHAnsi"/>
          <w:b w:val="0"/>
          <w:sz w:val="22"/>
          <w:szCs w:val="22"/>
        </w:rPr>
        <w:t xml:space="preserve"> roku</w:t>
      </w:r>
      <w:r w:rsidRPr="005C60B6">
        <w:rPr>
          <w:rFonts w:asciiTheme="minorHAnsi" w:hAnsiTheme="minorHAnsi"/>
          <w:b w:val="0"/>
          <w:sz w:val="22"/>
          <w:szCs w:val="22"/>
        </w:rPr>
        <w:t xml:space="preserve"> do analogicznego okresu 2015 trzeba zwrócić uwagę na poniższe elementy gospodarowania spółki.</w:t>
      </w:r>
    </w:p>
    <w:p w14:paraId="6A4E9E98" w14:textId="77777777" w:rsidR="005C60B6" w:rsidRPr="005C60B6" w:rsidRDefault="005C60B6" w:rsidP="005C60B6">
      <w:pPr>
        <w:pStyle w:val="Tekstpodstawowy"/>
        <w:tabs>
          <w:tab w:val="left" w:pos="567"/>
        </w:tabs>
        <w:spacing w:line="360" w:lineRule="auto"/>
        <w:rPr>
          <w:rFonts w:asciiTheme="minorHAnsi" w:hAnsiTheme="minorHAnsi"/>
          <w:b w:val="0"/>
          <w:sz w:val="12"/>
          <w:szCs w:val="12"/>
        </w:rPr>
      </w:pPr>
    </w:p>
    <w:p w14:paraId="6527137E" w14:textId="77777777" w:rsidR="005C60B6" w:rsidRPr="005C60B6" w:rsidRDefault="005C60B6" w:rsidP="00D73705">
      <w:pPr>
        <w:pStyle w:val="Akapitzlist"/>
        <w:numPr>
          <w:ilvl w:val="0"/>
          <w:numId w:val="22"/>
        </w:numPr>
        <w:spacing w:after="200" w:line="360" w:lineRule="auto"/>
        <w:ind w:left="1134" w:hanging="567"/>
        <w:jc w:val="both"/>
        <w:rPr>
          <w:rFonts w:asciiTheme="minorHAnsi" w:hAnsiTheme="minorHAnsi" w:cs="Calibri"/>
          <w:sz w:val="22"/>
          <w:szCs w:val="22"/>
        </w:rPr>
      </w:pPr>
      <w:r>
        <w:rPr>
          <w:rFonts w:asciiTheme="minorHAnsi" w:hAnsiTheme="minorHAnsi" w:cs="Calibri"/>
          <w:sz w:val="22"/>
          <w:szCs w:val="22"/>
        </w:rPr>
        <w:t>W</w:t>
      </w:r>
      <w:r w:rsidRPr="005C60B6">
        <w:rPr>
          <w:rFonts w:asciiTheme="minorHAnsi" w:hAnsiTheme="minorHAnsi" w:cs="Calibri"/>
          <w:sz w:val="22"/>
          <w:szCs w:val="22"/>
        </w:rPr>
        <w:t>artość aktywów trwałych nie uległa zmi</w:t>
      </w:r>
      <w:r>
        <w:rPr>
          <w:rFonts w:asciiTheme="minorHAnsi" w:hAnsiTheme="minorHAnsi" w:cs="Calibri"/>
          <w:sz w:val="22"/>
          <w:szCs w:val="22"/>
        </w:rPr>
        <w:t>a</w:t>
      </w:r>
      <w:r w:rsidRPr="005C60B6">
        <w:rPr>
          <w:rFonts w:asciiTheme="minorHAnsi" w:hAnsiTheme="minorHAnsi" w:cs="Calibri"/>
          <w:sz w:val="22"/>
          <w:szCs w:val="22"/>
        </w:rPr>
        <w:t xml:space="preserve">nie, korekta nastąpiła o amortyzację, wzrost odnotowano w następstwie zakupu elementów wyposażenia technicznego, </w:t>
      </w:r>
    </w:p>
    <w:p w14:paraId="2723C6A8" w14:textId="77777777" w:rsidR="005C60B6" w:rsidRPr="005C60B6" w:rsidRDefault="005C60B6" w:rsidP="00D73705">
      <w:pPr>
        <w:pStyle w:val="Akapitzlist"/>
        <w:numPr>
          <w:ilvl w:val="0"/>
          <w:numId w:val="22"/>
        </w:numPr>
        <w:spacing w:after="200" w:line="360" w:lineRule="auto"/>
        <w:ind w:left="1134" w:hanging="567"/>
        <w:jc w:val="both"/>
        <w:rPr>
          <w:rFonts w:asciiTheme="minorHAnsi" w:hAnsiTheme="minorHAnsi" w:cs="Calibri"/>
          <w:sz w:val="22"/>
          <w:szCs w:val="22"/>
        </w:rPr>
      </w:pPr>
      <w:r w:rsidRPr="005C60B6">
        <w:rPr>
          <w:rFonts w:asciiTheme="minorHAnsi" w:hAnsiTheme="minorHAnsi" w:cs="Calibri"/>
          <w:sz w:val="22"/>
          <w:szCs w:val="22"/>
        </w:rPr>
        <w:t xml:space="preserve">wzrosła wartość zapasów o 30%, zarówno materiałów jak i produkcji w toku. </w:t>
      </w:r>
      <w:r w:rsidR="00AE02F3">
        <w:rPr>
          <w:rFonts w:asciiTheme="minorHAnsi" w:hAnsiTheme="minorHAnsi" w:cs="Calibri"/>
          <w:sz w:val="22"/>
          <w:szCs w:val="22"/>
        </w:rPr>
        <w:br/>
      </w:r>
      <w:r w:rsidRPr="005C60B6">
        <w:rPr>
          <w:rFonts w:asciiTheme="minorHAnsi" w:hAnsiTheme="minorHAnsi" w:cs="Calibri"/>
          <w:sz w:val="22"/>
          <w:szCs w:val="22"/>
        </w:rPr>
        <w:t xml:space="preserve">Na koniec kwartału zdążono zafakturować kluczowe pozycje z realizowanych </w:t>
      </w:r>
      <w:r w:rsidR="00AE02F3">
        <w:rPr>
          <w:rFonts w:asciiTheme="minorHAnsi" w:hAnsiTheme="minorHAnsi" w:cs="Calibri"/>
          <w:sz w:val="22"/>
          <w:szCs w:val="22"/>
        </w:rPr>
        <w:br/>
      </w:r>
      <w:r w:rsidRPr="005C60B6">
        <w:rPr>
          <w:rFonts w:asciiTheme="minorHAnsi" w:hAnsiTheme="minorHAnsi" w:cs="Calibri"/>
          <w:sz w:val="22"/>
          <w:szCs w:val="22"/>
        </w:rPr>
        <w:t xml:space="preserve">w 2016 kontraktów, jednocześnie wartość zapasów i robót w toku utrzymuje się </w:t>
      </w:r>
      <w:r w:rsidR="00AE02F3">
        <w:rPr>
          <w:rFonts w:asciiTheme="minorHAnsi" w:hAnsiTheme="minorHAnsi" w:cs="Calibri"/>
          <w:sz w:val="22"/>
          <w:szCs w:val="22"/>
        </w:rPr>
        <w:br/>
      </w:r>
      <w:r w:rsidRPr="005C60B6">
        <w:rPr>
          <w:rFonts w:asciiTheme="minorHAnsi" w:hAnsiTheme="minorHAnsi" w:cs="Calibri"/>
          <w:sz w:val="22"/>
          <w:szCs w:val="22"/>
        </w:rPr>
        <w:t>w pozytywnej tendencji do średniej wartości sprzeda</w:t>
      </w:r>
      <w:r>
        <w:rPr>
          <w:rFonts w:asciiTheme="minorHAnsi" w:hAnsiTheme="minorHAnsi" w:cs="Calibri"/>
          <w:sz w:val="22"/>
          <w:szCs w:val="22"/>
        </w:rPr>
        <w:t>ży w poszczególnych miesiącach,</w:t>
      </w:r>
    </w:p>
    <w:p w14:paraId="2288D481" w14:textId="77777777" w:rsidR="005C60B6" w:rsidRPr="005C60B6" w:rsidRDefault="005C60B6" w:rsidP="00D73705">
      <w:pPr>
        <w:pStyle w:val="Akapitzlist"/>
        <w:numPr>
          <w:ilvl w:val="0"/>
          <w:numId w:val="22"/>
        </w:numPr>
        <w:spacing w:after="200" w:line="360" w:lineRule="auto"/>
        <w:ind w:left="1134" w:hanging="567"/>
        <w:jc w:val="both"/>
        <w:rPr>
          <w:rFonts w:asciiTheme="minorHAnsi" w:hAnsiTheme="minorHAnsi" w:cs="Calibri"/>
          <w:sz w:val="22"/>
          <w:szCs w:val="22"/>
        </w:rPr>
      </w:pPr>
      <w:r w:rsidRPr="005C60B6">
        <w:rPr>
          <w:rFonts w:asciiTheme="minorHAnsi" w:hAnsiTheme="minorHAnsi" w:cs="Calibri"/>
          <w:sz w:val="22"/>
          <w:szCs w:val="22"/>
        </w:rPr>
        <w:t>spadek stanu należności o ponad 20%, spółka z powodzeniem realizuje politykę wydłużania terminu regulowania zobowiązań i skracania terminu zapłaty należności</w:t>
      </w:r>
      <w:r>
        <w:rPr>
          <w:rFonts w:asciiTheme="minorHAnsi" w:hAnsiTheme="minorHAnsi" w:cs="Calibri"/>
          <w:sz w:val="22"/>
          <w:szCs w:val="22"/>
        </w:rPr>
        <w:t>,</w:t>
      </w:r>
    </w:p>
    <w:p w14:paraId="764D188D" w14:textId="77777777" w:rsidR="005C60B6" w:rsidRPr="005C60B6" w:rsidRDefault="005C60B6" w:rsidP="00D73705">
      <w:pPr>
        <w:pStyle w:val="Akapitzlist"/>
        <w:numPr>
          <w:ilvl w:val="0"/>
          <w:numId w:val="22"/>
        </w:numPr>
        <w:spacing w:after="200" w:line="360" w:lineRule="auto"/>
        <w:ind w:left="1134" w:hanging="567"/>
        <w:jc w:val="both"/>
        <w:rPr>
          <w:rFonts w:asciiTheme="minorHAnsi" w:hAnsiTheme="minorHAnsi" w:cs="Calibri"/>
          <w:sz w:val="22"/>
          <w:szCs w:val="22"/>
        </w:rPr>
      </w:pPr>
      <w:r w:rsidRPr="005C60B6">
        <w:rPr>
          <w:rFonts w:asciiTheme="minorHAnsi" w:hAnsiTheme="minorHAnsi" w:cs="Calibri"/>
          <w:sz w:val="22"/>
          <w:szCs w:val="22"/>
        </w:rPr>
        <w:lastRenderedPageBreak/>
        <w:t>wzrost kapitałów własnych o 2%, co jest wynikiem z jednej strony wypłaty całości zysku na dywidendę za 2015 r. oraz wypracowania zysków za II kwartał 2016</w:t>
      </w:r>
      <w:r>
        <w:rPr>
          <w:rFonts w:asciiTheme="minorHAnsi" w:hAnsiTheme="minorHAnsi" w:cs="Calibri"/>
          <w:sz w:val="22"/>
          <w:szCs w:val="22"/>
        </w:rPr>
        <w:t>,</w:t>
      </w:r>
    </w:p>
    <w:p w14:paraId="06B3C233" w14:textId="77777777" w:rsidR="005C60B6" w:rsidRPr="005C60B6" w:rsidRDefault="005C60B6" w:rsidP="00D73705">
      <w:pPr>
        <w:pStyle w:val="Akapitzlist"/>
        <w:numPr>
          <w:ilvl w:val="0"/>
          <w:numId w:val="22"/>
        </w:numPr>
        <w:spacing w:after="200" w:line="360" w:lineRule="auto"/>
        <w:ind w:left="1134" w:hanging="567"/>
        <w:jc w:val="both"/>
        <w:rPr>
          <w:rFonts w:asciiTheme="minorHAnsi" w:hAnsiTheme="minorHAnsi" w:cs="Calibri"/>
          <w:sz w:val="22"/>
          <w:szCs w:val="22"/>
        </w:rPr>
      </w:pPr>
      <w:r w:rsidRPr="005C60B6">
        <w:rPr>
          <w:rFonts w:asciiTheme="minorHAnsi" w:hAnsiTheme="minorHAnsi" w:cs="Calibri"/>
          <w:sz w:val="22"/>
          <w:szCs w:val="22"/>
        </w:rPr>
        <w:t xml:space="preserve">wzrost o 10% stanu zobowiązań krótkoterminowych, głównie handlowych. Spółka jest </w:t>
      </w:r>
      <w:r>
        <w:rPr>
          <w:rFonts w:asciiTheme="minorHAnsi" w:hAnsiTheme="minorHAnsi" w:cs="Calibri"/>
          <w:sz w:val="22"/>
          <w:szCs w:val="22"/>
        </w:rPr>
        <w:br/>
      </w:r>
      <w:r w:rsidRPr="005C60B6">
        <w:rPr>
          <w:rFonts w:asciiTheme="minorHAnsi" w:hAnsiTheme="minorHAnsi" w:cs="Calibri"/>
          <w:sz w:val="22"/>
          <w:szCs w:val="22"/>
        </w:rPr>
        <w:t>w dobrej sytuacji finansowej i nie posiada żadny</w:t>
      </w:r>
      <w:r>
        <w:rPr>
          <w:rFonts w:asciiTheme="minorHAnsi" w:hAnsiTheme="minorHAnsi" w:cs="Calibri"/>
          <w:sz w:val="22"/>
          <w:szCs w:val="22"/>
        </w:rPr>
        <w:t>ch przeterminowanych zobowiązań,</w:t>
      </w:r>
    </w:p>
    <w:p w14:paraId="392DE470" w14:textId="77777777" w:rsidR="005C60B6" w:rsidRPr="005C60B6" w:rsidRDefault="005C60B6" w:rsidP="00D73705">
      <w:pPr>
        <w:pStyle w:val="Akapitzlist"/>
        <w:numPr>
          <w:ilvl w:val="0"/>
          <w:numId w:val="22"/>
        </w:numPr>
        <w:spacing w:after="200" w:line="360" w:lineRule="auto"/>
        <w:ind w:left="1134" w:hanging="567"/>
        <w:jc w:val="both"/>
        <w:rPr>
          <w:rFonts w:asciiTheme="minorHAnsi" w:hAnsiTheme="minorHAnsi" w:cs="Calibri"/>
          <w:sz w:val="22"/>
          <w:szCs w:val="22"/>
        </w:rPr>
      </w:pPr>
      <w:r w:rsidRPr="005C60B6">
        <w:rPr>
          <w:rFonts w:asciiTheme="minorHAnsi" w:hAnsiTheme="minorHAnsi" w:cs="Calibri"/>
          <w:sz w:val="22"/>
          <w:szCs w:val="22"/>
        </w:rPr>
        <w:t>spadek o 35% stanu zadłużenia krótkot</w:t>
      </w:r>
      <w:r>
        <w:rPr>
          <w:rFonts w:asciiTheme="minorHAnsi" w:hAnsiTheme="minorHAnsi" w:cs="Calibri"/>
          <w:sz w:val="22"/>
          <w:szCs w:val="22"/>
        </w:rPr>
        <w:t>erminowego (kredytu bankowego).</w:t>
      </w:r>
    </w:p>
    <w:p w14:paraId="30A16239" w14:textId="77777777" w:rsidR="005C60B6" w:rsidRPr="005C60B6" w:rsidRDefault="005C60B6" w:rsidP="005C60B6">
      <w:pPr>
        <w:pStyle w:val="Tekstpodstawowy"/>
        <w:tabs>
          <w:tab w:val="left" w:pos="567"/>
        </w:tabs>
        <w:spacing w:line="360" w:lineRule="auto"/>
        <w:rPr>
          <w:rFonts w:asciiTheme="minorHAnsi" w:hAnsiTheme="minorHAnsi"/>
          <w:b w:val="0"/>
          <w:sz w:val="22"/>
          <w:szCs w:val="22"/>
        </w:rPr>
      </w:pPr>
      <w:r>
        <w:rPr>
          <w:rFonts w:asciiTheme="minorHAnsi" w:hAnsiTheme="minorHAnsi"/>
          <w:b w:val="0"/>
          <w:sz w:val="22"/>
          <w:szCs w:val="22"/>
        </w:rPr>
        <w:tab/>
      </w:r>
      <w:r w:rsidRPr="005C60B6">
        <w:rPr>
          <w:rFonts w:asciiTheme="minorHAnsi" w:hAnsiTheme="minorHAnsi"/>
          <w:b w:val="0"/>
          <w:sz w:val="22"/>
          <w:szCs w:val="22"/>
        </w:rPr>
        <w:t xml:space="preserve">Porównując pozycje rachunku zysków i strat na koniec </w:t>
      </w:r>
      <w:r>
        <w:rPr>
          <w:rFonts w:asciiTheme="minorHAnsi" w:hAnsiTheme="minorHAnsi"/>
          <w:b w:val="0"/>
          <w:sz w:val="22"/>
          <w:szCs w:val="22"/>
        </w:rPr>
        <w:t>pierwszego półrocza</w:t>
      </w:r>
      <w:r w:rsidRPr="005C60B6">
        <w:rPr>
          <w:rFonts w:asciiTheme="minorHAnsi" w:hAnsiTheme="minorHAnsi"/>
          <w:b w:val="0"/>
          <w:sz w:val="22"/>
          <w:szCs w:val="22"/>
        </w:rPr>
        <w:t xml:space="preserve"> 2016</w:t>
      </w:r>
      <w:r>
        <w:rPr>
          <w:rFonts w:asciiTheme="minorHAnsi" w:hAnsiTheme="minorHAnsi"/>
          <w:b w:val="0"/>
          <w:sz w:val="22"/>
          <w:szCs w:val="22"/>
        </w:rPr>
        <w:t xml:space="preserve"> roku</w:t>
      </w:r>
      <w:r w:rsidRPr="005C60B6">
        <w:rPr>
          <w:rFonts w:asciiTheme="minorHAnsi" w:hAnsiTheme="minorHAnsi"/>
          <w:b w:val="0"/>
          <w:sz w:val="22"/>
          <w:szCs w:val="22"/>
        </w:rPr>
        <w:t xml:space="preserve"> </w:t>
      </w:r>
      <w:r>
        <w:rPr>
          <w:rFonts w:asciiTheme="minorHAnsi" w:hAnsiTheme="minorHAnsi"/>
          <w:b w:val="0"/>
          <w:sz w:val="22"/>
          <w:szCs w:val="22"/>
        </w:rPr>
        <w:br/>
      </w:r>
      <w:r w:rsidRPr="005C60B6">
        <w:rPr>
          <w:rFonts w:asciiTheme="minorHAnsi" w:hAnsiTheme="minorHAnsi"/>
          <w:b w:val="0"/>
          <w:sz w:val="22"/>
          <w:szCs w:val="22"/>
        </w:rPr>
        <w:t>do analogicznego okresu 2015</w:t>
      </w:r>
      <w:r>
        <w:rPr>
          <w:rFonts w:asciiTheme="minorHAnsi" w:hAnsiTheme="minorHAnsi"/>
          <w:b w:val="0"/>
          <w:sz w:val="22"/>
          <w:szCs w:val="22"/>
        </w:rPr>
        <w:t xml:space="preserve"> roku</w:t>
      </w:r>
      <w:r w:rsidRPr="005C60B6">
        <w:rPr>
          <w:rFonts w:asciiTheme="minorHAnsi" w:hAnsiTheme="minorHAnsi"/>
          <w:b w:val="0"/>
          <w:sz w:val="22"/>
          <w:szCs w:val="22"/>
        </w:rPr>
        <w:t xml:space="preserve"> trzeba zwrócić uwagę na poniższe elementy gospodarowania spółki.</w:t>
      </w:r>
    </w:p>
    <w:p w14:paraId="3A41EDC3" w14:textId="77777777" w:rsidR="005C60B6" w:rsidRPr="00AE02F3" w:rsidRDefault="005C60B6" w:rsidP="005C60B6">
      <w:pPr>
        <w:pStyle w:val="Tekstpodstawowy"/>
        <w:spacing w:line="360" w:lineRule="auto"/>
        <w:rPr>
          <w:rFonts w:asciiTheme="minorHAnsi" w:hAnsiTheme="minorHAnsi"/>
          <w:b w:val="0"/>
          <w:sz w:val="10"/>
          <w:szCs w:val="10"/>
        </w:rPr>
      </w:pPr>
    </w:p>
    <w:p w14:paraId="0E4B2F81" w14:textId="77777777" w:rsidR="005C60B6" w:rsidRPr="005C60B6" w:rsidRDefault="005C60B6" w:rsidP="00D73705">
      <w:pPr>
        <w:pStyle w:val="Akapitzlist"/>
        <w:numPr>
          <w:ilvl w:val="0"/>
          <w:numId w:val="23"/>
        </w:numPr>
        <w:spacing w:after="200" w:line="360" w:lineRule="auto"/>
        <w:ind w:left="1134" w:hanging="567"/>
        <w:jc w:val="both"/>
        <w:rPr>
          <w:rFonts w:asciiTheme="minorHAnsi" w:hAnsiTheme="minorHAnsi" w:cs="Calibri"/>
          <w:sz w:val="22"/>
          <w:szCs w:val="22"/>
        </w:rPr>
      </w:pPr>
      <w:r>
        <w:rPr>
          <w:rFonts w:asciiTheme="minorHAnsi" w:hAnsiTheme="minorHAnsi" w:cs="Calibri"/>
          <w:sz w:val="22"/>
          <w:szCs w:val="22"/>
        </w:rPr>
        <w:t>S</w:t>
      </w:r>
      <w:r w:rsidRPr="005C60B6">
        <w:rPr>
          <w:rFonts w:asciiTheme="minorHAnsi" w:hAnsiTheme="minorHAnsi" w:cs="Calibri"/>
          <w:sz w:val="22"/>
          <w:szCs w:val="22"/>
        </w:rPr>
        <w:t>półka odnotowała wzrost przychodów o 5%, jednak spółka osi</w:t>
      </w:r>
      <w:r>
        <w:rPr>
          <w:rFonts w:asciiTheme="minorHAnsi" w:hAnsiTheme="minorHAnsi" w:cs="Calibri"/>
          <w:sz w:val="22"/>
          <w:szCs w:val="22"/>
        </w:rPr>
        <w:t>ą</w:t>
      </w:r>
      <w:r w:rsidRPr="005C60B6">
        <w:rPr>
          <w:rFonts w:asciiTheme="minorHAnsi" w:hAnsiTheme="minorHAnsi" w:cs="Calibri"/>
          <w:sz w:val="22"/>
          <w:szCs w:val="22"/>
        </w:rPr>
        <w:t xml:space="preserve">gnęła przychody </w:t>
      </w:r>
      <w:r>
        <w:rPr>
          <w:rFonts w:asciiTheme="minorHAnsi" w:hAnsiTheme="minorHAnsi" w:cs="Calibri"/>
          <w:sz w:val="22"/>
          <w:szCs w:val="22"/>
        </w:rPr>
        <w:br/>
      </w:r>
      <w:r w:rsidRPr="005C60B6">
        <w:rPr>
          <w:rFonts w:asciiTheme="minorHAnsi" w:hAnsiTheme="minorHAnsi" w:cs="Calibri"/>
          <w:sz w:val="22"/>
          <w:szCs w:val="22"/>
        </w:rPr>
        <w:t xml:space="preserve">w średniej tendencji na 5 ostatnich lat obrotowych, </w:t>
      </w:r>
    </w:p>
    <w:p w14:paraId="756A1D49" w14:textId="77777777" w:rsidR="005C60B6" w:rsidRPr="005C60B6" w:rsidRDefault="005C60B6" w:rsidP="00D73705">
      <w:pPr>
        <w:pStyle w:val="Akapitzlist"/>
        <w:numPr>
          <w:ilvl w:val="0"/>
          <w:numId w:val="23"/>
        </w:numPr>
        <w:spacing w:after="200" w:line="360" w:lineRule="auto"/>
        <w:ind w:left="1134" w:hanging="567"/>
        <w:jc w:val="both"/>
        <w:rPr>
          <w:rFonts w:asciiTheme="minorHAnsi" w:hAnsiTheme="minorHAnsi" w:cs="Calibri"/>
          <w:sz w:val="22"/>
          <w:szCs w:val="22"/>
        </w:rPr>
      </w:pPr>
      <w:r w:rsidRPr="005C60B6">
        <w:rPr>
          <w:rFonts w:asciiTheme="minorHAnsi" w:hAnsiTheme="minorHAnsi" w:cs="Calibri"/>
          <w:sz w:val="22"/>
          <w:szCs w:val="22"/>
        </w:rPr>
        <w:t xml:space="preserve">wartość amortyzacji nie uległa zmianie, </w:t>
      </w:r>
    </w:p>
    <w:p w14:paraId="02F266EB" w14:textId="77777777" w:rsidR="005C60B6" w:rsidRPr="005C60B6" w:rsidRDefault="005C60B6" w:rsidP="00D73705">
      <w:pPr>
        <w:pStyle w:val="Akapitzlist"/>
        <w:numPr>
          <w:ilvl w:val="0"/>
          <w:numId w:val="23"/>
        </w:numPr>
        <w:spacing w:after="200" w:line="360" w:lineRule="auto"/>
        <w:ind w:left="1134" w:hanging="567"/>
        <w:jc w:val="both"/>
        <w:rPr>
          <w:rFonts w:asciiTheme="minorHAnsi" w:hAnsiTheme="minorHAnsi" w:cs="Calibri"/>
          <w:sz w:val="22"/>
          <w:szCs w:val="22"/>
        </w:rPr>
      </w:pPr>
      <w:r w:rsidRPr="005C60B6">
        <w:rPr>
          <w:rFonts w:asciiTheme="minorHAnsi" w:hAnsiTheme="minorHAnsi" w:cs="Calibri"/>
          <w:sz w:val="22"/>
          <w:szCs w:val="22"/>
        </w:rPr>
        <w:t>spadło zużycie materiałów i energii – o około 5%. Jest to spowodowane mniejszym zużyciem mediów</w:t>
      </w:r>
      <w:r>
        <w:rPr>
          <w:rFonts w:asciiTheme="minorHAnsi" w:hAnsiTheme="minorHAnsi" w:cs="Calibri"/>
          <w:sz w:val="22"/>
          <w:szCs w:val="22"/>
        </w:rPr>
        <w:t>,</w:t>
      </w:r>
    </w:p>
    <w:p w14:paraId="28630057" w14:textId="77777777" w:rsidR="005C60B6" w:rsidRPr="005C60B6" w:rsidRDefault="005C60B6" w:rsidP="00D73705">
      <w:pPr>
        <w:pStyle w:val="Akapitzlist"/>
        <w:numPr>
          <w:ilvl w:val="0"/>
          <w:numId w:val="23"/>
        </w:numPr>
        <w:spacing w:after="200" w:line="360" w:lineRule="auto"/>
        <w:ind w:left="1134" w:hanging="567"/>
        <w:jc w:val="both"/>
        <w:rPr>
          <w:rFonts w:asciiTheme="minorHAnsi" w:hAnsiTheme="minorHAnsi" w:cs="Calibri"/>
          <w:sz w:val="22"/>
          <w:szCs w:val="22"/>
        </w:rPr>
      </w:pPr>
      <w:r>
        <w:rPr>
          <w:rFonts w:asciiTheme="minorHAnsi" w:hAnsiTheme="minorHAnsi" w:cs="Calibri"/>
          <w:sz w:val="22"/>
          <w:szCs w:val="22"/>
        </w:rPr>
        <w:t>o</w:t>
      </w:r>
      <w:r w:rsidRPr="005C60B6">
        <w:rPr>
          <w:rFonts w:asciiTheme="minorHAnsi" w:hAnsiTheme="minorHAnsi" w:cs="Calibri"/>
          <w:sz w:val="22"/>
          <w:szCs w:val="22"/>
        </w:rPr>
        <w:t xml:space="preserve"> 35% zwiększono zakres rzeczowy oraz wartościowy usług obcych – wynika to </w:t>
      </w:r>
      <w:r>
        <w:rPr>
          <w:rFonts w:asciiTheme="minorHAnsi" w:hAnsiTheme="minorHAnsi" w:cs="Calibri"/>
          <w:sz w:val="22"/>
          <w:szCs w:val="22"/>
        </w:rPr>
        <w:br/>
      </w:r>
      <w:r w:rsidRPr="005C60B6">
        <w:rPr>
          <w:rFonts w:asciiTheme="minorHAnsi" w:hAnsiTheme="minorHAnsi" w:cs="Calibri"/>
          <w:sz w:val="22"/>
          <w:szCs w:val="22"/>
        </w:rPr>
        <w:t>z charakteru realizowanych kontraktów, Spółka w większym stopniu realizowała kontrakty w ramach zewnętrznych mocy produkcyjnych i zasobów ludzkich</w:t>
      </w:r>
      <w:r>
        <w:rPr>
          <w:rFonts w:asciiTheme="minorHAnsi" w:hAnsiTheme="minorHAnsi" w:cs="Calibri"/>
          <w:sz w:val="22"/>
          <w:szCs w:val="22"/>
        </w:rPr>
        <w:t>.</w:t>
      </w:r>
    </w:p>
    <w:p w14:paraId="17AA9853" w14:textId="4ECE8480" w:rsidR="005C60B6" w:rsidRDefault="002A41F8" w:rsidP="001F4E2B">
      <w:pPr>
        <w:spacing w:line="360" w:lineRule="auto"/>
        <w:ind w:firstLine="567"/>
        <w:jc w:val="both"/>
        <w:rPr>
          <w:rFonts w:asciiTheme="minorHAnsi" w:hAnsiTheme="minorHAnsi"/>
          <w:sz w:val="22"/>
          <w:szCs w:val="22"/>
        </w:rPr>
      </w:pPr>
      <w:r>
        <w:rPr>
          <w:rFonts w:asciiTheme="minorHAnsi" w:hAnsiTheme="minorHAnsi" w:cs="Calibri"/>
          <w:sz w:val="22"/>
          <w:szCs w:val="22"/>
        </w:rPr>
        <w:t>Nastąpiły zmiany w</w:t>
      </w:r>
      <w:r w:rsidR="005C60B6" w:rsidRPr="005C60B6">
        <w:rPr>
          <w:rFonts w:asciiTheme="minorHAnsi" w:hAnsiTheme="minorHAnsi" w:cs="Calibri"/>
          <w:sz w:val="22"/>
          <w:szCs w:val="22"/>
        </w:rPr>
        <w:t xml:space="preserve"> funduszu wynagrodzeń oraz świadczeń socjalnych, biorąc pod uwagę ogólny trend na czeskim rynku pracy zwiększono </w:t>
      </w:r>
      <w:r>
        <w:rPr>
          <w:rFonts w:asciiTheme="minorHAnsi" w:hAnsiTheme="minorHAnsi" w:cs="Calibri"/>
          <w:sz w:val="22"/>
          <w:szCs w:val="22"/>
        </w:rPr>
        <w:t xml:space="preserve">także </w:t>
      </w:r>
      <w:r w:rsidR="005C60B6" w:rsidRPr="005C60B6">
        <w:rPr>
          <w:rFonts w:asciiTheme="minorHAnsi" w:hAnsiTheme="minorHAnsi" w:cs="Calibri"/>
          <w:sz w:val="22"/>
          <w:szCs w:val="22"/>
        </w:rPr>
        <w:t>o 10% średnie wynagrodzenia w Spółce.</w:t>
      </w:r>
      <w:r w:rsidR="001F4E2B">
        <w:rPr>
          <w:rFonts w:asciiTheme="minorHAnsi" w:hAnsiTheme="minorHAnsi" w:cs="Calibri"/>
          <w:sz w:val="22"/>
          <w:szCs w:val="22"/>
        </w:rPr>
        <w:t xml:space="preserve"> </w:t>
      </w:r>
      <w:r w:rsidR="001F4E2B">
        <w:rPr>
          <w:rFonts w:asciiTheme="minorHAnsi" w:hAnsiTheme="minorHAnsi" w:cs="Calibri"/>
          <w:sz w:val="22"/>
          <w:szCs w:val="22"/>
        </w:rPr>
        <w:br/>
      </w:r>
      <w:r>
        <w:rPr>
          <w:rFonts w:asciiTheme="minorHAnsi" w:hAnsiTheme="minorHAnsi"/>
          <w:sz w:val="22"/>
          <w:szCs w:val="22"/>
        </w:rPr>
        <w:t>W</w:t>
      </w:r>
      <w:r w:rsidR="005C60B6" w:rsidRPr="005C60B6">
        <w:rPr>
          <w:rFonts w:asciiTheme="minorHAnsi" w:hAnsiTheme="minorHAnsi"/>
          <w:sz w:val="22"/>
          <w:szCs w:val="22"/>
        </w:rPr>
        <w:t xml:space="preserve"> zasadniczych parametrach finansowych</w:t>
      </w:r>
      <w:r>
        <w:rPr>
          <w:rFonts w:asciiTheme="minorHAnsi" w:hAnsiTheme="minorHAnsi"/>
          <w:sz w:val="22"/>
          <w:szCs w:val="22"/>
        </w:rPr>
        <w:t>,</w:t>
      </w:r>
      <w:r w:rsidR="005C60B6" w:rsidRPr="005C60B6">
        <w:rPr>
          <w:rFonts w:asciiTheme="minorHAnsi" w:hAnsiTheme="minorHAnsi"/>
          <w:sz w:val="22"/>
          <w:szCs w:val="22"/>
        </w:rPr>
        <w:t xml:space="preserve"> K-</w:t>
      </w:r>
      <w:proofErr w:type="spellStart"/>
      <w:r w:rsidR="005C60B6" w:rsidRPr="005C60B6">
        <w:rPr>
          <w:rFonts w:asciiTheme="minorHAnsi" w:hAnsiTheme="minorHAnsi"/>
          <w:sz w:val="22"/>
          <w:szCs w:val="22"/>
        </w:rPr>
        <w:t>Protos</w:t>
      </w:r>
      <w:proofErr w:type="spellEnd"/>
      <w:r w:rsidR="005C60B6" w:rsidRPr="005C60B6">
        <w:rPr>
          <w:rFonts w:asciiTheme="minorHAnsi" w:hAnsiTheme="minorHAnsi"/>
          <w:sz w:val="22"/>
          <w:szCs w:val="22"/>
        </w:rPr>
        <w:t xml:space="preserve"> odnotował polepszenie wskaźników.</w:t>
      </w:r>
    </w:p>
    <w:p w14:paraId="06A26C6A" w14:textId="77777777" w:rsidR="005C60B6" w:rsidRPr="005C60B6" w:rsidRDefault="005C60B6" w:rsidP="005C60B6">
      <w:pPr>
        <w:spacing w:line="360" w:lineRule="auto"/>
        <w:jc w:val="both"/>
        <w:rPr>
          <w:rFonts w:asciiTheme="minorHAnsi" w:hAnsiTheme="minorHAnsi"/>
          <w:sz w:val="16"/>
          <w:szCs w:val="16"/>
        </w:rPr>
      </w:pPr>
    </w:p>
    <w:p w14:paraId="2025E432" w14:textId="77777777" w:rsidR="005C60B6" w:rsidRDefault="005C60B6" w:rsidP="005C60B6">
      <w:pPr>
        <w:pStyle w:val="Tekstpodstawowy"/>
        <w:spacing w:line="360" w:lineRule="auto"/>
        <w:ind w:firstLine="567"/>
        <w:rPr>
          <w:rFonts w:asciiTheme="minorHAnsi" w:hAnsiTheme="minorHAnsi"/>
          <w:b w:val="0"/>
          <w:sz w:val="22"/>
          <w:szCs w:val="22"/>
        </w:rPr>
      </w:pPr>
      <w:r w:rsidRPr="005C60B6">
        <w:rPr>
          <w:rFonts w:asciiTheme="minorHAnsi" w:hAnsiTheme="minorHAnsi"/>
          <w:b w:val="0"/>
          <w:sz w:val="22"/>
          <w:szCs w:val="22"/>
        </w:rPr>
        <w:t>K-</w:t>
      </w:r>
      <w:proofErr w:type="spellStart"/>
      <w:r w:rsidRPr="005C60B6">
        <w:rPr>
          <w:rFonts w:asciiTheme="minorHAnsi" w:hAnsiTheme="minorHAnsi"/>
          <w:b w:val="0"/>
          <w:sz w:val="22"/>
          <w:szCs w:val="22"/>
        </w:rPr>
        <w:t>Protos</w:t>
      </w:r>
      <w:proofErr w:type="spellEnd"/>
      <w:r w:rsidR="00F03084">
        <w:rPr>
          <w:rFonts w:asciiTheme="minorHAnsi" w:hAnsiTheme="minorHAnsi"/>
          <w:b w:val="0"/>
          <w:sz w:val="22"/>
          <w:szCs w:val="22"/>
        </w:rPr>
        <w:t xml:space="preserve"> </w:t>
      </w:r>
      <w:proofErr w:type="spellStart"/>
      <w:r w:rsidR="00F03084">
        <w:rPr>
          <w:rFonts w:asciiTheme="minorHAnsi" w:hAnsiTheme="minorHAnsi"/>
          <w:b w:val="0"/>
          <w:sz w:val="22"/>
          <w:szCs w:val="22"/>
        </w:rPr>
        <w:t>a.s</w:t>
      </w:r>
      <w:proofErr w:type="spellEnd"/>
      <w:r w:rsidR="00F03084">
        <w:rPr>
          <w:rFonts w:asciiTheme="minorHAnsi" w:hAnsiTheme="minorHAnsi"/>
          <w:b w:val="0"/>
          <w:sz w:val="22"/>
          <w:szCs w:val="22"/>
        </w:rPr>
        <w:t>.</w:t>
      </w:r>
      <w:r w:rsidRPr="005C60B6">
        <w:rPr>
          <w:rFonts w:asciiTheme="minorHAnsi" w:hAnsiTheme="minorHAnsi"/>
          <w:b w:val="0"/>
          <w:sz w:val="22"/>
          <w:szCs w:val="22"/>
        </w:rPr>
        <w:t xml:space="preserve"> posiadał następujące umowy długoterminowe:</w:t>
      </w:r>
    </w:p>
    <w:p w14:paraId="68B002CA" w14:textId="77777777" w:rsidR="00F03084" w:rsidRPr="00F03084" w:rsidRDefault="00F03084" w:rsidP="005C60B6">
      <w:pPr>
        <w:pStyle w:val="Tekstpodstawowy"/>
        <w:spacing w:line="360" w:lineRule="auto"/>
        <w:ind w:firstLine="567"/>
        <w:rPr>
          <w:rFonts w:asciiTheme="minorHAnsi" w:hAnsiTheme="minorHAnsi"/>
          <w:b w:val="0"/>
          <w:sz w:val="16"/>
          <w:szCs w:val="16"/>
        </w:rPr>
      </w:pPr>
    </w:p>
    <w:p w14:paraId="4367FB2A" w14:textId="77777777" w:rsidR="005C60B6" w:rsidRDefault="00F03084" w:rsidP="00D73705">
      <w:pPr>
        <w:pStyle w:val="Akapitzlist1"/>
        <w:numPr>
          <w:ilvl w:val="0"/>
          <w:numId w:val="27"/>
        </w:numPr>
        <w:spacing w:line="360" w:lineRule="auto"/>
        <w:ind w:left="1134" w:hanging="567"/>
        <w:jc w:val="both"/>
        <w:rPr>
          <w:rFonts w:asciiTheme="minorHAnsi" w:hAnsiTheme="minorHAnsi" w:cs="Calibri"/>
          <w:sz w:val="22"/>
          <w:szCs w:val="22"/>
        </w:rPr>
      </w:pPr>
      <w:r>
        <w:rPr>
          <w:rFonts w:asciiTheme="minorHAnsi" w:hAnsiTheme="minorHAnsi" w:cs="Calibri"/>
          <w:sz w:val="22"/>
          <w:szCs w:val="22"/>
        </w:rPr>
        <w:t>u</w:t>
      </w:r>
      <w:r w:rsidR="005C60B6" w:rsidRPr="005C60B6">
        <w:rPr>
          <w:rFonts w:asciiTheme="minorHAnsi" w:hAnsiTheme="minorHAnsi" w:cs="Calibri"/>
          <w:sz w:val="22"/>
          <w:szCs w:val="22"/>
        </w:rPr>
        <w:t xml:space="preserve">mowa z firmą </w:t>
      </w:r>
      <w:proofErr w:type="spellStart"/>
      <w:r w:rsidR="005C60B6" w:rsidRPr="005C60B6">
        <w:rPr>
          <w:rFonts w:asciiTheme="minorHAnsi" w:hAnsiTheme="minorHAnsi" w:cs="Calibri"/>
          <w:sz w:val="22"/>
          <w:szCs w:val="22"/>
        </w:rPr>
        <w:t>Synthos</w:t>
      </w:r>
      <w:proofErr w:type="spellEnd"/>
      <w:r w:rsidR="005C60B6" w:rsidRPr="005C60B6">
        <w:rPr>
          <w:rFonts w:asciiTheme="minorHAnsi" w:hAnsiTheme="minorHAnsi" w:cs="Calibri"/>
          <w:sz w:val="22"/>
          <w:szCs w:val="22"/>
        </w:rPr>
        <w:t xml:space="preserve"> Kralupy</w:t>
      </w:r>
      <w:r>
        <w:rPr>
          <w:rFonts w:asciiTheme="minorHAnsi" w:hAnsiTheme="minorHAnsi" w:cs="Calibri"/>
          <w:sz w:val="22"/>
          <w:szCs w:val="22"/>
        </w:rPr>
        <w:t xml:space="preserve"> </w:t>
      </w:r>
      <w:proofErr w:type="spellStart"/>
      <w:r>
        <w:rPr>
          <w:rFonts w:asciiTheme="minorHAnsi" w:hAnsiTheme="minorHAnsi" w:cs="Calibri"/>
          <w:sz w:val="22"/>
          <w:szCs w:val="22"/>
        </w:rPr>
        <w:t>a.s</w:t>
      </w:r>
      <w:proofErr w:type="spellEnd"/>
      <w:r w:rsidR="005C60B6" w:rsidRPr="005C60B6">
        <w:rPr>
          <w:rFonts w:asciiTheme="minorHAnsi" w:hAnsiTheme="minorHAnsi" w:cs="Calibri"/>
          <w:sz w:val="22"/>
          <w:szCs w:val="22"/>
        </w:rPr>
        <w:t>. Przedmiot umowy: utrzymanie ruchu w branży mechanicznej, elektrycznej i automatycznej. Podpisana w dniu 20</w:t>
      </w:r>
      <w:r>
        <w:rPr>
          <w:rFonts w:asciiTheme="minorHAnsi" w:hAnsiTheme="minorHAnsi" w:cs="Calibri"/>
          <w:sz w:val="22"/>
          <w:szCs w:val="22"/>
        </w:rPr>
        <w:t xml:space="preserve"> kwietnia </w:t>
      </w:r>
      <w:r w:rsidR="005C60B6" w:rsidRPr="005C60B6">
        <w:rPr>
          <w:rFonts w:asciiTheme="minorHAnsi" w:hAnsiTheme="minorHAnsi" w:cs="Calibri"/>
          <w:sz w:val="22"/>
          <w:szCs w:val="22"/>
        </w:rPr>
        <w:t>2007</w:t>
      </w:r>
      <w:r>
        <w:rPr>
          <w:rFonts w:asciiTheme="minorHAnsi" w:hAnsiTheme="minorHAnsi" w:cs="Calibri"/>
          <w:sz w:val="22"/>
          <w:szCs w:val="22"/>
        </w:rPr>
        <w:t xml:space="preserve"> roku</w:t>
      </w:r>
      <w:r w:rsidR="005C60B6" w:rsidRPr="005C60B6">
        <w:rPr>
          <w:rFonts w:asciiTheme="minorHAnsi" w:hAnsiTheme="minorHAnsi" w:cs="Calibri"/>
          <w:sz w:val="22"/>
          <w:szCs w:val="22"/>
        </w:rPr>
        <w:t xml:space="preserve">. </w:t>
      </w:r>
      <w:r>
        <w:rPr>
          <w:rFonts w:asciiTheme="minorHAnsi" w:hAnsiTheme="minorHAnsi" w:cs="Calibri"/>
          <w:sz w:val="22"/>
          <w:szCs w:val="22"/>
        </w:rPr>
        <w:br/>
      </w:r>
      <w:r w:rsidR="005C60B6" w:rsidRPr="005C60B6">
        <w:rPr>
          <w:rFonts w:asciiTheme="minorHAnsi" w:hAnsiTheme="minorHAnsi" w:cs="Calibri"/>
          <w:sz w:val="22"/>
          <w:szCs w:val="22"/>
        </w:rPr>
        <w:t>W styczniu 2016 spółka podpisała analogiczną umowę na kolejne trzy lata obrotowe.</w:t>
      </w:r>
    </w:p>
    <w:p w14:paraId="071B56CC" w14:textId="77777777" w:rsidR="005C60B6" w:rsidRPr="00F03084" w:rsidRDefault="00F03084" w:rsidP="00D73705">
      <w:pPr>
        <w:pStyle w:val="Akapitzlist1"/>
        <w:numPr>
          <w:ilvl w:val="0"/>
          <w:numId w:val="27"/>
        </w:numPr>
        <w:spacing w:line="360" w:lineRule="auto"/>
        <w:ind w:left="1134" w:hanging="567"/>
        <w:jc w:val="both"/>
        <w:rPr>
          <w:rFonts w:asciiTheme="minorHAnsi" w:hAnsiTheme="minorHAnsi" w:cs="Calibri"/>
          <w:sz w:val="22"/>
          <w:szCs w:val="22"/>
        </w:rPr>
      </w:pPr>
      <w:r>
        <w:rPr>
          <w:rFonts w:asciiTheme="minorHAnsi" w:hAnsiTheme="minorHAnsi" w:cs="Calibri"/>
          <w:sz w:val="22"/>
          <w:szCs w:val="22"/>
        </w:rPr>
        <w:t>u</w:t>
      </w:r>
      <w:r w:rsidR="005C60B6" w:rsidRPr="00F03084">
        <w:rPr>
          <w:rFonts w:asciiTheme="minorHAnsi" w:hAnsiTheme="minorHAnsi" w:cs="Calibri"/>
          <w:sz w:val="22"/>
          <w:szCs w:val="22"/>
        </w:rPr>
        <w:t xml:space="preserve">mowa z firmą </w:t>
      </w:r>
      <w:proofErr w:type="spellStart"/>
      <w:r w:rsidR="005C60B6" w:rsidRPr="00F03084">
        <w:rPr>
          <w:rFonts w:asciiTheme="minorHAnsi" w:hAnsiTheme="minorHAnsi" w:cs="Calibri"/>
          <w:sz w:val="22"/>
          <w:szCs w:val="22"/>
        </w:rPr>
        <w:t>Spolana</w:t>
      </w:r>
      <w:proofErr w:type="spellEnd"/>
      <w:r w:rsidR="005C60B6" w:rsidRPr="00F03084">
        <w:rPr>
          <w:rFonts w:asciiTheme="minorHAnsi" w:hAnsiTheme="minorHAnsi" w:cs="Calibri"/>
          <w:sz w:val="22"/>
          <w:szCs w:val="22"/>
        </w:rPr>
        <w:t xml:space="preserve"> </w:t>
      </w:r>
      <w:proofErr w:type="spellStart"/>
      <w:r w:rsidR="005C60B6" w:rsidRPr="00F03084">
        <w:rPr>
          <w:rFonts w:asciiTheme="minorHAnsi" w:hAnsiTheme="minorHAnsi" w:cs="Calibri"/>
          <w:sz w:val="22"/>
          <w:szCs w:val="22"/>
        </w:rPr>
        <w:t>Nerativice</w:t>
      </w:r>
      <w:proofErr w:type="spellEnd"/>
      <w:r>
        <w:rPr>
          <w:rFonts w:asciiTheme="minorHAnsi" w:hAnsiTheme="minorHAnsi" w:cs="Calibri"/>
          <w:sz w:val="22"/>
          <w:szCs w:val="22"/>
        </w:rPr>
        <w:t xml:space="preserve"> </w:t>
      </w:r>
      <w:proofErr w:type="spellStart"/>
      <w:r w:rsidRPr="00F03084">
        <w:rPr>
          <w:rFonts w:asciiTheme="minorHAnsi" w:hAnsiTheme="minorHAnsi" w:cs="Calibri"/>
          <w:sz w:val="22"/>
          <w:szCs w:val="22"/>
        </w:rPr>
        <w:t>a.s</w:t>
      </w:r>
      <w:proofErr w:type="spellEnd"/>
      <w:r w:rsidRPr="00F03084">
        <w:rPr>
          <w:rFonts w:asciiTheme="minorHAnsi" w:hAnsiTheme="minorHAnsi" w:cs="Calibri"/>
          <w:sz w:val="22"/>
          <w:szCs w:val="22"/>
        </w:rPr>
        <w:t>.</w:t>
      </w:r>
      <w:r w:rsidR="005C60B6" w:rsidRPr="00F03084">
        <w:rPr>
          <w:rFonts w:asciiTheme="minorHAnsi" w:hAnsiTheme="minorHAnsi" w:cs="Calibri"/>
          <w:sz w:val="22"/>
          <w:szCs w:val="22"/>
        </w:rPr>
        <w:t xml:space="preserve"> Przedmiot umowy: utrzymanie ruchu w branży elektrycznej i automatycznej, pomiarów</w:t>
      </w:r>
      <w:r>
        <w:rPr>
          <w:rFonts w:asciiTheme="minorHAnsi" w:hAnsiTheme="minorHAnsi" w:cs="Calibri"/>
          <w:sz w:val="22"/>
          <w:szCs w:val="22"/>
        </w:rPr>
        <w:t xml:space="preserve"> i regulacji. Podpisana w dniu </w:t>
      </w:r>
      <w:r w:rsidR="005C60B6" w:rsidRPr="00F03084">
        <w:rPr>
          <w:rFonts w:asciiTheme="minorHAnsi" w:hAnsiTheme="minorHAnsi" w:cs="Calibri"/>
          <w:sz w:val="22"/>
          <w:szCs w:val="22"/>
        </w:rPr>
        <w:t>7</w:t>
      </w:r>
      <w:r>
        <w:rPr>
          <w:rFonts w:asciiTheme="minorHAnsi" w:hAnsiTheme="minorHAnsi" w:cs="Calibri"/>
          <w:sz w:val="22"/>
          <w:szCs w:val="22"/>
        </w:rPr>
        <w:t xml:space="preserve"> stycznia </w:t>
      </w:r>
      <w:r>
        <w:rPr>
          <w:rFonts w:asciiTheme="minorHAnsi" w:hAnsiTheme="minorHAnsi" w:cs="Calibri"/>
          <w:sz w:val="22"/>
          <w:szCs w:val="22"/>
        </w:rPr>
        <w:br/>
      </w:r>
      <w:r w:rsidR="005C60B6" w:rsidRPr="00F03084">
        <w:rPr>
          <w:rFonts w:asciiTheme="minorHAnsi" w:hAnsiTheme="minorHAnsi" w:cs="Calibri"/>
          <w:sz w:val="22"/>
          <w:szCs w:val="22"/>
        </w:rPr>
        <w:t>2004</w:t>
      </w:r>
      <w:r>
        <w:rPr>
          <w:rFonts w:asciiTheme="minorHAnsi" w:hAnsiTheme="minorHAnsi" w:cs="Calibri"/>
          <w:sz w:val="22"/>
          <w:szCs w:val="22"/>
        </w:rPr>
        <w:t xml:space="preserve"> roku</w:t>
      </w:r>
      <w:r w:rsidR="005C60B6" w:rsidRPr="00F03084">
        <w:rPr>
          <w:rFonts w:asciiTheme="minorHAnsi" w:hAnsiTheme="minorHAnsi" w:cs="Calibri"/>
          <w:sz w:val="22"/>
          <w:szCs w:val="22"/>
        </w:rPr>
        <w:t>. Aneksowana ostatnio 14</w:t>
      </w:r>
      <w:r>
        <w:rPr>
          <w:rFonts w:asciiTheme="minorHAnsi" w:hAnsiTheme="minorHAnsi" w:cs="Calibri"/>
          <w:sz w:val="22"/>
          <w:szCs w:val="22"/>
        </w:rPr>
        <w:t xml:space="preserve"> maja </w:t>
      </w:r>
      <w:r w:rsidR="005C60B6" w:rsidRPr="00F03084">
        <w:rPr>
          <w:rFonts w:asciiTheme="minorHAnsi" w:hAnsiTheme="minorHAnsi" w:cs="Calibri"/>
          <w:sz w:val="22"/>
          <w:szCs w:val="22"/>
        </w:rPr>
        <w:t>2008 r</w:t>
      </w:r>
      <w:r>
        <w:rPr>
          <w:rFonts w:asciiTheme="minorHAnsi" w:hAnsiTheme="minorHAnsi" w:cs="Calibri"/>
          <w:sz w:val="22"/>
          <w:szCs w:val="22"/>
        </w:rPr>
        <w:t>oku,</w:t>
      </w:r>
      <w:r w:rsidR="005C60B6" w:rsidRPr="00F03084">
        <w:rPr>
          <w:rFonts w:asciiTheme="minorHAnsi" w:hAnsiTheme="minorHAnsi" w:cs="Calibri"/>
          <w:sz w:val="22"/>
          <w:szCs w:val="22"/>
        </w:rPr>
        <w:t xml:space="preserve"> ważna bezterminowo, okres wypowiedzenia 3 miesiące. </w:t>
      </w:r>
      <w:r>
        <w:rPr>
          <w:rFonts w:asciiTheme="minorHAnsi" w:hAnsiTheme="minorHAnsi" w:cs="Calibri"/>
          <w:sz w:val="22"/>
          <w:szCs w:val="22"/>
        </w:rPr>
        <w:t>P</w:t>
      </w:r>
      <w:r w:rsidR="005C60B6" w:rsidRPr="00F03084">
        <w:rPr>
          <w:rFonts w:asciiTheme="minorHAnsi" w:hAnsiTheme="minorHAnsi" w:cs="Calibri"/>
          <w:sz w:val="22"/>
          <w:szCs w:val="22"/>
        </w:rPr>
        <w:t xml:space="preserve">rzewidywana wartość umowy w okresie od grudnia 2015 </w:t>
      </w:r>
      <w:r>
        <w:rPr>
          <w:rFonts w:asciiTheme="minorHAnsi" w:hAnsiTheme="minorHAnsi" w:cs="Calibri"/>
          <w:sz w:val="22"/>
          <w:szCs w:val="22"/>
        </w:rPr>
        <w:br/>
      </w:r>
      <w:r w:rsidR="005C60B6" w:rsidRPr="00F03084">
        <w:rPr>
          <w:rFonts w:asciiTheme="minorHAnsi" w:hAnsiTheme="minorHAnsi" w:cs="Calibri"/>
          <w:sz w:val="22"/>
          <w:szCs w:val="22"/>
        </w:rPr>
        <w:t>w okresie nast</w:t>
      </w:r>
      <w:r>
        <w:rPr>
          <w:rFonts w:asciiTheme="minorHAnsi" w:hAnsiTheme="minorHAnsi" w:cs="Calibri"/>
          <w:sz w:val="22"/>
          <w:szCs w:val="22"/>
        </w:rPr>
        <w:t>ę</w:t>
      </w:r>
      <w:r w:rsidR="005C60B6" w:rsidRPr="00F03084">
        <w:rPr>
          <w:rFonts w:asciiTheme="minorHAnsi" w:hAnsiTheme="minorHAnsi" w:cs="Calibri"/>
          <w:sz w:val="22"/>
          <w:szCs w:val="22"/>
        </w:rPr>
        <w:t xml:space="preserve">pnych 5 lat wynosi </w:t>
      </w:r>
      <w:r w:rsidR="00AE02F3" w:rsidRPr="00AE02F3">
        <w:rPr>
          <w:rFonts w:asciiTheme="minorHAnsi" w:hAnsiTheme="minorHAnsi" w:cs="Calibri"/>
          <w:sz w:val="22"/>
          <w:szCs w:val="22"/>
        </w:rPr>
        <w:t>3 229 tys. zł</w:t>
      </w:r>
      <w:r w:rsidRPr="00AE02F3">
        <w:rPr>
          <w:rFonts w:asciiTheme="minorHAnsi" w:hAnsiTheme="minorHAnsi" w:cs="Calibri"/>
          <w:sz w:val="22"/>
          <w:szCs w:val="22"/>
        </w:rPr>
        <w:t>.</w:t>
      </w:r>
    </w:p>
    <w:p w14:paraId="3EDD9019" w14:textId="77777777" w:rsidR="005C60B6" w:rsidRPr="00F03084" w:rsidRDefault="005C60B6" w:rsidP="00F03084">
      <w:pPr>
        <w:spacing w:line="360" w:lineRule="auto"/>
        <w:ind w:firstLine="567"/>
        <w:jc w:val="both"/>
        <w:rPr>
          <w:rFonts w:asciiTheme="minorHAnsi" w:hAnsiTheme="minorHAnsi"/>
          <w:sz w:val="16"/>
          <w:szCs w:val="16"/>
        </w:rPr>
      </w:pPr>
    </w:p>
    <w:p w14:paraId="54EDED91" w14:textId="77777777" w:rsidR="005C60B6" w:rsidRPr="005C60B6" w:rsidRDefault="005C60B6" w:rsidP="00F03084">
      <w:pPr>
        <w:pStyle w:val="Tekstpodstawowy"/>
        <w:spacing w:line="360" w:lineRule="auto"/>
        <w:ind w:firstLine="567"/>
        <w:rPr>
          <w:rFonts w:asciiTheme="minorHAnsi" w:hAnsiTheme="minorHAnsi"/>
          <w:b w:val="0"/>
          <w:sz w:val="22"/>
          <w:szCs w:val="22"/>
        </w:rPr>
      </w:pPr>
      <w:r w:rsidRPr="005C60B6">
        <w:rPr>
          <w:rFonts w:asciiTheme="minorHAnsi" w:hAnsiTheme="minorHAnsi"/>
          <w:b w:val="0"/>
          <w:sz w:val="22"/>
          <w:szCs w:val="22"/>
        </w:rPr>
        <w:t>W okresie sprawozdawczym spółka realizowała szereg umów inwestycyjno</w:t>
      </w:r>
      <w:r w:rsidR="00AE02F3">
        <w:rPr>
          <w:rFonts w:asciiTheme="minorHAnsi" w:hAnsiTheme="minorHAnsi"/>
          <w:b w:val="0"/>
          <w:sz w:val="22"/>
          <w:szCs w:val="22"/>
        </w:rPr>
        <w:t>-</w:t>
      </w:r>
      <w:r w:rsidRPr="005C60B6">
        <w:rPr>
          <w:rFonts w:asciiTheme="minorHAnsi" w:hAnsiTheme="minorHAnsi"/>
          <w:b w:val="0"/>
          <w:sz w:val="22"/>
          <w:szCs w:val="22"/>
        </w:rPr>
        <w:t xml:space="preserve">modernizacyjnych dla zakładów </w:t>
      </w:r>
      <w:proofErr w:type="spellStart"/>
      <w:r w:rsidRPr="005C60B6">
        <w:rPr>
          <w:rFonts w:asciiTheme="minorHAnsi" w:hAnsiTheme="minorHAnsi"/>
          <w:b w:val="0"/>
          <w:sz w:val="22"/>
          <w:szCs w:val="22"/>
        </w:rPr>
        <w:t>Synthos</w:t>
      </w:r>
      <w:proofErr w:type="spellEnd"/>
      <w:r w:rsidRPr="005C60B6">
        <w:rPr>
          <w:rFonts w:asciiTheme="minorHAnsi" w:hAnsiTheme="minorHAnsi"/>
          <w:b w:val="0"/>
          <w:sz w:val="22"/>
          <w:szCs w:val="22"/>
        </w:rPr>
        <w:t xml:space="preserve"> Kralupy oraz </w:t>
      </w:r>
      <w:proofErr w:type="spellStart"/>
      <w:r w:rsidRPr="005C60B6">
        <w:rPr>
          <w:rFonts w:asciiTheme="minorHAnsi" w:hAnsiTheme="minorHAnsi"/>
          <w:b w:val="0"/>
          <w:sz w:val="22"/>
          <w:szCs w:val="22"/>
        </w:rPr>
        <w:t>Spolana</w:t>
      </w:r>
      <w:proofErr w:type="spellEnd"/>
      <w:r w:rsidRPr="005C60B6">
        <w:rPr>
          <w:rFonts w:asciiTheme="minorHAnsi" w:hAnsiTheme="minorHAnsi"/>
          <w:b w:val="0"/>
          <w:sz w:val="22"/>
          <w:szCs w:val="22"/>
        </w:rPr>
        <w:t xml:space="preserve"> </w:t>
      </w:r>
      <w:proofErr w:type="spellStart"/>
      <w:r w:rsidRPr="005C60B6">
        <w:rPr>
          <w:rFonts w:asciiTheme="minorHAnsi" w:hAnsiTheme="minorHAnsi"/>
          <w:b w:val="0"/>
          <w:sz w:val="22"/>
          <w:szCs w:val="22"/>
        </w:rPr>
        <w:t>Neratovice</w:t>
      </w:r>
      <w:proofErr w:type="spellEnd"/>
      <w:r w:rsidRPr="005C60B6">
        <w:rPr>
          <w:rFonts w:asciiTheme="minorHAnsi" w:hAnsiTheme="minorHAnsi"/>
          <w:b w:val="0"/>
          <w:sz w:val="22"/>
          <w:szCs w:val="22"/>
        </w:rPr>
        <w:t xml:space="preserve"> w zakresie mechanicznym i elektrycznym. </w:t>
      </w:r>
      <w:r w:rsidRPr="005C60B6">
        <w:rPr>
          <w:rFonts w:asciiTheme="minorHAnsi" w:hAnsiTheme="minorHAnsi"/>
          <w:b w:val="0"/>
          <w:sz w:val="22"/>
          <w:szCs w:val="22"/>
        </w:rPr>
        <w:lastRenderedPageBreak/>
        <w:t>Pozwoliło to osi</w:t>
      </w:r>
      <w:r w:rsidR="00F03084">
        <w:rPr>
          <w:rFonts w:asciiTheme="minorHAnsi" w:hAnsiTheme="minorHAnsi"/>
          <w:b w:val="0"/>
          <w:sz w:val="22"/>
          <w:szCs w:val="22"/>
        </w:rPr>
        <w:t>ą</w:t>
      </w:r>
      <w:r w:rsidRPr="005C60B6">
        <w:rPr>
          <w:rFonts w:asciiTheme="minorHAnsi" w:hAnsiTheme="minorHAnsi"/>
          <w:b w:val="0"/>
          <w:sz w:val="22"/>
          <w:szCs w:val="22"/>
        </w:rPr>
        <w:t>gnąć zamierzone wyniki gospodarcze.</w:t>
      </w:r>
      <w:r w:rsidR="00F03084">
        <w:rPr>
          <w:rFonts w:asciiTheme="minorHAnsi" w:hAnsiTheme="minorHAnsi"/>
          <w:b w:val="0"/>
          <w:sz w:val="22"/>
          <w:szCs w:val="22"/>
        </w:rPr>
        <w:t xml:space="preserve"> </w:t>
      </w:r>
      <w:r w:rsidRPr="005C60B6">
        <w:rPr>
          <w:rFonts w:asciiTheme="minorHAnsi" w:hAnsiTheme="minorHAnsi"/>
          <w:b w:val="0"/>
          <w:sz w:val="22"/>
          <w:szCs w:val="22"/>
        </w:rPr>
        <w:t>Struktura przychodów n</w:t>
      </w:r>
      <w:r w:rsidR="00F03084">
        <w:rPr>
          <w:rFonts w:asciiTheme="minorHAnsi" w:hAnsiTheme="minorHAnsi"/>
          <w:b w:val="0"/>
          <w:sz w:val="22"/>
          <w:szCs w:val="22"/>
        </w:rPr>
        <w:t>ie uległą istotnym zmianom w st</w:t>
      </w:r>
      <w:r w:rsidRPr="005C60B6">
        <w:rPr>
          <w:rFonts w:asciiTheme="minorHAnsi" w:hAnsiTheme="minorHAnsi"/>
          <w:b w:val="0"/>
          <w:sz w:val="22"/>
          <w:szCs w:val="22"/>
        </w:rPr>
        <w:t>osunku do poprzednich okresów.</w:t>
      </w:r>
      <w:r w:rsidR="00F03084">
        <w:rPr>
          <w:rFonts w:asciiTheme="minorHAnsi" w:hAnsiTheme="minorHAnsi"/>
          <w:b w:val="0"/>
          <w:sz w:val="22"/>
          <w:szCs w:val="22"/>
        </w:rPr>
        <w:t xml:space="preserve"> </w:t>
      </w:r>
      <w:r w:rsidRPr="005C60B6">
        <w:rPr>
          <w:rFonts w:asciiTheme="minorHAnsi" w:hAnsiTheme="minorHAnsi"/>
          <w:b w:val="0"/>
          <w:sz w:val="22"/>
          <w:szCs w:val="22"/>
        </w:rPr>
        <w:t>Spółka pracuje wyłącznie dla kontrahentów</w:t>
      </w:r>
      <w:r w:rsidR="00AE02F3">
        <w:rPr>
          <w:rFonts w:asciiTheme="minorHAnsi" w:hAnsiTheme="minorHAnsi"/>
          <w:b w:val="0"/>
          <w:sz w:val="22"/>
          <w:szCs w:val="22"/>
        </w:rPr>
        <w:br/>
      </w:r>
      <w:r w:rsidRPr="005C60B6">
        <w:rPr>
          <w:rFonts w:asciiTheme="minorHAnsi" w:hAnsiTheme="minorHAnsi"/>
          <w:b w:val="0"/>
          <w:sz w:val="22"/>
          <w:szCs w:val="22"/>
        </w:rPr>
        <w:t>na rynku czeskim.</w:t>
      </w:r>
    </w:p>
    <w:p w14:paraId="46BFAF63" w14:textId="77777777" w:rsidR="005C60B6" w:rsidRPr="005C60B6" w:rsidRDefault="005C60B6" w:rsidP="00F03084">
      <w:pPr>
        <w:spacing w:line="360" w:lineRule="auto"/>
        <w:ind w:firstLine="567"/>
        <w:jc w:val="both"/>
        <w:rPr>
          <w:rFonts w:asciiTheme="minorHAnsi" w:hAnsiTheme="minorHAnsi"/>
          <w:sz w:val="22"/>
          <w:szCs w:val="22"/>
        </w:rPr>
      </w:pPr>
      <w:r w:rsidRPr="005C60B6">
        <w:rPr>
          <w:rFonts w:asciiTheme="minorHAnsi" w:hAnsiTheme="minorHAnsi"/>
          <w:sz w:val="22"/>
          <w:szCs w:val="22"/>
        </w:rPr>
        <w:t xml:space="preserve">Trzeba podkreślić, że gospodarka czeska w okresie sprawozdawczym znajdowała się </w:t>
      </w:r>
      <w:r w:rsidR="00F03084">
        <w:rPr>
          <w:rFonts w:asciiTheme="minorHAnsi" w:hAnsiTheme="minorHAnsi"/>
          <w:sz w:val="22"/>
          <w:szCs w:val="22"/>
        </w:rPr>
        <w:br/>
      </w:r>
      <w:r w:rsidRPr="005C60B6">
        <w:rPr>
          <w:rFonts w:asciiTheme="minorHAnsi" w:hAnsiTheme="minorHAnsi"/>
          <w:sz w:val="22"/>
          <w:szCs w:val="22"/>
        </w:rPr>
        <w:t>w stabilnym t</w:t>
      </w:r>
      <w:r w:rsidR="00F03084">
        <w:rPr>
          <w:rFonts w:asciiTheme="minorHAnsi" w:hAnsiTheme="minorHAnsi"/>
          <w:sz w:val="22"/>
          <w:szCs w:val="22"/>
        </w:rPr>
        <w:t>ren</w:t>
      </w:r>
      <w:r w:rsidRPr="005C60B6">
        <w:rPr>
          <w:rFonts w:asciiTheme="minorHAnsi" w:hAnsiTheme="minorHAnsi"/>
          <w:sz w:val="22"/>
          <w:szCs w:val="22"/>
        </w:rPr>
        <w:t>dzie w</w:t>
      </w:r>
      <w:r w:rsidR="00F03084">
        <w:rPr>
          <w:rFonts w:asciiTheme="minorHAnsi" w:hAnsiTheme="minorHAnsi"/>
          <w:sz w:val="22"/>
          <w:szCs w:val="22"/>
        </w:rPr>
        <w:t>z</w:t>
      </w:r>
      <w:r w:rsidRPr="005C60B6">
        <w:rPr>
          <w:rFonts w:asciiTheme="minorHAnsi" w:hAnsiTheme="minorHAnsi"/>
          <w:sz w:val="22"/>
          <w:szCs w:val="22"/>
        </w:rPr>
        <w:t xml:space="preserve">rostowym.. Międzyroczny wzrost gospodarczy 2016/2015 wynosił </w:t>
      </w:r>
      <w:r w:rsidR="00AE02F3">
        <w:rPr>
          <w:rFonts w:asciiTheme="minorHAnsi" w:hAnsiTheme="minorHAnsi"/>
          <w:sz w:val="22"/>
          <w:szCs w:val="22"/>
        </w:rPr>
        <w:br/>
      </w:r>
      <w:r w:rsidRPr="005C60B6">
        <w:rPr>
          <w:rFonts w:asciiTheme="minorHAnsi" w:hAnsiTheme="minorHAnsi"/>
          <w:sz w:val="22"/>
          <w:szCs w:val="22"/>
        </w:rPr>
        <w:t>około 3,2%. W dłuższej perspektywie te wskaźniki powinny się przełożyć na wzrost zapotrzebowania na usługi świadczone przez K-</w:t>
      </w:r>
      <w:proofErr w:type="spellStart"/>
      <w:r w:rsidRPr="005C60B6">
        <w:rPr>
          <w:rFonts w:asciiTheme="minorHAnsi" w:hAnsiTheme="minorHAnsi"/>
          <w:sz w:val="22"/>
          <w:szCs w:val="22"/>
        </w:rPr>
        <w:t>Protos</w:t>
      </w:r>
      <w:proofErr w:type="spellEnd"/>
      <w:r w:rsidR="00F03084">
        <w:rPr>
          <w:rFonts w:asciiTheme="minorHAnsi" w:hAnsiTheme="minorHAnsi"/>
          <w:sz w:val="22"/>
          <w:szCs w:val="22"/>
        </w:rPr>
        <w:t xml:space="preserve"> </w:t>
      </w:r>
      <w:proofErr w:type="spellStart"/>
      <w:r w:rsidR="00F03084">
        <w:rPr>
          <w:rFonts w:asciiTheme="minorHAnsi" w:hAnsiTheme="minorHAnsi"/>
          <w:sz w:val="22"/>
          <w:szCs w:val="22"/>
        </w:rPr>
        <w:t>a.s</w:t>
      </w:r>
      <w:proofErr w:type="spellEnd"/>
      <w:r w:rsidRPr="005C60B6">
        <w:rPr>
          <w:rFonts w:asciiTheme="minorHAnsi" w:hAnsiTheme="minorHAnsi"/>
          <w:sz w:val="22"/>
          <w:szCs w:val="22"/>
        </w:rPr>
        <w:t xml:space="preserve">. Ożywienie jest spowodowane głównie wzrostem </w:t>
      </w:r>
      <w:r w:rsidR="00AE02F3">
        <w:rPr>
          <w:rFonts w:asciiTheme="minorHAnsi" w:hAnsiTheme="minorHAnsi"/>
          <w:sz w:val="22"/>
          <w:szCs w:val="22"/>
        </w:rPr>
        <w:br/>
      </w:r>
      <w:r w:rsidRPr="005C60B6">
        <w:rPr>
          <w:rFonts w:asciiTheme="minorHAnsi" w:hAnsiTheme="minorHAnsi"/>
          <w:sz w:val="22"/>
          <w:szCs w:val="22"/>
        </w:rPr>
        <w:t>popytu wewnętrznego, który przez ostatnie lata był tłumiony ostrożnością klientów do kupowania dóbr o wyższej wartości, tendencjami do oszczędzania zarówno przez przedsiębiorstwa</w:t>
      </w:r>
      <w:r w:rsidR="002A41F8">
        <w:rPr>
          <w:rFonts w:asciiTheme="minorHAnsi" w:hAnsiTheme="minorHAnsi"/>
          <w:sz w:val="22"/>
          <w:szCs w:val="22"/>
        </w:rPr>
        <w:t>,</w:t>
      </w:r>
      <w:r w:rsidRPr="005C60B6">
        <w:rPr>
          <w:rFonts w:asciiTheme="minorHAnsi" w:hAnsiTheme="minorHAnsi"/>
          <w:sz w:val="22"/>
          <w:szCs w:val="22"/>
        </w:rPr>
        <w:t xml:space="preserve"> jak </w:t>
      </w:r>
      <w:r w:rsidR="00AE02F3">
        <w:rPr>
          <w:rFonts w:asciiTheme="minorHAnsi" w:hAnsiTheme="minorHAnsi"/>
          <w:sz w:val="22"/>
          <w:szCs w:val="22"/>
        </w:rPr>
        <w:br/>
      </w:r>
      <w:r w:rsidRPr="005C60B6">
        <w:rPr>
          <w:rFonts w:asciiTheme="minorHAnsi" w:hAnsiTheme="minorHAnsi"/>
          <w:sz w:val="22"/>
          <w:szCs w:val="22"/>
        </w:rPr>
        <w:t xml:space="preserve">i gospodarstwa domowe oraz ogólnie słabym klimatem inwestycyjnym. </w:t>
      </w:r>
    </w:p>
    <w:p w14:paraId="42B84F64" w14:textId="77777777" w:rsidR="005C60B6" w:rsidRPr="005C60B6" w:rsidRDefault="005C60B6" w:rsidP="00F03084">
      <w:pPr>
        <w:spacing w:line="360" w:lineRule="auto"/>
        <w:ind w:firstLine="567"/>
        <w:jc w:val="both"/>
        <w:rPr>
          <w:rFonts w:asciiTheme="minorHAnsi" w:hAnsiTheme="minorHAnsi"/>
          <w:sz w:val="22"/>
          <w:szCs w:val="22"/>
        </w:rPr>
      </w:pPr>
      <w:r w:rsidRPr="005C60B6">
        <w:rPr>
          <w:rFonts w:asciiTheme="minorHAnsi" w:hAnsiTheme="minorHAnsi"/>
          <w:sz w:val="22"/>
          <w:szCs w:val="22"/>
        </w:rPr>
        <w:t xml:space="preserve">Dla Spółki kluczowe znaczenie mają jednak relacje z bezpośrednim otoczeniem i kluczowymi klientami. Spółka ponad </w:t>
      </w:r>
      <w:r w:rsidR="00F03084">
        <w:rPr>
          <w:rFonts w:asciiTheme="minorHAnsi" w:hAnsiTheme="minorHAnsi"/>
          <w:sz w:val="22"/>
          <w:szCs w:val="22"/>
        </w:rPr>
        <w:t>trzy czwarte</w:t>
      </w:r>
      <w:r w:rsidRPr="005C60B6">
        <w:rPr>
          <w:rFonts w:asciiTheme="minorHAnsi" w:hAnsiTheme="minorHAnsi"/>
          <w:sz w:val="22"/>
          <w:szCs w:val="22"/>
        </w:rPr>
        <w:t xml:space="preserve"> swoich przychodów generuje od trzech czeskich firm kontrolowanych lub stowarz</w:t>
      </w:r>
      <w:r w:rsidR="00F03084">
        <w:rPr>
          <w:rFonts w:asciiTheme="minorHAnsi" w:hAnsiTheme="minorHAnsi"/>
          <w:sz w:val="22"/>
          <w:szCs w:val="22"/>
        </w:rPr>
        <w:t>y</w:t>
      </w:r>
      <w:r w:rsidR="002A41F8">
        <w:rPr>
          <w:rFonts w:asciiTheme="minorHAnsi" w:hAnsiTheme="minorHAnsi"/>
          <w:sz w:val="22"/>
          <w:szCs w:val="22"/>
        </w:rPr>
        <w:t xml:space="preserve">szonych </w:t>
      </w:r>
      <w:r w:rsidRPr="005C60B6">
        <w:rPr>
          <w:rFonts w:asciiTheme="minorHAnsi" w:hAnsiTheme="minorHAnsi"/>
          <w:sz w:val="22"/>
          <w:szCs w:val="22"/>
        </w:rPr>
        <w:t xml:space="preserve">z dużymi polskimi podmiotami branży chemicznej </w:t>
      </w:r>
      <w:r w:rsidR="00F03084">
        <w:rPr>
          <w:rFonts w:asciiTheme="minorHAnsi" w:hAnsiTheme="minorHAnsi"/>
          <w:sz w:val="22"/>
          <w:szCs w:val="22"/>
        </w:rPr>
        <w:br/>
      </w:r>
      <w:r w:rsidRPr="005C60B6">
        <w:rPr>
          <w:rFonts w:asciiTheme="minorHAnsi" w:hAnsiTheme="minorHAnsi"/>
          <w:sz w:val="22"/>
          <w:szCs w:val="22"/>
        </w:rPr>
        <w:t xml:space="preserve">i petrochemicznej. Spółka świadczy różnorodną gamę usług z zakresu utrzymania ruchu dla </w:t>
      </w:r>
      <w:proofErr w:type="spellStart"/>
      <w:r w:rsidRPr="005C60B6">
        <w:rPr>
          <w:rFonts w:asciiTheme="minorHAnsi" w:hAnsiTheme="minorHAnsi"/>
          <w:sz w:val="22"/>
          <w:szCs w:val="22"/>
        </w:rPr>
        <w:t>Synthos</w:t>
      </w:r>
      <w:proofErr w:type="spellEnd"/>
      <w:r w:rsidRPr="005C60B6">
        <w:rPr>
          <w:rFonts w:asciiTheme="minorHAnsi" w:hAnsiTheme="minorHAnsi"/>
          <w:sz w:val="22"/>
          <w:szCs w:val="22"/>
        </w:rPr>
        <w:t xml:space="preserve"> Kralupy, firmy należącej do polskiego i europej</w:t>
      </w:r>
      <w:r w:rsidR="00F03084">
        <w:rPr>
          <w:rFonts w:asciiTheme="minorHAnsi" w:hAnsiTheme="minorHAnsi"/>
          <w:sz w:val="22"/>
          <w:szCs w:val="22"/>
        </w:rPr>
        <w:t>skiego potentata w produkcji kau</w:t>
      </w:r>
      <w:r w:rsidRPr="005C60B6">
        <w:rPr>
          <w:rFonts w:asciiTheme="minorHAnsi" w:hAnsiTheme="minorHAnsi"/>
          <w:sz w:val="22"/>
          <w:szCs w:val="22"/>
        </w:rPr>
        <w:t xml:space="preserve">czuków syntetycznych, firmy </w:t>
      </w:r>
      <w:proofErr w:type="spellStart"/>
      <w:r w:rsidRPr="005C60B6">
        <w:rPr>
          <w:rFonts w:asciiTheme="minorHAnsi" w:hAnsiTheme="minorHAnsi"/>
          <w:sz w:val="22"/>
          <w:szCs w:val="22"/>
        </w:rPr>
        <w:t>Synthos</w:t>
      </w:r>
      <w:proofErr w:type="spellEnd"/>
      <w:r w:rsidRPr="005C60B6">
        <w:rPr>
          <w:rFonts w:asciiTheme="minorHAnsi" w:hAnsiTheme="minorHAnsi"/>
          <w:sz w:val="22"/>
          <w:szCs w:val="22"/>
        </w:rPr>
        <w:t xml:space="preserve"> </w:t>
      </w:r>
      <w:r w:rsidR="00F03084">
        <w:rPr>
          <w:rFonts w:asciiTheme="minorHAnsi" w:hAnsiTheme="minorHAnsi"/>
          <w:sz w:val="22"/>
          <w:szCs w:val="22"/>
        </w:rPr>
        <w:t>Dwory</w:t>
      </w:r>
      <w:r w:rsidRPr="005C60B6">
        <w:rPr>
          <w:rFonts w:asciiTheme="minorHAnsi" w:hAnsiTheme="minorHAnsi"/>
          <w:sz w:val="22"/>
          <w:szCs w:val="22"/>
        </w:rPr>
        <w:t>. Usługi te polegają na naprawach, przeglądach i konserwacji skomplikowanych ciągów technologicznych produkcji kauczuków czy polistyrenów. Ewidentną przewagą Spółki jest fakt, że siedzibę i zaplecze projektowe, magazynowe czy produkcyjne, Spółka ma na terenie komple</w:t>
      </w:r>
      <w:r w:rsidR="00AE02F3">
        <w:rPr>
          <w:rFonts w:asciiTheme="minorHAnsi" w:hAnsiTheme="minorHAnsi"/>
          <w:sz w:val="22"/>
          <w:szCs w:val="22"/>
        </w:rPr>
        <w:t>k</w:t>
      </w:r>
      <w:r w:rsidRPr="005C60B6">
        <w:rPr>
          <w:rFonts w:asciiTheme="minorHAnsi" w:hAnsiTheme="minorHAnsi"/>
          <w:sz w:val="22"/>
          <w:szCs w:val="22"/>
        </w:rPr>
        <w:t xml:space="preserve">su przemysłowego w Kralupach nad Wełtawą. </w:t>
      </w:r>
    </w:p>
    <w:p w14:paraId="33CA94C8" w14:textId="77777777" w:rsidR="005C60B6" w:rsidRPr="005C60B6" w:rsidRDefault="005C60B6" w:rsidP="00F03084">
      <w:pPr>
        <w:spacing w:line="360" w:lineRule="auto"/>
        <w:ind w:firstLine="567"/>
        <w:jc w:val="both"/>
        <w:rPr>
          <w:rFonts w:asciiTheme="minorHAnsi" w:hAnsiTheme="minorHAnsi"/>
          <w:sz w:val="22"/>
          <w:szCs w:val="22"/>
        </w:rPr>
      </w:pPr>
      <w:r w:rsidRPr="005C60B6">
        <w:rPr>
          <w:rFonts w:asciiTheme="minorHAnsi" w:hAnsiTheme="minorHAnsi"/>
          <w:sz w:val="22"/>
          <w:szCs w:val="22"/>
        </w:rPr>
        <w:t>Koszty  działalności  operacyjnej  ukształtowały  się  na  poziomie</w:t>
      </w:r>
      <w:r w:rsidRPr="00AE02F3">
        <w:rPr>
          <w:rFonts w:asciiTheme="minorHAnsi" w:hAnsiTheme="minorHAnsi"/>
          <w:sz w:val="22"/>
          <w:szCs w:val="22"/>
        </w:rPr>
        <w:t xml:space="preserve">  </w:t>
      </w:r>
      <w:r w:rsidR="00AE02F3" w:rsidRPr="00AE02F3">
        <w:rPr>
          <w:rFonts w:asciiTheme="minorHAnsi" w:hAnsiTheme="minorHAnsi"/>
          <w:sz w:val="22"/>
          <w:szCs w:val="22"/>
        </w:rPr>
        <w:t>26 228 tys. zł</w:t>
      </w:r>
      <w:r w:rsidRPr="00AE02F3">
        <w:rPr>
          <w:rFonts w:asciiTheme="minorHAnsi" w:hAnsiTheme="minorHAnsi"/>
          <w:sz w:val="22"/>
          <w:szCs w:val="22"/>
        </w:rPr>
        <w:t>, tj.  110 % poziomu kosztó</w:t>
      </w:r>
      <w:r w:rsidR="00AE02F3" w:rsidRPr="00AE02F3">
        <w:rPr>
          <w:rFonts w:asciiTheme="minorHAnsi" w:hAnsiTheme="minorHAnsi"/>
          <w:sz w:val="22"/>
          <w:szCs w:val="22"/>
        </w:rPr>
        <w:t>w w analogicznym okresie 2015 roku</w:t>
      </w:r>
      <w:r w:rsidRPr="00AE02F3">
        <w:rPr>
          <w:rFonts w:asciiTheme="minorHAnsi" w:hAnsiTheme="minorHAnsi"/>
          <w:sz w:val="22"/>
          <w:szCs w:val="22"/>
        </w:rPr>
        <w:t xml:space="preserve">. Koszty  zarządu wynosiły </w:t>
      </w:r>
      <w:r w:rsidR="00AE02F3" w:rsidRPr="00AE02F3">
        <w:rPr>
          <w:rFonts w:asciiTheme="minorHAnsi" w:hAnsiTheme="minorHAnsi"/>
          <w:sz w:val="22"/>
          <w:szCs w:val="22"/>
        </w:rPr>
        <w:t>1 826 tys. zł</w:t>
      </w:r>
      <w:r w:rsidRPr="00AE02F3">
        <w:rPr>
          <w:rFonts w:asciiTheme="minorHAnsi" w:hAnsiTheme="minorHAnsi"/>
          <w:sz w:val="22"/>
          <w:szCs w:val="22"/>
        </w:rPr>
        <w:t xml:space="preserve"> </w:t>
      </w:r>
      <w:r w:rsidR="00AE02F3" w:rsidRPr="00AE02F3">
        <w:rPr>
          <w:rFonts w:asciiTheme="minorHAnsi" w:hAnsiTheme="minorHAnsi"/>
          <w:sz w:val="22"/>
          <w:szCs w:val="22"/>
        </w:rPr>
        <w:br/>
      </w:r>
      <w:r w:rsidRPr="00AE02F3">
        <w:rPr>
          <w:rFonts w:asciiTheme="minorHAnsi" w:hAnsiTheme="minorHAnsi"/>
          <w:sz w:val="22"/>
          <w:szCs w:val="22"/>
        </w:rPr>
        <w:t>(</w:t>
      </w:r>
      <w:r w:rsidR="00AE02F3" w:rsidRPr="00AE02F3">
        <w:rPr>
          <w:rFonts w:asciiTheme="minorHAnsi" w:hAnsiTheme="minorHAnsi"/>
          <w:sz w:val="22"/>
          <w:szCs w:val="22"/>
        </w:rPr>
        <w:t>1 </w:t>
      </w:r>
      <w:r w:rsidR="00AE02F3">
        <w:rPr>
          <w:rFonts w:asciiTheme="minorHAnsi" w:hAnsiTheme="minorHAnsi"/>
          <w:sz w:val="22"/>
          <w:szCs w:val="22"/>
        </w:rPr>
        <w:t>384</w:t>
      </w:r>
      <w:r w:rsidR="00AE02F3" w:rsidRPr="00AE02F3">
        <w:rPr>
          <w:rFonts w:asciiTheme="minorHAnsi" w:hAnsiTheme="minorHAnsi"/>
          <w:sz w:val="22"/>
          <w:szCs w:val="22"/>
        </w:rPr>
        <w:t xml:space="preserve"> tys. zł</w:t>
      </w:r>
      <w:r w:rsidRPr="00AE02F3">
        <w:rPr>
          <w:rFonts w:asciiTheme="minorHAnsi" w:hAnsiTheme="minorHAnsi"/>
          <w:sz w:val="22"/>
          <w:szCs w:val="22"/>
        </w:rPr>
        <w:t xml:space="preserve"> rok wcześniej),  koszty sprzedaży </w:t>
      </w:r>
      <w:r w:rsidR="00AE02F3" w:rsidRPr="00AE02F3">
        <w:rPr>
          <w:rFonts w:asciiTheme="minorHAnsi" w:hAnsiTheme="minorHAnsi"/>
          <w:sz w:val="22"/>
          <w:szCs w:val="22"/>
        </w:rPr>
        <w:t>597 tys. zł</w:t>
      </w:r>
      <w:r w:rsidRPr="00AE02F3">
        <w:rPr>
          <w:rFonts w:asciiTheme="minorHAnsi" w:hAnsiTheme="minorHAnsi"/>
          <w:sz w:val="22"/>
          <w:szCs w:val="22"/>
        </w:rPr>
        <w:t>.</w:t>
      </w:r>
    </w:p>
    <w:p w14:paraId="7DBA943E" w14:textId="770977A1" w:rsidR="005C60B6" w:rsidRPr="005C60B6" w:rsidRDefault="005C60B6" w:rsidP="00F03084">
      <w:pPr>
        <w:spacing w:line="360" w:lineRule="auto"/>
        <w:ind w:firstLine="567"/>
        <w:jc w:val="both"/>
        <w:rPr>
          <w:rFonts w:asciiTheme="minorHAnsi" w:hAnsiTheme="minorHAnsi"/>
          <w:sz w:val="22"/>
          <w:szCs w:val="22"/>
        </w:rPr>
      </w:pPr>
      <w:r w:rsidRPr="005C60B6">
        <w:rPr>
          <w:rFonts w:asciiTheme="minorHAnsi" w:hAnsiTheme="minorHAnsi"/>
          <w:sz w:val="22"/>
          <w:szCs w:val="22"/>
        </w:rPr>
        <w:t xml:space="preserve">Znaczący wpływ na wyniki gospodarcze spółki w </w:t>
      </w:r>
      <w:r w:rsidR="00F03084">
        <w:rPr>
          <w:rFonts w:asciiTheme="minorHAnsi" w:hAnsiTheme="minorHAnsi"/>
          <w:sz w:val="22"/>
          <w:szCs w:val="22"/>
        </w:rPr>
        <w:t xml:space="preserve">pierwszym półroczu </w:t>
      </w:r>
      <w:r w:rsidRPr="005C60B6">
        <w:rPr>
          <w:rFonts w:asciiTheme="minorHAnsi" w:hAnsiTheme="minorHAnsi"/>
          <w:sz w:val="22"/>
          <w:szCs w:val="22"/>
        </w:rPr>
        <w:t>2016  r</w:t>
      </w:r>
      <w:r w:rsidR="00F03084">
        <w:rPr>
          <w:rFonts w:asciiTheme="minorHAnsi" w:hAnsiTheme="minorHAnsi"/>
          <w:sz w:val="22"/>
          <w:szCs w:val="22"/>
        </w:rPr>
        <w:t>oku</w:t>
      </w:r>
      <w:r w:rsidRPr="005C60B6">
        <w:rPr>
          <w:rFonts w:asciiTheme="minorHAnsi" w:hAnsiTheme="minorHAnsi"/>
          <w:sz w:val="22"/>
          <w:szCs w:val="22"/>
        </w:rPr>
        <w:t xml:space="preserve"> miały </w:t>
      </w:r>
      <w:r w:rsidR="00AE02F3">
        <w:rPr>
          <w:rFonts w:asciiTheme="minorHAnsi" w:hAnsiTheme="minorHAnsi"/>
          <w:sz w:val="22"/>
          <w:szCs w:val="22"/>
        </w:rPr>
        <w:br/>
      </w:r>
      <w:r w:rsidRPr="005C60B6">
        <w:rPr>
          <w:rFonts w:asciiTheme="minorHAnsi" w:hAnsiTheme="minorHAnsi"/>
          <w:sz w:val="22"/>
          <w:szCs w:val="22"/>
        </w:rPr>
        <w:t xml:space="preserve">koszty  usług obcych, które </w:t>
      </w:r>
      <w:r w:rsidRPr="00AE02F3">
        <w:rPr>
          <w:rFonts w:asciiTheme="minorHAnsi" w:hAnsiTheme="minorHAnsi"/>
          <w:sz w:val="22"/>
          <w:szCs w:val="22"/>
        </w:rPr>
        <w:t xml:space="preserve">wynosiły  </w:t>
      </w:r>
      <w:r w:rsidR="00AE02F3" w:rsidRPr="00AE02F3">
        <w:rPr>
          <w:rFonts w:asciiTheme="minorHAnsi" w:hAnsiTheme="minorHAnsi"/>
          <w:sz w:val="22"/>
          <w:szCs w:val="22"/>
        </w:rPr>
        <w:t>9 794 tys. zł</w:t>
      </w:r>
      <w:r w:rsidRPr="00AE02F3">
        <w:rPr>
          <w:rFonts w:asciiTheme="minorHAnsi" w:hAnsiTheme="minorHAnsi"/>
          <w:sz w:val="22"/>
          <w:szCs w:val="22"/>
        </w:rPr>
        <w:t xml:space="preserve"> (wzrost o </w:t>
      </w:r>
      <w:r w:rsidR="00AE02F3" w:rsidRPr="00AE02F3">
        <w:rPr>
          <w:rFonts w:asciiTheme="minorHAnsi" w:hAnsiTheme="minorHAnsi"/>
          <w:sz w:val="22"/>
          <w:szCs w:val="22"/>
        </w:rPr>
        <w:t>3 181 tys. zł</w:t>
      </w:r>
      <w:r w:rsidRPr="00AE02F3">
        <w:rPr>
          <w:rFonts w:asciiTheme="minorHAnsi" w:hAnsiTheme="minorHAnsi"/>
          <w:sz w:val="22"/>
          <w:szCs w:val="22"/>
        </w:rPr>
        <w:t xml:space="preserve"> z </w:t>
      </w:r>
      <w:r w:rsidR="00AE02F3" w:rsidRPr="00AE02F3">
        <w:rPr>
          <w:rFonts w:asciiTheme="minorHAnsi" w:hAnsiTheme="minorHAnsi"/>
          <w:sz w:val="22"/>
          <w:szCs w:val="22"/>
        </w:rPr>
        <w:t>6 613 tys. zł</w:t>
      </w:r>
      <w:r w:rsidRPr="00AE02F3">
        <w:rPr>
          <w:rFonts w:asciiTheme="minorHAnsi" w:hAnsiTheme="minorHAnsi"/>
          <w:sz w:val="22"/>
          <w:szCs w:val="22"/>
        </w:rPr>
        <w:t xml:space="preserve"> rok </w:t>
      </w:r>
      <w:r w:rsidRPr="005C60B6">
        <w:rPr>
          <w:rFonts w:asciiTheme="minorHAnsi" w:hAnsiTheme="minorHAnsi"/>
          <w:sz w:val="22"/>
          <w:szCs w:val="22"/>
        </w:rPr>
        <w:t xml:space="preserve">wcześniej). Zmiana  wysokości  kosztów  tych usług jest  efektem  realizacji  w  2016  roku </w:t>
      </w:r>
      <w:r w:rsidR="003C26C9">
        <w:rPr>
          <w:rFonts w:asciiTheme="minorHAnsi" w:hAnsiTheme="minorHAnsi"/>
          <w:sz w:val="22"/>
          <w:szCs w:val="22"/>
        </w:rPr>
        <w:t xml:space="preserve"> zleceń  z  większym  udziałem </w:t>
      </w:r>
      <w:r w:rsidRPr="005C60B6">
        <w:rPr>
          <w:rFonts w:asciiTheme="minorHAnsi" w:hAnsiTheme="minorHAnsi"/>
          <w:sz w:val="22"/>
          <w:szCs w:val="22"/>
        </w:rPr>
        <w:t>obcych brygad montażowych.</w:t>
      </w:r>
      <w:r w:rsidR="00F03084">
        <w:rPr>
          <w:rFonts w:asciiTheme="minorHAnsi" w:hAnsiTheme="minorHAnsi"/>
          <w:sz w:val="22"/>
          <w:szCs w:val="22"/>
        </w:rPr>
        <w:t xml:space="preserve"> </w:t>
      </w:r>
      <w:r w:rsidRPr="005C60B6">
        <w:rPr>
          <w:rFonts w:asciiTheme="minorHAnsi" w:hAnsiTheme="minorHAnsi"/>
          <w:sz w:val="22"/>
          <w:szCs w:val="22"/>
        </w:rPr>
        <w:t>Z</w:t>
      </w:r>
      <w:r w:rsidR="003C26C9">
        <w:rPr>
          <w:rFonts w:asciiTheme="minorHAnsi" w:hAnsiTheme="minorHAnsi"/>
          <w:sz w:val="22"/>
          <w:szCs w:val="22"/>
        </w:rPr>
        <w:t xml:space="preserve">asoby  kadrowe  Spółki,  wobec zmiany </w:t>
      </w:r>
      <w:r w:rsidRPr="005C60B6">
        <w:rPr>
          <w:rFonts w:asciiTheme="minorHAnsi" w:hAnsiTheme="minorHAnsi"/>
          <w:sz w:val="22"/>
          <w:szCs w:val="22"/>
        </w:rPr>
        <w:t xml:space="preserve">zakresu  świadczonych  na  rzecz  kontrahentów  usług,  okazały  się  niewystarczające  dla  sprostania  wykonania zleceń w terminie i uzyskania tak znaczącego wzrostu przychodów ze sprzedaży. </w:t>
      </w:r>
      <w:r w:rsidR="001F4E2B">
        <w:rPr>
          <w:rFonts w:asciiTheme="minorHAnsi" w:hAnsiTheme="minorHAnsi"/>
          <w:sz w:val="22"/>
          <w:szCs w:val="22"/>
        </w:rPr>
        <w:br/>
      </w:r>
      <w:r w:rsidRPr="005C60B6">
        <w:rPr>
          <w:rFonts w:asciiTheme="minorHAnsi" w:hAnsiTheme="minorHAnsi"/>
          <w:sz w:val="22"/>
          <w:szCs w:val="22"/>
        </w:rPr>
        <w:t>Spó</w:t>
      </w:r>
      <w:r w:rsidR="00F03084">
        <w:rPr>
          <w:rFonts w:asciiTheme="minorHAnsi" w:hAnsiTheme="minorHAnsi"/>
          <w:sz w:val="22"/>
          <w:szCs w:val="22"/>
        </w:rPr>
        <w:t>ł</w:t>
      </w:r>
      <w:r w:rsidRPr="005C60B6">
        <w:rPr>
          <w:rFonts w:asciiTheme="minorHAnsi" w:hAnsiTheme="minorHAnsi"/>
          <w:sz w:val="22"/>
          <w:szCs w:val="22"/>
        </w:rPr>
        <w:t>ka czasami posiłkuje się zewnętrznymi pracownikami, w ramach zakrojonych na dużą skalę postojów technologicznych u głównych zleceniodawców.</w:t>
      </w:r>
    </w:p>
    <w:p w14:paraId="79D61BAF" w14:textId="77777777" w:rsidR="005C60B6" w:rsidRPr="005C60B6" w:rsidRDefault="005C60B6" w:rsidP="00F03084">
      <w:pPr>
        <w:spacing w:line="360" w:lineRule="auto"/>
        <w:ind w:firstLine="567"/>
        <w:jc w:val="both"/>
        <w:rPr>
          <w:rFonts w:asciiTheme="minorHAnsi" w:hAnsiTheme="minorHAnsi"/>
          <w:sz w:val="22"/>
          <w:szCs w:val="22"/>
        </w:rPr>
      </w:pPr>
      <w:r w:rsidRPr="005C60B6">
        <w:rPr>
          <w:rFonts w:asciiTheme="minorHAnsi" w:hAnsiTheme="minorHAnsi"/>
          <w:sz w:val="22"/>
          <w:szCs w:val="22"/>
        </w:rPr>
        <w:t>Wynik netto Spółki jest uwarunkowany z jednej strony wyższą sprzedażą, z drugiej utrzymaniem w racjonalnych proporcjach pozostałych kosztów, głównie stałych i stało-zmiennych. Wzrost efektywności pracy  znajduje odzwierciedlenie w ni</w:t>
      </w:r>
      <w:r w:rsidR="00581889">
        <w:rPr>
          <w:rFonts w:asciiTheme="minorHAnsi" w:hAnsiTheme="minorHAnsi"/>
          <w:sz w:val="22"/>
          <w:szCs w:val="22"/>
        </w:rPr>
        <w:t xml:space="preserve">ewielkim wzroście wynagrodzeń. </w:t>
      </w:r>
      <w:r w:rsidRPr="005C60B6">
        <w:rPr>
          <w:rFonts w:asciiTheme="minorHAnsi" w:hAnsiTheme="minorHAnsi"/>
          <w:sz w:val="22"/>
          <w:szCs w:val="22"/>
        </w:rPr>
        <w:lastRenderedPageBreak/>
        <w:t>Pozostałe czynniki jak koszty finansowe, opłaty i podatki, pozostał</w:t>
      </w:r>
      <w:r w:rsidR="00F03084">
        <w:rPr>
          <w:rFonts w:asciiTheme="minorHAnsi" w:hAnsiTheme="minorHAnsi"/>
          <w:sz w:val="22"/>
          <w:szCs w:val="22"/>
        </w:rPr>
        <w:t>e koszty rodzajowe są łącznie poró</w:t>
      </w:r>
      <w:r w:rsidRPr="005C60B6">
        <w:rPr>
          <w:rFonts w:asciiTheme="minorHAnsi" w:hAnsiTheme="minorHAnsi"/>
          <w:sz w:val="22"/>
          <w:szCs w:val="22"/>
        </w:rPr>
        <w:t>wnywalne lub ich wzrost lub spadek miały drugorzędne znaczenie dla wyniku Spółki.</w:t>
      </w:r>
    </w:p>
    <w:p w14:paraId="25F110DF" w14:textId="77777777" w:rsidR="005C60B6" w:rsidRDefault="005C60B6" w:rsidP="00F03084">
      <w:pPr>
        <w:spacing w:line="360" w:lineRule="auto"/>
        <w:ind w:firstLine="567"/>
        <w:jc w:val="both"/>
        <w:rPr>
          <w:rFonts w:asciiTheme="minorHAnsi" w:hAnsiTheme="minorHAnsi"/>
          <w:sz w:val="22"/>
          <w:szCs w:val="22"/>
        </w:rPr>
      </w:pPr>
      <w:r w:rsidRPr="005C60B6">
        <w:rPr>
          <w:rFonts w:asciiTheme="minorHAnsi" w:hAnsiTheme="minorHAnsi"/>
          <w:sz w:val="22"/>
          <w:szCs w:val="22"/>
        </w:rPr>
        <w:t xml:space="preserve">Struktura aktywów i pasywów jest korzystna z punktu widzenia płynności spółki.  Spółka </w:t>
      </w:r>
      <w:r w:rsidR="00F03084">
        <w:rPr>
          <w:rFonts w:asciiTheme="minorHAnsi" w:hAnsiTheme="minorHAnsi"/>
          <w:sz w:val="22"/>
          <w:szCs w:val="22"/>
        </w:rPr>
        <w:br/>
      </w:r>
      <w:r w:rsidRPr="005C60B6">
        <w:rPr>
          <w:rFonts w:asciiTheme="minorHAnsi" w:hAnsiTheme="minorHAnsi"/>
          <w:sz w:val="22"/>
          <w:szCs w:val="22"/>
        </w:rPr>
        <w:t xml:space="preserve">na bieżąco reguluje wszystkie zobowiązania, nie pojawiły się żadne istotne przeterminowane należności. W pierwszym półroczu 2016 r.  Zarząd  Spółki  realizował  procesy związane z bieżącą działalnością i tak: </w:t>
      </w:r>
    </w:p>
    <w:p w14:paraId="2C20FE13" w14:textId="77777777" w:rsidR="00F10DD5" w:rsidRPr="00F10DD5" w:rsidRDefault="00F10DD5" w:rsidP="00F03084">
      <w:pPr>
        <w:spacing w:line="360" w:lineRule="auto"/>
        <w:ind w:firstLine="567"/>
        <w:jc w:val="both"/>
        <w:rPr>
          <w:rFonts w:asciiTheme="minorHAnsi" w:hAnsiTheme="minorHAnsi"/>
          <w:sz w:val="16"/>
          <w:szCs w:val="16"/>
        </w:rPr>
      </w:pPr>
    </w:p>
    <w:p w14:paraId="08BFE830" w14:textId="77777777" w:rsidR="005C60B6" w:rsidRPr="005C60B6" w:rsidRDefault="00F10DD5" w:rsidP="00D73705">
      <w:pPr>
        <w:numPr>
          <w:ilvl w:val="0"/>
          <w:numId w:val="7"/>
        </w:numPr>
        <w:tabs>
          <w:tab w:val="clear" w:pos="360"/>
        </w:tabs>
        <w:spacing w:line="360" w:lineRule="auto"/>
        <w:ind w:left="1134" w:hanging="567"/>
        <w:jc w:val="both"/>
        <w:rPr>
          <w:rFonts w:asciiTheme="minorHAnsi" w:hAnsiTheme="minorHAnsi"/>
          <w:sz w:val="22"/>
          <w:szCs w:val="22"/>
        </w:rPr>
      </w:pPr>
      <w:r>
        <w:rPr>
          <w:rFonts w:asciiTheme="minorHAnsi" w:hAnsiTheme="minorHAnsi"/>
          <w:sz w:val="22"/>
          <w:szCs w:val="22"/>
        </w:rPr>
        <w:t>d</w:t>
      </w:r>
      <w:r w:rsidR="005C60B6" w:rsidRPr="005C60B6">
        <w:rPr>
          <w:rFonts w:asciiTheme="minorHAnsi" w:hAnsiTheme="minorHAnsi"/>
          <w:sz w:val="22"/>
          <w:szCs w:val="22"/>
        </w:rPr>
        <w:t>ywersyfikacji źródeł przychodów, m.in. poprzez pozyskanie kontraktów eksportowych</w:t>
      </w:r>
    </w:p>
    <w:p w14:paraId="453B1F47" w14:textId="77777777" w:rsidR="005C60B6" w:rsidRPr="005C60B6" w:rsidRDefault="00F10DD5" w:rsidP="00D73705">
      <w:pPr>
        <w:numPr>
          <w:ilvl w:val="0"/>
          <w:numId w:val="7"/>
        </w:numPr>
        <w:tabs>
          <w:tab w:val="clear" w:pos="360"/>
        </w:tabs>
        <w:spacing w:line="360" w:lineRule="auto"/>
        <w:ind w:left="1134" w:hanging="567"/>
        <w:jc w:val="both"/>
        <w:rPr>
          <w:rFonts w:asciiTheme="minorHAnsi" w:hAnsiTheme="minorHAnsi"/>
          <w:sz w:val="22"/>
          <w:szCs w:val="22"/>
        </w:rPr>
      </w:pPr>
      <w:r>
        <w:rPr>
          <w:rFonts w:asciiTheme="minorHAnsi" w:hAnsiTheme="minorHAnsi"/>
          <w:sz w:val="22"/>
          <w:szCs w:val="22"/>
        </w:rPr>
        <w:t>o</w:t>
      </w:r>
      <w:r w:rsidR="005C60B6" w:rsidRPr="005C60B6">
        <w:rPr>
          <w:rFonts w:asciiTheme="minorHAnsi" w:hAnsiTheme="minorHAnsi"/>
          <w:sz w:val="22"/>
          <w:szCs w:val="22"/>
        </w:rPr>
        <w:t>g</w:t>
      </w:r>
      <w:r>
        <w:rPr>
          <w:rFonts w:asciiTheme="minorHAnsi" w:hAnsiTheme="minorHAnsi"/>
          <w:sz w:val="22"/>
          <w:szCs w:val="22"/>
        </w:rPr>
        <w:t>r</w:t>
      </w:r>
      <w:r w:rsidR="005C60B6" w:rsidRPr="005C60B6">
        <w:rPr>
          <w:rFonts w:asciiTheme="minorHAnsi" w:hAnsiTheme="minorHAnsi"/>
          <w:sz w:val="22"/>
          <w:szCs w:val="22"/>
        </w:rPr>
        <w:t>aniczania kosztów materiałowych</w:t>
      </w:r>
      <w:r>
        <w:rPr>
          <w:rFonts w:asciiTheme="minorHAnsi" w:hAnsiTheme="minorHAnsi"/>
          <w:sz w:val="22"/>
          <w:szCs w:val="22"/>
        </w:rPr>
        <w:t>,</w:t>
      </w:r>
    </w:p>
    <w:p w14:paraId="082BB638" w14:textId="77777777" w:rsidR="005C60B6" w:rsidRPr="005C60B6" w:rsidRDefault="00F10DD5" w:rsidP="00D73705">
      <w:pPr>
        <w:numPr>
          <w:ilvl w:val="0"/>
          <w:numId w:val="7"/>
        </w:numPr>
        <w:tabs>
          <w:tab w:val="clear" w:pos="360"/>
        </w:tabs>
        <w:spacing w:line="360" w:lineRule="auto"/>
        <w:ind w:left="1134" w:hanging="567"/>
        <w:jc w:val="both"/>
        <w:rPr>
          <w:rFonts w:asciiTheme="minorHAnsi" w:hAnsiTheme="minorHAnsi"/>
          <w:sz w:val="22"/>
          <w:szCs w:val="22"/>
        </w:rPr>
      </w:pPr>
      <w:r>
        <w:rPr>
          <w:rFonts w:asciiTheme="minorHAnsi" w:hAnsiTheme="minorHAnsi"/>
          <w:sz w:val="22"/>
          <w:szCs w:val="22"/>
        </w:rPr>
        <w:t>w</w:t>
      </w:r>
      <w:r w:rsidR="005C60B6" w:rsidRPr="005C60B6">
        <w:rPr>
          <w:rFonts w:asciiTheme="minorHAnsi" w:hAnsiTheme="minorHAnsi"/>
          <w:sz w:val="22"/>
          <w:szCs w:val="22"/>
        </w:rPr>
        <w:t>iększego udziału w realizowanych zleceniach własnego personelu, kosztem ograniczenia korzystania z firm zewnętrznych</w:t>
      </w:r>
      <w:r>
        <w:rPr>
          <w:rFonts w:asciiTheme="minorHAnsi" w:hAnsiTheme="minorHAnsi"/>
          <w:sz w:val="22"/>
          <w:szCs w:val="22"/>
        </w:rPr>
        <w:t>,</w:t>
      </w:r>
    </w:p>
    <w:p w14:paraId="0FFA4A81" w14:textId="77777777" w:rsidR="005C60B6" w:rsidRPr="005C60B6" w:rsidRDefault="00F10DD5" w:rsidP="00D73705">
      <w:pPr>
        <w:numPr>
          <w:ilvl w:val="0"/>
          <w:numId w:val="7"/>
        </w:numPr>
        <w:tabs>
          <w:tab w:val="clear" w:pos="360"/>
        </w:tabs>
        <w:spacing w:line="360" w:lineRule="auto"/>
        <w:ind w:left="1134" w:hanging="567"/>
        <w:jc w:val="both"/>
        <w:rPr>
          <w:rFonts w:asciiTheme="minorHAnsi" w:hAnsiTheme="minorHAnsi"/>
          <w:sz w:val="22"/>
          <w:szCs w:val="22"/>
        </w:rPr>
      </w:pPr>
      <w:r>
        <w:rPr>
          <w:rFonts w:asciiTheme="minorHAnsi" w:hAnsiTheme="minorHAnsi"/>
          <w:sz w:val="22"/>
          <w:szCs w:val="22"/>
        </w:rPr>
        <w:t>z</w:t>
      </w:r>
      <w:r w:rsidR="005C60B6" w:rsidRPr="005C60B6">
        <w:rPr>
          <w:rFonts w:asciiTheme="minorHAnsi" w:hAnsiTheme="minorHAnsi"/>
          <w:sz w:val="22"/>
          <w:szCs w:val="22"/>
        </w:rPr>
        <w:t>miana zasady rozliczania kosztów zarządu i kosztów sprzedaży na poszczególne centra przychodów i kosztów</w:t>
      </w:r>
      <w:r>
        <w:rPr>
          <w:rFonts w:asciiTheme="minorHAnsi" w:hAnsiTheme="minorHAnsi"/>
          <w:sz w:val="22"/>
          <w:szCs w:val="22"/>
        </w:rPr>
        <w:t>,</w:t>
      </w:r>
    </w:p>
    <w:p w14:paraId="1008E745" w14:textId="77777777" w:rsidR="005C60B6" w:rsidRPr="005C60B6" w:rsidRDefault="00F10DD5" w:rsidP="00D73705">
      <w:pPr>
        <w:numPr>
          <w:ilvl w:val="0"/>
          <w:numId w:val="7"/>
        </w:numPr>
        <w:tabs>
          <w:tab w:val="clear" w:pos="360"/>
        </w:tabs>
        <w:spacing w:line="360" w:lineRule="auto"/>
        <w:ind w:left="1134" w:hanging="567"/>
        <w:jc w:val="both"/>
        <w:rPr>
          <w:rFonts w:asciiTheme="minorHAnsi" w:hAnsiTheme="minorHAnsi"/>
          <w:sz w:val="22"/>
          <w:szCs w:val="22"/>
        </w:rPr>
      </w:pPr>
      <w:r>
        <w:rPr>
          <w:rFonts w:asciiTheme="minorHAnsi" w:hAnsiTheme="minorHAnsi"/>
          <w:sz w:val="22"/>
          <w:szCs w:val="22"/>
        </w:rPr>
        <w:t>u</w:t>
      </w:r>
      <w:r w:rsidR="005C60B6" w:rsidRPr="005C60B6">
        <w:rPr>
          <w:rFonts w:asciiTheme="minorHAnsi" w:hAnsiTheme="minorHAnsi"/>
          <w:sz w:val="22"/>
          <w:szCs w:val="22"/>
        </w:rPr>
        <w:t>sprawnienie prac działu projektów technicznych oraz działu przygotowania ofert</w:t>
      </w:r>
      <w:r>
        <w:rPr>
          <w:rFonts w:asciiTheme="minorHAnsi" w:hAnsiTheme="minorHAnsi"/>
          <w:sz w:val="22"/>
          <w:szCs w:val="22"/>
        </w:rPr>
        <w:t>,</w:t>
      </w:r>
    </w:p>
    <w:p w14:paraId="409D0294" w14:textId="77777777" w:rsidR="005C60B6" w:rsidRPr="005C60B6" w:rsidRDefault="005C60B6" w:rsidP="00D73705">
      <w:pPr>
        <w:numPr>
          <w:ilvl w:val="0"/>
          <w:numId w:val="7"/>
        </w:numPr>
        <w:tabs>
          <w:tab w:val="clear" w:pos="360"/>
        </w:tabs>
        <w:spacing w:line="360" w:lineRule="auto"/>
        <w:ind w:left="1134" w:hanging="567"/>
        <w:jc w:val="both"/>
        <w:rPr>
          <w:rFonts w:asciiTheme="minorHAnsi" w:hAnsiTheme="minorHAnsi"/>
          <w:sz w:val="22"/>
          <w:szCs w:val="22"/>
        </w:rPr>
      </w:pPr>
      <w:r w:rsidRPr="005C60B6">
        <w:rPr>
          <w:rFonts w:asciiTheme="minorHAnsi" w:hAnsiTheme="minorHAnsi"/>
          <w:sz w:val="22"/>
          <w:szCs w:val="22"/>
        </w:rPr>
        <w:t>ograniczenie wybranych kosztów, np. obniżenie ilości samochodów służbowych</w:t>
      </w:r>
      <w:r w:rsidR="00F10DD5">
        <w:rPr>
          <w:rFonts w:asciiTheme="minorHAnsi" w:hAnsiTheme="minorHAnsi"/>
          <w:sz w:val="22"/>
          <w:szCs w:val="22"/>
        </w:rPr>
        <w:t>.</w:t>
      </w:r>
    </w:p>
    <w:p w14:paraId="6278D0AA" w14:textId="77777777" w:rsidR="005C60B6" w:rsidRPr="00F10DD5" w:rsidRDefault="005C60B6" w:rsidP="00F03084">
      <w:pPr>
        <w:spacing w:line="360" w:lineRule="auto"/>
        <w:ind w:left="1134" w:hanging="567"/>
        <w:jc w:val="both"/>
        <w:rPr>
          <w:rFonts w:asciiTheme="minorHAnsi" w:hAnsiTheme="minorHAnsi"/>
          <w:sz w:val="16"/>
          <w:szCs w:val="16"/>
        </w:rPr>
      </w:pPr>
    </w:p>
    <w:p w14:paraId="4FE9EEFC" w14:textId="77777777" w:rsidR="005C60B6" w:rsidRDefault="005C60B6" w:rsidP="00F03084">
      <w:pPr>
        <w:spacing w:line="360" w:lineRule="auto"/>
        <w:ind w:left="1134" w:hanging="567"/>
        <w:jc w:val="both"/>
        <w:rPr>
          <w:rFonts w:asciiTheme="minorHAnsi" w:hAnsiTheme="minorHAnsi"/>
          <w:sz w:val="22"/>
          <w:szCs w:val="22"/>
        </w:rPr>
      </w:pPr>
      <w:r w:rsidRPr="005C60B6">
        <w:rPr>
          <w:rFonts w:asciiTheme="minorHAnsi" w:hAnsiTheme="minorHAnsi"/>
          <w:sz w:val="22"/>
          <w:szCs w:val="22"/>
        </w:rPr>
        <w:t xml:space="preserve">Do głównych czynników zewnętrznych wpływających na przyszłe wyniki Spółki zaliczyć należy: </w:t>
      </w:r>
    </w:p>
    <w:p w14:paraId="5C822298" w14:textId="77777777" w:rsidR="00F10DD5" w:rsidRPr="00F10DD5" w:rsidRDefault="00F10DD5" w:rsidP="00F03084">
      <w:pPr>
        <w:spacing w:line="360" w:lineRule="auto"/>
        <w:ind w:left="1134" w:hanging="567"/>
        <w:jc w:val="both"/>
        <w:rPr>
          <w:rFonts w:asciiTheme="minorHAnsi" w:hAnsiTheme="minorHAnsi"/>
          <w:sz w:val="16"/>
          <w:szCs w:val="16"/>
        </w:rPr>
      </w:pPr>
    </w:p>
    <w:p w14:paraId="07761463" w14:textId="77777777" w:rsidR="005C60B6" w:rsidRPr="005C60B6" w:rsidRDefault="005C60B6" w:rsidP="00D73705">
      <w:pPr>
        <w:pStyle w:val="Akapitzlist"/>
        <w:numPr>
          <w:ilvl w:val="0"/>
          <w:numId w:val="26"/>
        </w:numPr>
        <w:spacing w:line="360" w:lineRule="auto"/>
        <w:ind w:left="1134" w:hanging="567"/>
        <w:jc w:val="both"/>
        <w:rPr>
          <w:rFonts w:asciiTheme="minorHAnsi" w:hAnsiTheme="minorHAnsi"/>
          <w:sz w:val="22"/>
          <w:szCs w:val="22"/>
        </w:rPr>
      </w:pPr>
      <w:r w:rsidRPr="005C60B6">
        <w:rPr>
          <w:rFonts w:asciiTheme="minorHAnsi" w:hAnsiTheme="minorHAnsi"/>
          <w:sz w:val="22"/>
          <w:szCs w:val="22"/>
        </w:rPr>
        <w:t>sy</w:t>
      </w:r>
      <w:r w:rsidR="00B848C1">
        <w:rPr>
          <w:rFonts w:asciiTheme="minorHAnsi" w:hAnsiTheme="minorHAnsi"/>
          <w:sz w:val="22"/>
          <w:szCs w:val="22"/>
        </w:rPr>
        <w:t xml:space="preserve">tuacja gospodarcza i finansowa </w:t>
      </w:r>
      <w:r w:rsidRPr="005C60B6">
        <w:rPr>
          <w:rFonts w:asciiTheme="minorHAnsi" w:hAnsiTheme="minorHAnsi"/>
          <w:sz w:val="22"/>
          <w:szCs w:val="22"/>
        </w:rPr>
        <w:t>głównych kontrahentów o</w:t>
      </w:r>
      <w:r w:rsidR="00F10DD5">
        <w:rPr>
          <w:rFonts w:asciiTheme="minorHAnsi" w:hAnsiTheme="minorHAnsi"/>
          <w:sz w:val="22"/>
          <w:szCs w:val="22"/>
        </w:rPr>
        <w:t>raz ich możliwości inwestycyjne,</w:t>
      </w:r>
      <w:r w:rsidRPr="005C60B6">
        <w:rPr>
          <w:rFonts w:asciiTheme="minorHAnsi" w:hAnsiTheme="minorHAnsi"/>
          <w:sz w:val="22"/>
          <w:szCs w:val="22"/>
        </w:rPr>
        <w:t xml:space="preserve"> </w:t>
      </w:r>
    </w:p>
    <w:p w14:paraId="57F8D468" w14:textId="77777777" w:rsidR="005C60B6" w:rsidRPr="005C60B6" w:rsidRDefault="005C60B6" w:rsidP="00D73705">
      <w:pPr>
        <w:numPr>
          <w:ilvl w:val="0"/>
          <w:numId w:val="25"/>
        </w:numPr>
        <w:spacing w:line="360" w:lineRule="auto"/>
        <w:ind w:left="1134" w:hanging="567"/>
        <w:jc w:val="both"/>
        <w:rPr>
          <w:rFonts w:asciiTheme="minorHAnsi" w:hAnsiTheme="minorHAnsi"/>
          <w:sz w:val="22"/>
          <w:szCs w:val="22"/>
        </w:rPr>
      </w:pPr>
      <w:r w:rsidRPr="005C60B6">
        <w:rPr>
          <w:rFonts w:asciiTheme="minorHAnsi" w:hAnsiTheme="minorHAnsi"/>
          <w:sz w:val="22"/>
          <w:szCs w:val="22"/>
        </w:rPr>
        <w:t xml:space="preserve">utrzymywanie się silnej  konkurencji  w  segmencie  utrzymania ruchu, remontów </w:t>
      </w:r>
      <w:r w:rsidR="00F10DD5">
        <w:rPr>
          <w:rFonts w:asciiTheme="minorHAnsi" w:hAnsiTheme="minorHAnsi"/>
          <w:sz w:val="22"/>
          <w:szCs w:val="22"/>
        </w:rPr>
        <w:br/>
      </w:r>
      <w:r w:rsidRPr="005C60B6">
        <w:rPr>
          <w:rFonts w:asciiTheme="minorHAnsi" w:hAnsiTheme="minorHAnsi"/>
          <w:sz w:val="22"/>
          <w:szCs w:val="22"/>
        </w:rPr>
        <w:t>i modernizacji oraz głównie kompleksowej  realizacji  zadań  in</w:t>
      </w:r>
      <w:r w:rsidR="00F10DD5">
        <w:rPr>
          <w:rFonts w:asciiTheme="minorHAnsi" w:hAnsiTheme="minorHAnsi"/>
          <w:sz w:val="22"/>
          <w:szCs w:val="22"/>
        </w:rPr>
        <w:t>westycyjnych  na rynku czeskim,</w:t>
      </w:r>
    </w:p>
    <w:p w14:paraId="7FF98DB1" w14:textId="77777777" w:rsidR="005C60B6" w:rsidRPr="005C60B6" w:rsidRDefault="005C60B6" w:rsidP="00D73705">
      <w:pPr>
        <w:numPr>
          <w:ilvl w:val="0"/>
          <w:numId w:val="25"/>
        </w:numPr>
        <w:spacing w:line="360" w:lineRule="auto"/>
        <w:ind w:left="1134" w:hanging="567"/>
        <w:jc w:val="both"/>
        <w:rPr>
          <w:rFonts w:asciiTheme="minorHAnsi" w:hAnsiTheme="minorHAnsi"/>
          <w:sz w:val="22"/>
          <w:szCs w:val="22"/>
        </w:rPr>
      </w:pPr>
      <w:r w:rsidRPr="005C60B6">
        <w:rPr>
          <w:rFonts w:asciiTheme="minorHAnsi" w:hAnsiTheme="minorHAnsi"/>
          <w:sz w:val="22"/>
          <w:szCs w:val="22"/>
        </w:rPr>
        <w:t xml:space="preserve">utrzymanie  pozycji  Spółki  jako  głównego  dostawcy  usług  z  zakresu utrzymania ruchu i remontów urządzeń dla </w:t>
      </w:r>
      <w:proofErr w:type="spellStart"/>
      <w:r w:rsidRPr="005C60B6">
        <w:rPr>
          <w:rFonts w:asciiTheme="minorHAnsi" w:hAnsiTheme="minorHAnsi"/>
          <w:sz w:val="22"/>
          <w:szCs w:val="22"/>
        </w:rPr>
        <w:t>Synthos</w:t>
      </w:r>
      <w:proofErr w:type="spellEnd"/>
      <w:r w:rsidRPr="005C60B6">
        <w:rPr>
          <w:rFonts w:asciiTheme="minorHAnsi" w:hAnsiTheme="minorHAnsi"/>
          <w:sz w:val="22"/>
          <w:szCs w:val="22"/>
        </w:rPr>
        <w:t xml:space="preserve"> S.A. oraz </w:t>
      </w:r>
      <w:proofErr w:type="spellStart"/>
      <w:r w:rsidRPr="005C60B6">
        <w:rPr>
          <w:rFonts w:asciiTheme="minorHAnsi" w:hAnsiTheme="minorHAnsi"/>
          <w:sz w:val="22"/>
          <w:szCs w:val="22"/>
        </w:rPr>
        <w:t>Spolana</w:t>
      </w:r>
      <w:proofErr w:type="spellEnd"/>
      <w:r w:rsidRPr="005C60B6">
        <w:rPr>
          <w:rFonts w:asciiTheme="minorHAnsi" w:hAnsiTheme="minorHAnsi"/>
          <w:sz w:val="22"/>
          <w:szCs w:val="22"/>
        </w:rPr>
        <w:t xml:space="preserve"> </w:t>
      </w:r>
      <w:proofErr w:type="spellStart"/>
      <w:r w:rsidRPr="005C60B6">
        <w:rPr>
          <w:rFonts w:asciiTheme="minorHAnsi" w:hAnsiTheme="minorHAnsi"/>
          <w:sz w:val="22"/>
          <w:szCs w:val="22"/>
        </w:rPr>
        <w:t>a.s</w:t>
      </w:r>
      <w:proofErr w:type="spellEnd"/>
      <w:r w:rsidRPr="005C60B6">
        <w:rPr>
          <w:rFonts w:asciiTheme="minorHAnsi" w:hAnsiTheme="minorHAnsi"/>
          <w:sz w:val="22"/>
          <w:szCs w:val="22"/>
        </w:rPr>
        <w:t xml:space="preserve">. </w:t>
      </w:r>
    </w:p>
    <w:p w14:paraId="23BDBF6E" w14:textId="77777777" w:rsidR="005C60B6" w:rsidRPr="00F10DD5" w:rsidRDefault="005C60B6" w:rsidP="005C60B6">
      <w:pPr>
        <w:spacing w:line="360" w:lineRule="auto"/>
        <w:jc w:val="both"/>
        <w:rPr>
          <w:rFonts w:asciiTheme="minorHAnsi" w:hAnsiTheme="minorHAnsi"/>
          <w:sz w:val="16"/>
          <w:szCs w:val="16"/>
        </w:rPr>
      </w:pPr>
    </w:p>
    <w:p w14:paraId="4165A9D1" w14:textId="77777777" w:rsidR="00F10DD5" w:rsidRDefault="005C60B6" w:rsidP="00F10DD5">
      <w:pPr>
        <w:spacing w:line="360" w:lineRule="auto"/>
        <w:ind w:left="567"/>
        <w:jc w:val="both"/>
        <w:rPr>
          <w:rFonts w:asciiTheme="minorHAnsi" w:hAnsiTheme="minorHAnsi"/>
          <w:sz w:val="22"/>
          <w:szCs w:val="22"/>
        </w:rPr>
      </w:pPr>
      <w:r w:rsidRPr="005C60B6">
        <w:rPr>
          <w:rFonts w:asciiTheme="minorHAnsi" w:hAnsiTheme="minorHAnsi"/>
          <w:sz w:val="22"/>
          <w:szCs w:val="22"/>
        </w:rPr>
        <w:t xml:space="preserve">Natomiast do czynników wewnętrznych wpływających na przyszłe wyniki Spółki zaliczyć należy: </w:t>
      </w:r>
    </w:p>
    <w:p w14:paraId="74307C02" w14:textId="77777777" w:rsidR="005C60B6" w:rsidRPr="005C60B6" w:rsidRDefault="005C60B6" w:rsidP="00F10DD5">
      <w:pPr>
        <w:spacing w:line="360" w:lineRule="auto"/>
        <w:ind w:left="567"/>
        <w:jc w:val="both"/>
        <w:rPr>
          <w:rFonts w:asciiTheme="minorHAnsi" w:hAnsiTheme="minorHAnsi"/>
          <w:sz w:val="22"/>
          <w:szCs w:val="22"/>
        </w:rPr>
      </w:pPr>
      <w:r w:rsidRPr="005C60B6">
        <w:rPr>
          <w:rFonts w:asciiTheme="minorHAnsi" w:hAnsiTheme="minorHAnsi"/>
          <w:sz w:val="22"/>
          <w:szCs w:val="22"/>
        </w:rPr>
        <w:t xml:space="preserve"> </w:t>
      </w:r>
    </w:p>
    <w:p w14:paraId="031244B4" w14:textId="77777777" w:rsidR="005C60B6" w:rsidRPr="005C60B6" w:rsidRDefault="005C60B6" w:rsidP="00D73705">
      <w:pPr>
        <w:numPr>
          <w:ilvl w:val="0"/>
          <w:numId w:val="24"/>
        </w:numPr>
        <w:spacing w:line="360" w:lineRule="auto"/>
        <w:ind w:left="1134" w:hanging="567"/>
        <w:jc w:val="both"/>
        <w:rPr>
          <w:rFonts w:asciiTheme="minorHAnsi" w:hAnsiTheme="minorHAnsi"/>
          <w:sz w:val="22"/>
          <w:szCs w:val="22"/>
        </w:rPr>
      </w:pPr>
      <w:r w:rsidRPr="005C60B6">
        <w:rPr>
          <w:rFonts w:asciiTheme="minorHAnsi" w:hAnsiTheme="minorHAnsi"/>
          <w:sz w:val="22"/>
          <w:szCs w:val="22"/>
        </w:rPr>
        <w:t xml:space="preserve">kontunuowanie współpracy z firmą </w:t>
      </w:r>
      <w:proofErr w:type="spellStart"/>
      <w:r w:rsidRPr="005C60B6">
        <w:rPr>
          <w:rFonts w:asciiTheme="minorHAnsi" w:hAnsiTheme="minorHAnsi"/>
          <w:sz w:val="22"/>
          <w:szCs w:val="22"/>
        </w:rPr>
        <w:t>Lovochemie</w:t>
      </w:r>
      <w:proofErr w:type="spellEnd"/>
      <w:r w:rsidRPr="005C60B6">
        <w:rPr>
          <w:rFonts w:asciiTheme="minorHAnsi" w:hAnsiTheme="minorHAnsi"/>
          <w:sz w:val="22"/>
          <w:szCs w:val="22"/>
        </w:rPr>
        <w:t xml:space="preserve"> z grupy </w:t>
      </w:r>
      <w:proofErr w:type="spellStart"/>
      <w:r w:rsidRPr="005C60B6">
        <w:rPr>
          <w:rFonts w:asciiTheme="minorHAnsi" w:hAnsiTheme="minorHAnsi"/>
          <w:sz w:val="22"/>
          <w:szCs w:val="22"/>
        </w:rPr>
        <w:t>Agrofert</w:t>
      </w:r>
      <w:proofErr w:type="spellEnd"/>
      <w:r w:rsidRPr="005C60B6">
        <w:rPr>
          <w:rFonts w:asciiTheme="minorHAnsi" w:hAnsiTheme="minorHAnsi"/>
          <w:sz w:val="22"/>
          <w:szCs w:val="22"/>
        </w:rPr>
        <w:t xml:space="preserve">, dla której </w:t>
      </w:r>
      <w:r w:rsidR="00F10DD5">
        <w:rPr>
          <w:rFonts w:asciiTheme="minorHAnsi" w:hAnsiTheme="minorHAnsi"/>
          <w:sz w:val="22"/>
          <w:szCs w:val="22"/>
        </w:rPr>
        <w:br/>
      </w:r>
      <w:r w:rsidRPr="005C60B6">
        <w:rPr>
          <w:rFonts w:asciiTheme="minorHAnsi" w:hAnsiTheme="minorHAnsi"/>
          <w:sz w:val="22"/>
          <w:szCs w:val="22"/>
        </w:rPr>
        <w:t>K-</w:t>
      </w:r>
      <w:proofErr w:type="spellStart"/>
      <w:r w:rsidRPr="005C60B6">
        <w:rPr>
          <w:rFonts w:asciiTheme="minorHAnsi" w:hAnsiTheme="minorHAnsi"/>
          <w:sz w:val="22"/>
          <w:szCs w:val="22"/>
        </w:rPr>
        <w:t>Protos</w:t>
      </w:r>
      <w:proofErr w:type="spellEnd"/>
      <w:r w:rsidRPr="005C60B6">
        <w:rPr>
          <w:rFonts w:asciiTheme="minorHAnsi" w:hAnsiTheme="minorHAnsi"/>
          <w:sz w:val="22"/>
          <w:szCs w:val="22"/>
        </w:rPr>
        <w:t xml:space="preserve"> świadczy usługi utrzymania ruchu w sektorze mechanicznym</w:t>
      </w:r>
      <w:r w:rsidR="00F10DD5">
        <w:rPr>
          <w:rFonts w:asciiTheme="minorHAnsi" w:hAnsiTheme="minorHAnsi"/>
          <w:sz w:val="22"/>
          <w:szCs w:val="22"/>
        </w:rPr>
        <w:t>,</w:t>
      </w:r>
    </w:p>
    <w:p w14:paraId="6EE25720" w14:textId="77777777" w:rsidR="00F10DD5" w:rsidRDefault="005C60B6" w:rsidP="00D73705">
      <w:pPr>
        <w:numPr>
          <w:ilvl w:val="0"/>
          <w:numId w:val="24"/>
        </w:numPr>
        <w:spacing w:line="360" w:lineRule="auto"/>
        <w:ind w:left="1134" w:hanging="567"/>
        <w:jc w:val="both"/>
        <w:rPr>
          <w:rFonts w:asciiTheme="minorHAnsi" w:hAnsiTheme="minorHAnsi"/>
          <w:sz w:val="22"/>
          <w:szCs w:val="22"/>
        </w:rPr>
      </w:pPr>
      <w:r w:rsidRPr="005C60B6">
        <w:rPr>
          <w:rFonts w:asciiTheme="minorHAnsi" w:hAnsiTheme="minorHAnsi"/>
          <w:sz w:val="22"/>
          <w:szCs w:val="22"/>
        </w:rPr>
        <w:t>Inwestycji w zwiększenie   zdolności   osobowo   –   rzeczowych   Spółki   do   kompleksowej   realizacji w obszarach projektowania, w których dotychczas spółka posiłk</w:t>
      </w:r>
      <w:r w:rsidR="00F10DD5">
        <w:rPr>
          <w:rFonts w:asciiTheme="minorHAnsi" w:hAnsiTheme="minorHAnsi"/>
          <w:sz w:val="22"/>
          <w:szCs w:val="22"/>
        </w:rPr>
        <w:t>owała się firmami kooperacyjnymi.</w:t>
      </w:r>
    </w:p>
    <w:p w14:paraId="7C354722" w14:textId="77777777" w:rsidR="005C60B6" w:rsidRPr="005C60B6" w:rsidRDefault="005C60B6" w:rsidP="00F10DD5">
      <w:pPr>
        <w:spacing w:line="360" w:lineRule="auto"/>
        <w:ind w:left="1134"/>
        <w:jc w:val="both"/>
        <w:rPr>
          <w:rFonts w:asciiTheme="minorHAnsi" w:hAnsiTheme="minorHAnsi"/>
          <w:sz w:val="22"/>
          <w:szCs w:val="22"/>
        </w:rPr>
      </w:pPr>
      <w:r w:rsidRPr="005C60B6">
        <w:rPr>
          <w:rFonts w:asciiTheme="minorHAnsi" w:hAnsiTheme="minorHAnsi"/>
          <w:sz w:val="22"/>
          <w:szCs w:val="22"/>
        </w:rPr>
        <w:t xml:space="preserve"> </w:t>
      </w:r>
    </w:p>
    <w:p w14:paraId="22F6D279" w14:textId="77777777" w:rsidR="005C60B6" w:rsidRPr="005C60B6" w:rsidRDefault="005C60B6" w:rsidP="005C60B6">
      <w:pPr>
        <w:spacing w:line="360" w:lineRule="auto"/>
        <w:ind w:firstLine="567"/>
        <w:jc w:val="both"/>
        <w:rPr>
          <w:rFonts w:asciiTheme="minorHAnsi" w:hAnsiTheme="minorHAnsi"/>
          <w:color w:val="FF0000"/>
          <w:sz w:val="22"/>
          <w:szCs w:val="22"/>
        </w:rPr>
      </w:pPr>
      <w:r w:rsidRPr="005C60B6">
        <w:rPr>
          <w:rFonts w:asciiTheme="minorHAnsi" w:hAnsiTheme="minorHAnsi"/>
          <w:sz w:val="22"/>
          <w:szCs w:val="22"/>
        </w:rPr>
        <w:lastRenderedPageBreak/>
        <w:t xml:space="preserve">Spółka nie odnotowała </w:t>
      </w:r>
      <w:r w:rsidRPr="005C60B6">
        <w:rPr>
          <w:rFonts w:asciiTheme="minorHAnsi" w:eastAsia="Calibri" w:hAnsiTheme="minorHAnsi"/>
          <w:sz w:val="22"/>
          <w:szCs w:val="22"/>
        </w:rPr>
        <w:t xml:space="preserve">zdarzeń mających w ocenie Zarządu znaczący wpływ na działalność </w:t>
      </w:r>
      <w:r w:rsidR="00F10DD5">
        <w:rPr>
          <w:rFonts w:asciiTheme="minorHAnsi" w:eastAsia="Calibri" w:hAnsiTheme="minorHAnsi"/>
          <w:sz w:val="22"/>
          <w:szCs w:val="22"/>
        </w:rPr>
        <w:br/>
      </w:r>
      <w:r w:rsidRPr="005C60B6">
        <w:rPr>
          <w:rFonts w:asciiTheme="minorHAnsi" w:eastAsia="Calibri" w:hAnsiTheme="minorHAnsi"/>
          <w:sz w:val="22"/>
          <w:szCs w:val="22"/>
        </w:rPr>
        <w:t>oraz wynik finansowy Spółki w roku obrotowym lub których wpływ jest możliwy w następnych latach.</w:t>
      </w:r>
    </w:p>
    <w:p w14:paraId="65EB9E2A" w14:textId="413F5566" w:rsidR="000A3917" w:rsidRDefault="000A3917">
      <w:pPr>
        <w:rPr>
          <w:rFonts w:asciiTheme="minorHAnsi" w:hAnsiTheme="minorHAnsi" w:cs="Arial"/>
          <w:b/>
        </w:rPr>
      </w:pPr>
    </w:p>
    <w:p w14:paraId="1B1F9930" w14:textId="77777777" w:rsidR="00E64385" w:rsidRPr="00F10DD5" w:rsidRDefault="00E64385" w:rsidP="00E64385">
      <w:pPr>
        <w:widowControl w:val="0"/>
        <w:tabs>
          <w:tab w:val="left" w:pos="540"/>
        </w:tabs>
        <w:spacing w:line="360" w:lineRule="auto"/>
        <w:ind w:firstLine="567"/>
        <w:jc w:val="both"/>
        <w:rPr>
          <w:rFonts w:asciiTheme="minorHAnsi" w:hAnsiTheme="minorHAnsi" w:cs="Arial"/>
          <w:b/>
        </w:rPr>
      </w:pPr>
      <w:r w:rsidRPr="00F10DD5">
        <w:rPr>
          <w:rFonts w:asciiTheme="minorHAnsi" w:hAnsiTheme="minorHAnsi" w:cs="Arial"/>
          <w:b/>
        </w:rPr>
        <w:t>Segmenty działalności</w:t>
      </w:r>
    </w:p>
    <w:tbl>
      <w:tblPr>
        <w:tblW w:w="7818" w:type="dxa"/>
        <w:jc w:val="center"/>
        <w:tblCellMar>
          <w:left w:w="70" w:type="dxa"/>
          <w:right w:w="70" w:type="dxa"/>
        </w:tblCellMar>
        <w:tblLook w:val="04A0" w:firstRow="1" w:lastRow="0" w:firstColumn="1" w:lastColumn="0" w:noHBand="0" w:noVBand="1"/>
      </w:tblPr>
      <w:tblGrid>
        <w:gridCol w:w="4298"/>
        <w:gridCol w:w="1760"/>
        <w:gridCol w:w="1760"/>
      </w:tblGrid>
      <w:tr w:rsidR="00360EFC" w:rsidRPr="00360EFC" w14:paraId="401C6135" w14:textId="77777777" w:rsidTr="00B41C6B">
        <w:trPr>
          <w:trHeight w:val="255"/>
          <w:jc w:val="center"/>
        </w:trPr>
        <w:tc>
          <w:tcPr>
            <w:tcW w:w="4298" w:type="dxa"/>
            <w:tcBorders>
              <w:top w:val="nil"/>
              <w:left w:val="nil"/>
              <w:bottom w:val="nil"/>
              <w:right w:val="nil"/>
            </w:tcBorders>
            <w:shd w:val="clear" w:color="auto" w:fill="auto"/>
            <w:noWrap/>
            <w:vAlign w:val="center"/>
            <w:hideMark/>
          </w:tcPr>
          <w:p w14:paraId="26447771" w14:textId="77777777" w:rsidR="00E64385" w:rsidRPr="00360EFC" w:rsidRDefault="00E64385" w:rsidP="00E64385">
            <w:pPr>
              <w:ind w:firstLine="567"/>
              <w:rPr>
                <w:rFonts w:ascii="Calibri" w:hAnsi="Calibri" w:cs="Arial"/>
                <w:b/>
                <w:bCs/>
                <w:color w:val="FF0000"/>
                <w:sz w:val="20"/>
                <w:szCs w:val="20"/>
              </w:rPr>
            </w:pPr>
          </w:p>
        </w:tc>
        <w:tc>
          <w:tcPr>
            <w:tcW w:w="3520" w:type="dxa"/>
            <w:gridSpan w:val="2"/>
            <w:tcBorders>
              <w:top w:val="nil"/>
              <w:left w:val="nil"/>
              <w:bottom w:val="nil"/>
              <w:right w:val="nil"/>
            </w:tcBorders>
            <w:shd w:val="clear" w:color="auto" w:fill="auto"/>
            <w:vAlign w:val="center"/>
            <w:hideMark/>
          </w:tcPr>
          <w:p w14:paraId="2BA6FBF3" w14:textId="77777777" w:rsidR="00E64385" w:rsidRPr="0089026D" w:rsidRDefault="00E64385" w:rsidP="0089026D">
            <w:pPr>
              <w:jc w:val="center"/>
              <w:rPr>
                <w:rFonts w:ascii="Calibri" w:hAnsi="Calibri" w:cs="Arial"/>
                <w:b/>
                <w:bCs/>
                <w:sz w:val="18"/>
                <w:szCs w:val="18"/>
              </w:rPr>
            </w:pPr>
            <w:r w:rsidRPr="0089026D">
              <w:rPr>
                <w:rFonts w:ascii="Calibri" w:hAnsi="Calibri" w:cs="Arial"/>
                <w:b/>
                <w:bCs/>
                <w:sz w:val="18"/>
                <w:szCs w:val="18"/>
              </w:rPr>
              <w:t>okres obrotowy</w:t>
            </w:r>
          </w:p>
        </w:tc>
      </w:tr>
      <w:tr w:rsidR="00360EFC" w:rsidRPr="00360EFC" w14:paraId="7C764AFF" w14:textId="77777777" w:rsidTr="00B41C6B">
        <w:trPr>
          <w:trHeight w:val="255"/>
          <w:jc w:val="center"/>
        </w:trPr>
        <w:tc>
          <w:tcPr>
            <w:tcW w:w="4298" w:type="dxa"/>
            <w:tcBorders>
              <w:top w:val="nil"/>
              <w:left w:val="nil"/>
              <w:bottom w:val="nil"/>
              <w:right w:val="nil"/>
            </w:tcBorders>
            <w:shd w:val="clear" w:color="auto" w:fill="auto"/>
            <w:noWrap/>
            <w:vAlign w:val="center"/>
            <w:hideMark/>
          </w:tcPr>
          <w:p w14:paraId="1BCA167B" w14:textId="77777777" w:rsidR="00B41C6B" w:rsidRPr="00360EFC" w:rsidRDefault="00B41C6B" w:rsidP="00E64385">
            <w:pPr>
              <w:rPr>
                <w:rFonts w:ascii="Calibri" w:hAnsi="Calibri" w:cs="Arial"/>
                <w:b/>
                <w:bCs/>
                <w:color w:val="FF0000"/>
                <w:sz w:val="18"/>
                <w:szCs w:val="18"/>
              </w:rPr>
            </w:pPr>
          </w:p>
        </w:tc>
        <w:tc>
          <w:tcPr>
            <w:tcW w:w="1760" w:type="dxa"/>
            <w:tcBorders>
              <w:top w:val="nil"/>
              <w:left w:val="nil"/>
              <w:bottom w:val="nil"/>
              <w:right w:val="nil"/>
            </w:tcBorders>
            <w:shd w:val="clear" w:color="000000" w:fill="D8D8D8"/>
            <w:vAlign w:val="center"/>
            <w:hideMark/>
          </w:tcPr>
          <w:p w14:paraId="32CD3990" w14:textId="77777777" w:rsidR="00B41C6B" w:rsidRPr="0089026D" w:rsidRDefault="00B41C6B" w:rsidP="001702FD">
            <w:pPr>
              <w:jc w:val="center"/>
              <w:rPr>
                <w:rFonts w:ascii="Calibri" w:hAnsi="Calibri" w:cs="Arial"/>
                <w:b/>
                <w:bCs/>
                <w:sz w:val="18"/>
                <w:szCs w:val="18"/>
              </w:rPr>
            </w:pPr>
            <w:r w:rsidRPr="0089026D">
              <w:rPr>
                <w:rFonts w:ascii="Calibri" w:hAnsi="Calibri" w:cs="Arial"/>
                <w:b/>
                <w:bCs/>
                <w:sz w:val="18"/>
                <w:szCs w:val="18"/>
              </w:rPr>
              <w:t xml:space="preserve">za 6 miesięcy </w:t>
            </w:r>
          </w:p>
        </w:tc>
        <w:tc>
          <w:tcPr>
            <w:tcW w:w="1760" w:type="dxa"/>
            <w:tcBorders>
              <w:top w:val="nil"/>
              <w:left w:val="nil"/>
              <w:bottom w:val="nil"/>
              <w:right w:val="nil"/>
            </w:tcBorders>
            <w:shd w:val="clear" w:color="auto" w:fill="auto"/>
            <w:vAlign w:val="center"/>
            <w:hideMark/>
          </w:tcPr>
          <w:p w14:paraId="06260ABB" w14:textId="77777777" w:rsidR="00B41C6B" w:rsidRPr="0089026D" w:rsidRDefault="00B41C6B" w:rsidP="001702FD">
            <w:pPr>
              <w:jc w:val="center"/>
              <w:rPr>
                <w:rFonts w:ascii="Calibri" w:hAnsi="Calibri" w:cs="Arial"/>
                <w:b/>
                <w:bCs/>
                <w:sz w:val="18"/>
                <w:szCs w:val="18"/>
              </w:rPr>
            </w:pPr>
            <w:r w:rsidRPr="0089026D">
              <w:rPr>
                <w:rFonts w:ascii="Calibri" w:hAnsi="Calibri" w:cs="Arial"/>
                <w:b/>
                <w:bCs/>
                <w:sz w:val="18"/>
                <w:szCs w:val="18"/>
              </w:rPr>
              <w:t xml:space="preserve">za 6 miesięcy </w:t>
            </w:r>
          </w:p>
        </w:tc>
      </w:tr>
      <w:tr w:rsidR="00360EFC" w:rsidRPr="00360EFC" w14:paraId="180A5A81" w14:textId="77777777" w:rsidTr="00B41C6B">
        <w:trPr>
          <w:trHeight w:val="300"/>
          <w:jc w:val="center"/>
        </w:trPr>
        <w:tc>
          <w:tcPr>
            <w:tcW w:w="4298" w:type="dxa"/>
            <w:tcBorders>
              <w:top w:val="nil"/>
              <w:left w:val="nil"/>
              <w:bottom w:val="nil"/>
              <w:right w:val="nil"/>
            </w:tcBorders>
            <w:shd w:val="clear" w:color="auto" w:fill="auto"/>
            <w:noWrap/>
            <w:vAlign w:val="center"/>
            <w:hideMark/>
          </w:tcPr>
          <w:p w14:paraId="61281923" w14:textId="77777777" w:rsidR="00B41C6B" w:rsidRPr="00360EFC" w:rsidRDefault="00B41C6B" w:rsidP="00E64385">
            <w:pPr>
              <w:rPr>
                <w:rFonts w:ascii="Calibri" w:hAnsi="Calibri" w:cs="Arial"/>
                <w:b/>
                <w:bCs/>
                <w:color w:val="FF0000"/>
                <w:sz w:val="18"/>
                <w:szCs w:val="18"/>
              </w:rPr>
            </w:pPr>
          </w:p>
        </w:tc>
        <w:tc>
          <w:tcPr>
            <w:tcW w:w="1760" w:type="dxa"/>
            <w:tcBorders>
              <w:top w:val="nil"/>
              <w:left w:val="nil"/>
              <w:bottom w:val="nil"/>
              <w:right w:val="nil"/>
            </w:tcBorders>
            <w:shd w:val="clear" w:color="000000" w:fill="D8D8D8"/>
            <w:vAlign w:val="center"/>
            <w:hideMark/>
          </w:tcPr>
          <w:p w14:paraId="5A594155" w14:textId="77777777" w:rsidR="00B41C6B" w:rsidRPr="0089026D" w:rsidRDefault="0089026D" w:rsidP="001702FD">
            <w:pPr>
              <w:jc w:val="center"/>
              <w:rPr>
                <w:rFonts w:ascii="Calibri" w:hAnsi="Calibri" w:cs="Arial"/>
                <w:b/>
                <w:bCs/>
                <w:sz w:val="18"/>
                <w:szCs w:val="18"/>
              </w:rPr>
            </w:pPr>
            <w:r>
              <w:rPr>
                <w:rFonts w:ascii="Calibri" w:hAnsi="Calibri" w:cs="Arial"/>
                <w:b/>
                <w:bCs/>
                <w:sz w:val="18"/>
                <w:szCs w:val="18"/>
              </w:rPr>
              <w:t>od 01.01.2016</w:t>
            </w:r>
          </w:p>
        </w:tc>
        <w:tc>
          <w:tcPr>
            <w:tcW w:w="1760" w:type="dxa"/>
            <w:tcBorders>
              <w:top w:val="nil"/>
              <w:left w:val="nil"/>
              <w:bottom w:val="nil"/>
              <w:right w:val="nil"/>
            </w:tcBorders>
            <w:shd w:val="clear" w:color="auto" w:fill="auto"/>
            <w:vAlign w:val="center"/>
            <w:hideMark/>
          </w:tcPr>
          <w:p w14:paraId="2D2C501E" w14:textId="77777777" w:rsidR="00B41C6B" w:rsidRPr="0089026D" w:rsidRDefault="0089026D" w:rsidP="001702FD">
            <w:pPr>
              <w:jc w:val="center"/>
              <w:rPr>
                <w:rFonts w:ascii="Calibri" w:hAnsi="Calibri" w:cs="Arial"/>
                <w:b/>
                <w:bCs/>
                <w:sz w:val="18"/>
                <w:szCs w:val="18"/>
              </w:rPr>
            </w:pPr>
            <w:r>
              <w:rPr>
                <w:rFonts w:ascii="Calibri" w:hAnsi="Calibri" w:cs="Arial"/>
                <w:b/>
                <w:bCs/>
                <w:sz w:val="18"/>
                <w:szCs w:val="18"/>
              </w:rPr>
              <w:t>od 01.01.2015</w:t>
            </w:r>
          </w:p>
        </w:tc>
      </w:tr>
      <w:tr w:rsidR="00360EFC" w:rsidRPr="00360EFC" w14:paraId="33B803E4" w14:textId="77777777" w:rsidTr="001702FD">
        <w:trPr>
          <w:trHeight w:val="300"/>
          <w:jc w:val="center"/>
        </w:trPr>
        <w:tc>
          <w:tcPr>
            <w:tcW w:w="4298" w:type="dxa"/>
            <w:tcBorders>
              <w:top w:val="nil"/>
              <w:left w:val="nil"/>
              <w:bottom w:val="nil"/>
              <w:right w:val="nil"/>
            </w:tcBorders>
            <w:shd w:val="clear" w:color="auto" w:fill="auto"/>
            <w:noWrap/>
            <w:vAlign w:val="center"/>
            <w:hideMark/>
          </w:tcPr>
          <w:p w14:paraId="603EC4E7" w14:textId="77777777" w:rsidR="00B41C6B" w:rsidRPr="00360EFC" w:rsidRDefault="00B41C6B" w:rsidP="00E64385">
            <w:pPr>
              <w:rPr>
                <w:rFonts w:ascii="Calibri" w:hAnsi="Calibri" w:cs="Arial"/>
                <w:color w:val="FF0000"/>
                <w:sz w:val="18"/>
                <w:szCs w:val="18"/>
              </w:rPr>
            </w:pPr>
          </w:p>
        </w:tc>
        <w:tc>
          <w:tcPr>
            <w:tcW w:w="1760" w:type="dxa"/>
            <w:tcBorders>
              <w:top w:val="nil"/>
              <w:left w:val="nil"/>
              <w:bottom w:val="single" w:sz="4" w:space="0" w:color="auto"/>
              <w:right w:val="nil"/>
            </w:tcBorders>
            <w:shd w:val="clear" w:color="000000" w:fill="D8D8D8"/>
            <w:vAlign w:val="center"/>
            <w:hideMark/>
          </w:tcPr>
          <w:p w14:paraId="6314BB0A" w14:textId="77777777" w:rsidR="00B41C6B" w:rsidRPr="0089026D" w:rsidRDefault="00B41C6B" w:rsidP="0089026D">
            <w:pPr>
              <w:jc w:val="center"/>
              <w:rPr>
                <w:rFonts w:ascii="Calibri" w:hAnsi="Calibri" w:cs="Arial"/>
                <w:b/>
                <w:bCs/>
                <w:sz w:val="18"/>
                <w:szCs w:val="18"/>
              </w:rPr>
            </w:pPr>
            <w:r w:rsidRPr="0089026D">
              <w:rPr>
                <w:rFonts w:ascii="Calibri" w:hAnsi="Calibri" w:cs="Arial"/>
                <w:b/>
                <w:bCs/>
                <w:sz w:val="18"/>
                <w:szCs w:val="18"/>
              </w:rPr>
              <w:t>do 30.06.201</w:t>
            </w:r>
            <w:r w:rsidR="0089026D">
              <w:rPr>
                <w:rFonts w:ascii="Calibri" w:hAnsi="Calibri" w:cs="Arial"/>
                <w:b/>
                <w:bCs/>
                <w:sz w:val="18"/>
                <w:szCs w:val="18"/>
              </w:rPr>
              <w:t>6</w:t>
            </w:r>
          </w:p>
        </w:tc>
        <w:tc>
          <w:tcPr>
            <w:tcW w:w="1760" w:type="dxa"/>
            <w:tcBorders>
              <w:top w:val="nil"/>
              <w:left w:val="nil"/>
              <w:bottom w:val="single" w:sz="4" w:space="0" w:color="auto"/>
              <w:right w:val="nil"/>
            </w:tcBorders>
            <w:shd w:val="clear" w:color="auto" w:fill="auto"/>
            <w:vAlign w:val="center"/>
            <w:hideMark/>
          </w:tcPr>
          <w:p w14:paraId="2D5868C4" w14:textId="77777777" w:rsidR="00B41C6B" w:rsidRPr="0089026D" w:rsidRDefault="0089026D" w:rsidP="001702FD">
            <w:pPr>
              <w:jc w:val="center"/>
              <w:rPr>
                <w:rFonts w:ascii="Calibri" w:hAnsi="Calibri" w:cs="Arial"/>
                <w:b/>
                <w:bCs/>
                <w:sz w:val="18"/>
                <w:szCs w:val="18"/>
              </w:rPr>
            </w:pPr>
            <w:r>
              <w:rPr>
                <w:rFonts w:ascii="Calibri" w:hAnsi="Calibri" w:cs="Arial"/>
                <w:b/>
                <w:bCs/>
                <w:sz w:val="18"/>
                <w:szCs w:val="18"/>
              </w:rPr>
              <w:t>do 30.06.2015</w:t>
            </w:r>
          </w:p>
        </w:tc>
      </w:tr>
      <w:tr w:rsidR="00360EFC" w:rsidRPr="00360EFC" w14:paraId="0CB88DB4" w14:textId="77777777" w:rsidTr="001702FD">
        <w:trPr>
          <w:trHeight w:val="225"/>
          <w:jc w:val="center"/>
        </w:trPr>
        <w:tc>
          <w:tcPr>
            <w:tcW w:w="4298" w:type="dxa"/>
            <w:tcBorders>
              <w:top w:val="nil"/>
              <w:left w:val="nil"/>
              <w:bottom w:val="nil"/>
              <w:right w:val="nil"/>
            </w:tcBorders>
            <w:shd w:val="clear" w:color="auto" w:fill="auto"/>
            <w:noWrap/>
            <w:vAlign w:val="center"/>
            <w:hideMark/>
          </w:tcPr>
          <w:p w14:paraId="357A0FC1" w14:textId="77777777" w:rsidR="00E64385" w:rsidRPr="00360EFC" w:rsidRDefault="00E64385" w:rsidP="00E64385">
            <w:pPr>
              <w:rPr>
                <w:rFonts w:ascii="Calibri" w:hAnsi="Calibri" w:cs="Arial"/>
                <w:color w:val="FF0000"/>
                <w:sz w:val="18"/>
                <w:szCs w:val="18"/>
              </w:rPr>
            </w:pPr>
          </w:p>
        </w:tc>
        <w:tc>
          <w:tcPr>
            <w:tcW w:w="1760" w:type="dxa"/>
            <w:tcBorders>
              <w:top w:val="single" w:sz="4" w:space="0" w:color="auto"/>
              <w:left w:val="nil"/>
              <w:right w:val="nil"/>
            </w:tcBorders>
            <w:shd w:val="clear" w:color="000000" w:fill="D8D8D8"/>
            <w:vAlign w:val="center"/>
            <w:hideMark/>
          </w:tcPr>
          <w:p w14:paraId="26BB355C" w14:textId="77777777" w:rsidR="00E64385" w:rsidRPr="0089026D" w:rsidRDefault="001702FD" w:rsidP="00E64385">
            <w:pPr>
              <w:ind w:firstLine="27"/>
              <w:jc w:val="center"/>
              <w:rPr>
                <w:rFonts w:ascii="Calibri" w:hAnsi="Calibri" w:cs="Arial"/>
                <w:b/>
                <w:bCs/>
                <w:sz w:val="18"/>
                <w:szCs w:val="18"/>
              </w:rPr>
            </w:pPr>
            <w:r w:rsidRPr="0089026D">
              <w:rPr>
                <w:rFonts w:ascii="Calibri" w:hAnsi="Calibri" w:cs="Arial"/>
                <w:b/>
                <w:bCs/>
                <w:sz w:val="18"/>
                <w:szCs w:val="18"/>
              </w:rPr>
              <w:t>(niebadany)</w:t>
            </w:r>
          </w:p>
        </w:tc>
        <w:tc>
          <w:tcPr>
            <w:tcW w:w="1760" w:type="dxa"/>
            <w:tcBorders>
              <w:top w:val="single" w:sz="4" w:space="0" w:color="auto"/>
              <w:left w:val="nil"/>
              <w:right w:val="nil"/>
            </w:tcBorders>
            <w:shd w:val="clear" w:color="auto" w:fill="auto"/>
            <w:vAlign w:val="center"/>
            <w:hideMark/>
          </w:tcPr>
          <w:p w14:paraId="76FAC084" w14:textId="77777777" w:rsidR="00E64385" w:rsidRPr="0089026D" w:rsidRDefault="001702FD" w:rsidP="00E64385">
            <w:pPr>
              <w:jc w:val="center"/>
              <w:rPr>
                <w:rFonts w:ascii="Calibri" w:hAnsi="Calibri" w:cs="Arial"/>
                <w:b/>
                <w:bCs/>
                <w:sz w:val="18"/>
                <w:szCs w:val="18"/>
              </w:rPr>
            </w:pPr>
            <w:r w:rsidRPr="0089026D">
              <w:rPr>
                <w:rFonts w:ascii="Calibri" w:hAnsi="Calibri" w:cs="Arial"/>
                <w:b/>
                <w:bCs/>
                <w:sz w:val="18"/>
                <w:szCs w:val="18"/>
              </w:rPr>
              <w:t>(niebadany)</w:t>
            </w:r>
          </w:p>
        </w:tc>
      </w:tr>
      <w:tr w:rsidR="00360EFC" w:rsidRPr="00360EFC" w14:paraId="088E20DE" w14:textId="77777777" w:rsidTr="001702FD">
        <w:trPr>
          <w:trHeight w:val="225"/>
          <w:jc w:val="center"/>
        </w:trPr>
        <w:tc>
          <w:tcPr>
            <w:tcW w:w="4298" w:type="dxa"/>
            <w:tcBorders>
              <w:top w:val="nil"/>
              <w:left w:val="nil"/>
              <w:bottom w:val="nil"/>
              <w:right w:val="nil"/>
            </w:tcBorders>
            <w:shd w:val="clear" w:color="auto" w:fill="auto"/>
            <w:noWrap/>
            <w:vAlign w:val="center"/>
          </w:tcPr>
          <w:p w14:paraId="1F20EEB6" w14:textId="77777777" w:rsidR="001702FD" w:rsidRPr="00360EFC" w:rsidRDefault="001702FD" w:rsidP="00E64385">
            <w:pPr>
              <w:rPr>
                <w:rFonts w:ascii="Calibri" w:hAnsi="Calibri" w:cs="Arial"/>
                <w:color w:val="FF0000"/>
                <w:sz w:val="18"/>
                <w:szCs w:val="18"/>
              </w:rPr>
            </w:pPr>
          </w:p>
        </w:tc>
        <w:tc>
          <w:tcPr>
            <w:tcW w:w="1760" w:type="dxa"/>
            <w:tcBorders>
              <w:left w:val="nil"/>
              <w:bottom w:val="single" w:sz="4" w:space="0" w:color="auto"/>
              <w:right w:val="nil"/>
            </w:tcBorders>
            <w:shd w:val="clear" w:color="000000" w:fill="D8D8D8"/>
            <w:vAlign w:val="center"/>
          </w:tcPr>
          <w:p w14:paraId="4D72780F" w14:textId="77777777" w:rsidR="001702FD" w:rsidRPr="0089026D" w:rsidRDefault="00577CDB" w:rsidP="001702FD">
            <w:pPr>
              <w:ind w:firstLine="27"/>
              <w:jc w:val="center"/>
              <w:rPr>
                <w:rFonts w:ascii="Calibri" w:hAnsi="Calibri" w:cs="Arial"/>
                <w:b/>
                <w:bCs/>
                <w:sz w:val="18"/>
                <w:szCs w:val="18"/>
              </w:rPr>
            </w:pPr>
            <w:r w:rsidRPr="0089026D">
              <w:rPr>
                <w:rFonts w:ascii="Calibri" w:hAnsi="Calibri" w:cs="Arial"/>
                <w:b/>
                <w:bCs/>
                <w:sz w:val="18"/>
                <w:szCs w:val="18"/>
              </w:rPr>
              <w:t>PLN</w:t>
            </w:r>
          </w:p>
        </w:tc>
        <w:tc>
          <w:tcPr>
            <w:tcW w:w="1760" w:type="dxa"/>
            <w:tcBorders>
              <w:left w:val="nil"/>
              <w:bottom w:val="single" w:sz="4" w:space="0" w:color="auto"/>
              <w:right w:val="nil"/>
            </w:tcBorders>
            <w:shd w:val="clear" w:color="auto" w:fill="auto"/>
            <w:vAlign w:val="center"/>
          </w:tcPr>
          <w:p w14:paraId="3B74BD47" w14:textId="77777777" w:rsidR="001702FD" w:rsidRPr="0089026D" w:rsidRDefault="00577CDB" w:rsidP="001702FD">
            <w:pPr>
              <w:jc w:val="center"/>
              <w:rPr>
                <w:rFonts w:ascii="Calibri" w:hAnsi="Calibri" w:cs="Arial"/>
                <w:b/>
                <w:bCs/>
                <w:sz w:val="18"/>
                <w:szCs w:val="18"/>
              </w:rPr>
            </w:pPr>
            <w:r w:rsidRPr="0089026D">
              <w:rPr>
                <w:rFonts w:ascii="Calibri" w:hAnsi="Calibri" w:cs="Arial"/>
                <w:b/>
                <w:bCs/>
                <w:sz w:val="18"/>
                <w:szCs w:val="18"/>
              </w:rPr>
              <w:t>PLN</w:t>
            </w:r>
          </w:p>
        </w:tc>
      </w:tr>
      <w:tr w:rsidR="00360EFC" w:rsidRPr="00360EFC" w14:paraId="24CC3F8C" w14:textId="77777777" w:rsidTr="00B41C6B">
        <w:trPr>
          <w:trHeight w:val="90"/>
          <w:jc w:val="center"/>
        </w:trPr>
        <w:tc>
          <w:tcPr>
            <w:tcW w:w="4298" w:type="dxa"/>
            <w:tcBorders>
              <w:top w:val="nil"/>
              <w:left w:val="nil"/>
              <w:bottom w:val="nil"/>
              <w:right w:val="nil"/>
            </w:tcBorders>
            <w:shd w:val="clear" w:color="auto" w:fill="auto"/>
            <w:noWrap/>
            <w:vAlign w:val="center"/>
            <w:hideMark/>
          </w:tcPr>
          <w:p w14:paraId="4F8F907B" w14:textId="77777777" w:rsidR="00577CDB" w:rsidRPr="00360EFC" w:rsidRDefault="00577CDB" w:rsidP="00E64385">
            <w:pPr>
              <w:rPr>
                <w:rFonts w:ascii="Calibri" w:hAnsi="Calibri" w:cs="Arial"/>
                <w:color w:val="FF0000"/>
                <w:sz w:val="18"/>
                <w:szCs w:val="18"/>
              </w:rPr>
            </w:pPr>
          </w:p>
        </w:tc>
        <w:tc>
          <w:tcPr>
            <w:tcW w:w="1760" w:type="dxa"/>
            <w:tcBorders>
              <w:top w:val="nil"/>
              <w:left w:val="nil"/>
              <w:bottom w:val="nil"/>
              <w:right w:val="nil"/>
            </w:tcBorders>
            <w:shd w:val="clear" w:color="000000" w:fill="D8D8D8"/>
            <w:noWrap/>
            <w:vAlign w:val="center"/>
            <w:hideMark/>
          </w:tcPr>
          <w:p w14:paraId="51A6A27D" w14:textId="77777777" w:rsidR="00577CDB" w:rsidRPr="00360EFC" w:rsidRDefault="00577CDB" w:rsidP="001D49CA">
            <w:pPr>
              <w:ind w:firstLine="567"/>
              <w:rPr>
                <w:rFonts w:ascii="Calibri" w:hAnsi="Calibri" w:cs="Arial"/>
                <w:color w:val="FF0000"/>
                <w:sz w:val="18"/>
                <w:szCs w:val="18"/>
              </w:rPr>
            </w:pPr>
            <w:r w:rsidRPr="00360EFC">
              <w:rPr>
                <w:rFonts w:ascii="Calibri" w:hAnsi="Calibri" w:cs="Arial"/>
                <w:color w:val="FF0000"/>
                <w:sz w:val="18"/>
                <w:szCs w:val="18"/>
              </w:rPr>
              <w:t> </w:t>
            </w:r>
          </w:p>
        </w:tc>
        <w:tc>
          <w:tcPr>
            <w:tcW w:w="1760" w:type="dxa"/>
            <w:tcBorders>
              <w:top w:val="nil"/>
              <w:left w:val="nil"/>
              <w:bottom w:val="nil"/>
              <w:right w:val="nil"/>
            </w:tcBorders>
            <w:shd w:val="clear" w:color="auto" w:fill="auto"/>
            <w:vAlign w:val="center"/>
            <w:hideMark/>
          </w:tcPr>
          <w:p w14:paraId="00B46D28" w14:textId="77777777" w:rsidR="00577CDB" w:rsidRPr="00360EFC" w:rsidRDefault="00577CDB" w:rsidP="001D49CA">
            <w:pPr>
              <w:ind w:firstLine="567"/>
              <w:jc w:val="right"/>
              <w:rPr>
                <w:rFonts w:ascii="Calibri" w:hAnsi="Calibri" w:cs="Arial"/>
                <w:b/>
                <w:bCs/>
                <w:color w:val="FF0000"/>
                <w:sz w:val="18"/>
                <w:szCs w:val="18"/>
              </w:rPr>
            </w:pPr>
          </w:p>
        </w:tc>
      </w:tr>
      <w:tr w:rsidR="00360EFC" w:rsidRPr="00360EFC" w14:paraId="17A1B029" w14:textId="77777777" w:rsidTr="00B41C6B">
        <w:trPr>
          <w:trHeight w:val="255"/>
          <w:jc w:val="center"/>
        </w:trPr>
        <w:tc>
          <w:tcPr>
            <w:tcW w:w="4298" w:type="dxa"/>
            <w:tcBorders>
              <w:top w:val="nil"/>
              <w:left w:val="nil"/>
              <w:bottom w:val="nil"/>
              <w:right w:val="nil"/>
            </w:tcBorders>
            <w:shd w:val="clear" w:color="auto" w:fill="auto"/>
            <w:noWrap/>
            <w:vAlign w:val="center"/>
            <w:hideMark/>
          </w:tcPr>
          <w:p w14:paraId="4AAE9130"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SEGMENT A - UTRZYMANIE RUCHU</w:t>
            </w:r>
          </w:p>
        </w:tc>
        <w:tc>
          <w:tcPr>
            <w:tcW w:w="1760" w:type="dxa"/>
            <w:tcBorders>
              <w:top w:val="nil"/>
              <w:left w:val="nil"/>
              <w:bottom w:val="nil"/>
              <w:right w:val="nil"/>
            </w:tcBorders>
            <w:shd w:val="clear" w:color="000000" w:fill="D8D8D8"/>
            <w:noWrap/>
            <w:vAlign w:val="center"/>
            <w:hideMark/>
          </w:tcPr>
          <w:p w14:paraId="2604ADAD" w14:textId="77777777" w:rsidR="00577CDB" w:rsidRPr="00360EFC" w:rsidRDefault="00577CDB" w:rsidP="001D49CA">
            <w:pPr>
              <w:ind w:firstLine="567"/>
              <w:rPr>
                <w:rFonts w:ascii="Calibri" w:hAnsi="Calibri" w:cs="Arial"/>
                <w:b/>
                <w:bCs/>
                <w:color w:val="FF0000"/>
                <w:sz w:val="18"/>
                <w:szCs w:val="18"/>
              </w:rPr>
            </w:pPr>
            <w:r w:rsidRPr="00360EFC">
              <w:rPr>
                <w:rFonts w:ascii="Calibri" w:hAnsi="Calibri" w:cs="Arial"/>
                <w:b/>
                <w:bCs/>
                <w:color w:val="FF0000"/>
                <w:sz w:val="18"/>
                <w:szCs w:val="18"/>
              </w:rPr>
              <w:t> </w:t>
            </w:r>
          </w:p>
        </w:tc>
        <w:tc>
          <w:tcPr>
            <w:tcW w:w="1760" w:type="dxa"/>
            <w:tcBorders>
              <w:top w:val="nil"/>
              <w:left w:val="nil"/>
              <w:bottom w:val="nil"/>
              <w:right w:val="nil"/>
            </w:tcBorders>
            <w:shd w:val="clear" w:color="auto" w:fill="auto"/>
            <w:noWrap/>
            <w:vAlign w:val="center"/>
            <w:hideMark/>
          </w:tcPr>
          <w:p w14:paraId="1C878FBB" w14:textId="77777777" w:rsidR="00577CDB" w:rsidRPr="00360EFC" w:rsidRDefault="00577CDB" w:rsidP="001D49CA">
            <w:pPr>
              <w:ind w:firstLine="567"/>
              <w:jc w:val="right"/>
              <w:rPr>
                <w:rFonts w:ascii="Calibri" w:hAnsi="Calibri" w:cs="Arial"/>
                <w:color w:val="FF0000"/>
                <w:sz w:val="18"/>
                <w:szCs w:val="18"/>
              </w:rPr>
            </w:pPr>
          </w:p>
        </w:tc>
      </w:tr>
      <w:tr w:rsidR="00360EFC" w:rsidRPr="00360EFC" w14:paraId="5CBA6005" w14:textId="77777777" w:rsidTr="00B41C6B">
        <w:trPr>
          <w:trHeight w:val="162"/>
          <w:jc w:val="center"/>
        </w:trPr>
        <w:tc>
          <w:tcPr>
            <w:tcW w:w="4298" w:type="dxa"/>
            <w:tcBorders>
              <w:top w:val="nil"/>
              <w:left w:val="nil"/>
              <w:bottom w:val="nil"/>
              <w:right w:val="nil"/>
            </w:tcBorders>
            <w:shd w:val="clear" w:color="auto" w:fill="auto"/>
            <w:noWrap/>
            <w:vAlign w:val="center"/>
            <w:hideMark/>
          </w:tcPr>
          <w:p w14:paraId="30EFC35A" w14:textId="77777777" w:rsidR="00577CDB" w:rsidRPr="009419C3" w:rsidRDefault="00577CDB" w:rsidP="00E64385">
            <w:pPr>
              <w:rPr>
                <w:rFonts w:ascii="Calibri" w:hAnsi="Calibri" w:cs="Arial"/>
                <w:sz w:val="18"/>
                <w:szCs w:val="18"/>
              </w:rPr>
            </w:pPr>
          </w:p>
        </w:tc>
        <w:tc>
          <w:tcPr>
            <w:tcW w:w="1760" w:type="dxa"/>
            <w:tcBorders>
              <w:top w:val="nil"/>
              <w:left w:val="nil"/>
              <w:bottom w:val="nil"/>
              <w:right w:val="nil"/>
            </w:tcBorders>
            <w:shd w:val="clear" w:color="000000" w:fill="D8D8D8"/>
            <w:noWrap/>
            <w:vAlign w:val="center"/>
            <w:hideMark/>
          </w:tcPr>
          <w:p w14:paraId="79261ED8" w14:textId="77777777" w:rsidR="00577CDB" w:rsidRPr="00360EFC" w:rsidRDefault="00577CDB" w:rsidP="001D49CA">
            <w:pPr>
              <w:ind w:firstLine="567"/>
              <w:rPr>
                <w:rFonts w:ascii="Calibri" w:hAnsi="Calibri" w:cs="Arial"/>
                <w:color w:val="FF0000"/>
                <w:sz w:val="18"/>
                <w:szCs w:val="18"/>
              </w:rPr>
            </w:pPr>
            <w:r w:rsidRPr="00360EFC">
              <w:rPr>
                <w:rFonts w:ascii="Calibri" w:hAnsi="Calibri" w:cs="Arial"/>
                <w:color w:val="FF0000"/>
                <w:sz w:val="18"/>
                <w:szCs w:val="18"/>
              </w:rPr>
              <w:t> </w:t>
            </w:r>
          </w:p>
        </w:tc>
        <w:tc>
          <w:tcPr>
            <w:tcW w:w="1760" w:type="dxa"/>
            <w:tcBorders>
              <w:top w:val="nil"/>
              <w:left w:val="nil"/>
              <w:bottom w:val="nil"/>
              <w:right w:val="nil"/>
            </w:tcBorders>
            <w:shd w:val="clear" w:color="auto" w:fill="auto"/>
            <w:noWrap/>
            <w:vAlign w:val="center"/>
            <w:hideMark/>
          </w:tcPr>
          <w:p w14:paraId="467A4BCA" w14:textId="77777777" w:rsidR="00577CDB" w:rsidRPr="00360EFC" w:rsidRDefault="00577CDB" w:rsidP="001D49CA">
            <w:pPr>
              <w:ind w:firstLine="567"/>
              <w:jc w:val="right"/>
              <w:rPr>
                <w:rFonts w:ascii="Calibri" w:hAnsi="Calibri" w:cs="Arial"/>
                <w:color w:val="FF0000"/>
                <w:sz w:val="18"/>
                <w:szCs w:val="18"/>
              </w:rPr>
            </w:pPr>
          </w:p>
        </w:tc>
      </w:tr>
      <w:tr w:rsidR="00360EFC" w:rsidRPr="00360EFC" w14:paraId="2B1B3B09"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75027F46" w14:textId="77777777" w:rsidR="00577CDB" w:rsidRPr="009419C3" w:rsidRDefault="00577CDB" w:rsidP="00E64385">
            <w:pPr>
              <w:rPr>
                <w:rFonts w:ascii="Calibri" w:hAnsi="Calibri" w:cs="Arial"/>
                <w:sz w:val="18"/>
                <w:szCs w:val="18"/>
              </w:rPr>
            </w:pPr>
            <w:r w:rsidRPr="009419C3">
              <w:rPr>
                <w:rFonts w:ascii="Calibri" w:hAnsi="Calibri" w:cs="Arial"/>
                <w:sz w:val="18"/>
                <w:szCs w:val="18"/>
              </w:rPr>
              <w:t>Przychody ze sprzedaży</w:t>
            </w:r>
          </w:p>
        </w:tc>
        <w:tc>
          <w:tcPr>
            <w:tcW w:w="1760" w:type="dxa"/>
            <w:tcBorders>
              <w:top w:val="nil"/>
              <w:left w:val="nil"/>
              <w:bottom w:val="nil"/>
              <w:right w:val="nil"/>
            </w:tcBorders>
            <w:shd w:val="clear" w:color="000000" w:fill="D8D8D8"/>
            <w:noWrap/>
            <w:vAlign w:val="center"/>
          </w:tcPr>
          <w:p w14:paraId="7BD98A00" w14:textId="77777777" w:rsidR="00577CDB" w:rsidRPr="00857381" w:rsidRDefault="00857381" w:rsidP="001D49CA">
            <w:pPr>
              <w:ind w:firstLine="567"/>
              <w:jc w:val="right"/>
              <w:rPr>
                <w:rFonts w:ascii="Calibri" w:hAnsi="Calibri" w:cs="Arial"/>
                <w:sz w:val="18"/>
                <w:szCs w:val="18"/>
              </w:rPr>
            </w:pPr>
            <w:r w:rsidRPr="00857381">
              <w:rPr>
                <w:rFonts w:ascii="Calibri" w:hAnsi="Calibri" w:cs="Arial"/>
                <w:sz w:val="18"/>
                <w:szCs w:val="18"/>
              </w:rPr>
              <w:t>11 287,7</w:t>
            </w:r>
          </w:p>
        </w:tc>
        <w:tc>
          <w:tcPr>
            <w:tcW w:w="1760" w:type="dxa"/>
            <w:tcBorders>
              <w:top w:val="nil"/>
              <w:left w:val="nil"/>
              <w:bottom w:val="nil"/>
              <w:right w:val="nil"/>
            </w:tcBorders>
            <w:shd w:val="clear" w:color="auto" w:fill="auto"/>
            <w:noWrap/>
            <w:vAlign w:val="center"/>
          </w:tcPr>
          <w:p w14:paraId="63901FA7"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10 397,6</w:t>
            </w:r>
          </w:p>
        </w:tc>
      </w:tr>
      <w:tr w:rsidR="00360EFC" w:rsidRPr="00360EFC" w14:paraId="3F4DC3B3"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4EB49B4A" w14:textId="77777777" w:rsidR="00577CDB" w:rsidRPr="009419C3" w:rsidRDefault="00577CDB" w:rsidP="00E64385">
            <w:pPr>
              <w:rPr>
                <w:rFonts w:ascii="Calibri" w:hAnsi="Calibri" w:cs="Arial"/>
                <w:sz w:val="18"/>
                <w:szCs w:val="18"/>
              </w:rPr>
            </w:pPr>
            <w:r w:rsidRPr="009419C3">
              <w:rPr>
                <w:rFonts w:ascii="Calibri" w:hAnsi="Calibri" w:cs="Arial"/>
                <w:sz w:val="18"/>
                <w:szCs w:val="18"/>
              </w:rPr>
              <w:t>Koszt własny sprzedaży</w:t>
            </w:r>
          </w:p>
        </w:tc>
        <w:tc>
          <w:tcPr>
            <w:tcW w:w="1760" w:type="dxa"/>
            <w:tcBorders>
              <w:top w:val="nil"/>
              <w:left w:val="nil"/>
              <w:bottom w:val="nil"/>
              <w:right w:val="nil"/>
            </w:tcBorders>
            <w:shd w:val="clear" w:color="000000" w:fill="D8D8D8"/>
            <w:noWrap/>
            <w:vAlign w:val="center"/>
          </w:tcPr>
          <w:p w14:paraId="01B6499E" w14:textId="77777777" w:rsidR="00577CDB" w:rsidRPr="00857381" w:rsidRDefault="00857381" w:rsidP="001D49CA">
            <w:pPr>
              <w:ind w:firstLine="567"/>
              <w:jc w:val="right"/>
              <w:rPr>
                <w:rFonts w:ascii="Calibri" w:hAnsi="Calibri" w:cs="Arial"/>
                <w:sz w:val="18"/>
                <w:szCs w:val="18"/>
              </w:rPr>
            </w:pPr>
            <w:r w:rsidRPr="00857381">
              <w:rPr>
                <w:rFonts w:ascii="Calibri" w:hAnsi="Calibri" w:cs="Arial"/>
                <w:sz w:val="18"/>
                <w:szCs w:val="18"/>
              </w:rPr>
              <w:t>10 018,9</w:t>
            </w:r>
          </w:p>
        </w:tc>
        <w:tc>
          <w:tcPr>
            <w:tcW w:w="1760" w:type="dxa"/>
            <w:tcBorders>
              <w:top w:val="nil"/>
              <w:left w:val="nil"/>
              <w:bottom w:val="nil"/>
              <w:right w:val="nil"/>
            </w:tcBorders>
            <w:shd w:val="clear" w:color="auto" w:fill="auto"/>
            <w:noWrap/>
            <w:vAlign w:val="center"/>
          </w:tcPr>
          <w:p w14:paraId="4932DCCF"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9 282,1</w:t>
            </w:r>
          </w:p>
        </w:tc>
      </w:tr>
      <w:tr w:rsidR="00360EFC" w:rsidRPr="00360EFC" w14:paraId="5CB9D406" w14:textId="77777777" w:rsidTr="00C64D75">
        <w:trPr>
          <w:trHeight w:val="270"/>
          <w:jc w:val="center"/>
        </w:trPr>
        <w:tc>
          <w:tcPr>
            <w:tcW w:w="4298" w:type="dxa"/>
            <w:tcBorders>
              <w:top w:val="nil"/>
              <w:left w:val="nil"/>
              <w:bottom w:val="nil"/>
              <w:right w:val="nil"/>
            </w:tcBorders>
            <w:shd w:val="clear" w:color="auto" w:fill="auto"/>
            <w:noWrap/>
            <w:vAlign w:val="center"/>
            <w:hideMark/>
          </w:tcPr>
          <w:p w14:paraId="255973FC"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Wynik na działalności segmentu</w:t>
            </w:r>
          </w:p>
        </w:tc>
        <w:tc>
          <w:tcPr>
            <w:tcW w:w="1760" w:type="dxa"/>
            <w:tcBorders>
              <w:top w:val="single" w:sz="4" w:space="0" w:color="auto"/>
              <w:left w:val="nil"/>
              <w:bottom w:val="double" w:sz="6" w:space="0" w:color="auto"/>
              <w:right w:val="nil"/>
            </w:tcBorders>
            <w:shd w:val="clear" w:color="000000" w:fill="D8D8D8"/>
            <w:noWrap/>
            <w:vAlign w:val="center"/>
          </w:tcPr>
          <w:p w14:paraId="73C348BC"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1 268,8</w:t>
            </w:r>
          </w:p>
        </w:tc>
        <w:tc>
          <w:tcPr>
            <w:tcW w:w="1760" w:type="dxa"/>
            <w:tcBorders>
              <w:top w:val="single" w:sz="4" w:space="0" w:color="auto"/>
              <w:left w:val="nil"/>
              <w:bottom w:val="double" w:sz="6" w:space="0" w:color="auto"/>
              <w:right w:val="nil"/>
            </w:tcBorders>
            <w:shd w:val="clear" w:color="auto" w:fill="auto"/>
            <w:noWrap/>
            <w:vAlign w:val="center"/>
          </w:tcPr>
          <w:p w14:paraId="25CA4B5C"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1 115,5</w:t>
            </w:r>
          </w:p>
        </w:tc>
      </w:tr>
      <w:tr w:rsidR="00360EFC" w:rsidRPr="00360EFC" w14:paraId="5938F371"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6007CE95" w14:textId="77777777" w:rsidR="0060058D" w:rsidRPr="009419C3" w:rsidRDefault="0060058D" w:rsidP="00E64385">
            <w:pPr>
              <w:rPr>
                <w:rFonts w:ascii="Calibri" w:hAnsi="Calibri" w:cs="Arial"/>
                <w:b/>
                <w:bCs/>
                <w:sz w:val="18"/>
                <w:szCs w:val="18"/>
              </w:rPr>
            </w:pPr>
          </w:p>
          <w:p w14:paraId="268D1341" w14:textId="77777777" w:rsidR="0060058D" w:rsidRPr="009419C3" w:rsidRDefault="0060058D" w:rsidP="00E64385">
            <w:pPr>
              <w:rPr>
                <w:rFonts w:ascii="Calibri" w:hAnsi="Calibri" w:cs="Arial"/>
                <w:b/>
                <w:bCs/>
                <w:sz w:val="18"/>
                <w:szCs w:val="18"/>
              </w:rPr>
            </w:pPr>
          </w:p>
          <w:p w14:paraId="0D287863"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SEGMENT B - REMONT URZĄDZEŃ I APARATURY</w:t>
            </w:r>
          </w:p>
        </w:tc>
        <w:tc>
          <w:tcPr>
            <w:tcW w:w="1760" w:type="dxa"/>
            <w:tcBorders>
              <w:top w:val="nil"/>
              <w:left w:val="nil"/>
              <w:bottom w:val="nil"/>
              <w:right w:val="nil"/>
            </w:tcBorders>
            <w:shd w:val="clear" w:color="000000" w:fill="D8D8D8"/>
            <w:noWrap/>
            <w:vAlign w:val="center"/>
          </w:tcPr>
          <w:p w14:paraId="649F2449" w14:textId="77777777" w:rsidR="00577CDB" w:rsidRPr="00857381" w:rsidRDefault="00577CDB" w:rsidP="001D49CA">
            <w:pPr>
              <w:ind w:firstLine="567"/>
              <w:rPr>
                <w:rFonts w:ascii="Calibri" w:hAnsi="Calibri" w:cs="Arial"/>
                <w:b/>
                <w:bCs/>
                <w:sz w:val="18"/>
                <w:szCs w:val="18"/>
              </w:rPr>
            </w:pPr>
          </w:p>
        </w:tc>
        <w:tc>
          <w:tcPr>
            <w:tcW w:w="1760" w:type="dxa"/>
            <w:tcBorders>
              <w:top w:val="nil"/>
              <w:left w:val="nil"/>
              <w:bottom w:val="nil"/>
              <w:right w:val="nil"/>
            </w:tcBorders>
            <w:shd w:val="clear" w:color="auto" w:fill="auto"/>
            <w:noWrap/>
            <w:vAlign w:val="center"/>
          </w:tcPr>
          <w:p w14:paraId="483FF8CF" w14:textId="77777777" w:rsidR="00577CDB" w:rsidRPr="00857381" w:rsidRDefault="00577CDB" w:rsidP="001D49CA">
            <w:pPr>
              <w:rPr>
                <w:sz w:val="20"/>
                <w:szCs w:val="20"/>
              </w:rPr>
            </w:pPr>
          </w:p>
        </w:tc>
      </w:tr>
      <w:tr w:rsidR="00360EFC" w:rsidRPr="00360EFC" w14:paraId="7B558204" w14:textId="77777777" w:rsidTr="00C64D75">
        <w:trPr>
          <w:trHeight w:val="162"/>
          <w:jc w:val="center"/>
        </w:trPr>
        <w:tc>
          <w:tcPr>
            <w:tcW w:w="4298" w:type="dxa"/>
            <w:tcBorders>
              <w:top w:val="nil"/>
              <w:left w:val="nil"/>
              <w:bottom w:val="nil"/>
              <w:right w:val="nil"/>
            </w:tcBorders>
            <w:shd w:val="clear" w:color="auto" w:fill="auto"/>
            <w:noWrap/>
            <w:vAlign w:val="center"/>
            <w:hideMark/>
          </w:tcPr>
          <w:p w14:paraId="78E01282" w14:textId="77777777" w:rsidR="00577CDB" w:rsidRPr="009419C3" w:rsidRDefault="00577CDB" w:rsidP="00E64385">
            <w:pPr>
              <w:rPr>
                <w:rFonts w:ascii="Calibri" w:hAnsi="Calibri" w:cs="Arial"/>
                <w:sz w:val="18"/>
                <w:szCs w:val="18"/>
              </w:rPr>
            </w:pPr>
          </w:p>
        </w:tc>
        <w:tc>
          <w:tcPr>
            <w:tcW w:w="1760" w:type="dxa"/>
            <w:tcBorders>
              <w:top w:val="nil"/>
              <w:left w:val="nil"/>
              <w:bottom w:val="nil"/>
              <w:right w:val="nil"/>
            </w:tcBorders>
            <w:shd w:val="clear" w:color="000000" w:fill="D8D8D8"/>
            <w:noWrap/>
            <w:vAlign w:val="center"/>
          </w:tcPr>
          <w:p w14:paraId="47330AF9" w14:textId="77777777" w:rsidR="00577CDB" w:rsidRPr="00857381" w:rsidRDefault="00577CDB" w:rsidP="001D49CA">
            <w:pPr>
              <w:ind w:firstLine="567"/>
              <w:rPr>
                <w:rFonts w:ascii="Calibri" w:hAnsi="Calibri" w:cs="Arial"/>
                <w:sz w:val="18"/>
                <w:szCs w:val="18"/>
              </w:rPr>
            </w:pPr>
          </w:p>
        </w:tc>
        <w:tc>
          <w:tcPr>
            <w:tcW w:w="1760" w:type="dxa"/>
            <w:tcBorders>
              <w:top w:val="nil"/>
              <w:left w:val="nil"/>
              <w:bottom w:val="nil"/>
              <w:right w:val="nil"/>
            </w:tcBorders>
            <w:shd w:val="clear" w:color="auto" w:fill="auto"/>
            <w:noWrap/>
            <w:vAlign w:val="center"/>
          </w:tcPr>
          <w:p w14:paraId="0C38D524" w14:textId="77777777" w:rsidR="00577CDB" w:rsidRPr="00857381" w:rsidRDefault="00577CDB" w:rsidP="001D49CA">
            <w:pPr>
              <w:rPr>
                <w:sz w:val="20"/>
                <w:szCs w:val="20"/>
              </w:rPr>
            </w:pPr>
          </w:p>
        </w:tc>
      </w:tr>
      <w:tr w:rsidR="00360EFC" w:rsidRPr="00360EFC" w14:paraId="590A2837"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1A69DFA6" w14:textId="77777777" w:rsidR="00577CDB" w:rsidRPr="009419C3" w:rsidRDefault="00577CDB" w:rsidP="00E64385">
            <w:pPr>
              <w:rPr>
                <w:rFonts w:ascii="Calibri" w:hAnsi="Calibri" w:cs="Arial"/>
                <w:sz w:val="18"/>
                <w:szCs w:val="18"/>
              </w:rPr>
            </w:pPr>
            <w:r w:rsidRPr="009419C3">
              <w:rPr>
                <w:rFonts w:ascii="Calibri" w:hAnsi="Calibri" w:cs="Arial"/>
                <w:sz w:val="18"/>
                <w:szCs w:val="18"/>
              </w:rPr>
              <w:t>Przychody ze sprzedaży</w:t>
            </w:r>
          </w:p>
        </w:tc>
        <w:tc>
          <w:tcPr>
            <w:tcW w:w="1760" w:type="dxa"/>
            <w:tcBorders>
              <w:top w:val="nil"/>
              <w:left w:val="nil"/>
              <w:bottom w:val="nil"/>
              <w:right w:val="nil"/>
            </w:tcBorders>
            <w:shd w:val="clear" w:color="000000" w:fill="D8D8D8"/>
            <w:noWrap/>
            <w:vAlign w:val="center"/>
          </w:tcPr>
          <w:p w14:paraId="6AB59115"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2 534,1</w:t>
            </w:r>
          </w:p>
        </w:tc>
        <w:tc>
          <w:tcPr>
            <w:tcW w:w="1760" w:type="dxa"/>
            <w:tcBorders>
              <w:top w:val="nil"/>
              <w:left w:val="nil"/>
              <w:bottom w:val="nil"/>
              <w:right w:val="nil"/>
            </w:tcBorders>
            <w:shd w:val="clear" w:color="auto" w:fill="auto"/>
            <w:noWrap/>
            <w:vAlign w:val="center"/>
          </w:tcPr>
          <w:p w14:paraId="528BD228"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2 337,1</w:t>
            </w:r>
          </w:p>
        </w:tc>
      </w:tr>
      <w:tr w:rsidR="00360EFC" w:rsidRPr="00360EFC" w14:paraId="4DD315E9"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75B59E18" w14:textId="77777777" w:rsidR="00577CDB" w:rsidRPr="009419C3" w:rsidRDefault="00577CDB" w:rsidP="00E64385">
            <w:pPr>
              <w:rPr>
                <w:rFonts w:ascii="Calibri" w:hAnsi="Calibri" w:cs="Arial"/>
                <w:sz w:val="18"/>
                <w:szCs w:val="18"/>
              </w:rPr>
            </w:pPr>
            <w:r w:rsidRPr="009419C3">
              <w:rPr>
                <w:rFonts w:ascii="Calibri" w:hAnsi="Calibri" w:cs="Arial"/>
                <w:sz w:val="18"/>
                <w:szCs w:val="18"/>
              </w:rPr>
              <w:t>Koszt własny sprzedaży</w:t>
            </w:r>
          </w:p>
        </w:tc>
        <w:tc>
          <w:tcPr>
            <w:tcW w:w="1760" w:type="dxa"/>
            <w:tcBorders>
              <w:top w:val="nil"/>
              <w:left w:val="nil"/>
              <w:bottom w:val="nil"/>
              <w:right w:val="nil"/>
            </w:tcBorders>
            <w:shd w:val="clear" w:color="000000" w:fill="D8D8D8"/>
            <w:noWrap/>
            <w:vAlign w:val="center"/>
          </w:tcPr>
          <w:p w14:paraId="537EEFEF"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1 950,8</w:t>
            </w:r>
          </w:p>
        </w:tc>
        <w:tc>
          <w:tcPr>
            <w:tcW w:w="1760" w:type="dxa"/>
            <w:tcBorders>
              <w:top w:val="nil"/>
              <w:left w:val="nil"/>
              <w:bottom w:val="nil"/>
              <w:right w:val="nil"/>
            </w:tcBorders>
            <w:shd w:val="clear" w:color="auto" w:fill="auto"/>
            <w:noWrap/>
            <w:vAlign w:val="center"/>
          </w:tcPr>
          <w:p w14:paraId="47C78F59"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1 837,9</w:t>
            </w:r>
          </w:p>
        </w:tc>
      </w:tr>
      <w:tr w:rsidR="00360EFC" w:rsidRPr="00360EFC" w14:paraId="2325D14F" w14:textId="77777777" w:rsidTr="00C64D75">
        <w:trPr>
          <w:trHeight w:val="270"/>
          <w:jc w:val="center"/>
        </w:trPr>
        <w:tc>
          <w:tcPr>
            <w:tcW w:w="4298" w:type="dxa"/>
            <w:tcBorders>
              <w:top w:val="nil"/>
              <w:left w:val="nil"/>
              <w:bottom w:val="nil"/>
              <w:right w:val="nil"/>
            </w:tcBorders>
            <w:shd w:val="clear" w:color="auto" w:fill="auto"/>
            <w:noWrap/>
            <w:vAlign w:val="center"/>
            <w:hideMark/>
          </w:tcPr>
          <w:p w14:paraId="35FC578C"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Wynik na działalności segmentu</w:t>
            </w:r>
          </w:p>
        </w:tc>
        <w:tc>
          <w:tcPr>
            <w:tcW w:w="1760" w:type="dxa"/>
            <w:tcBorders>
              <w:top w:val="single" w:sz="4" w:space="0" w:color="auto"/>
              <w:left w:val="nil"/>
              <w:bottom w:val="double" w:sz="6" w:space="0" w:color="auto"/>
              <w:right w:val="nil"/>
            </w:tcBorders>
            <w:shd w:val="clear" w:color="000000" w:fill="D8D8D8"/>
            <w:noWrap/>
            <w:vAlign w:val="center"/>
          </w:tcPr>
          <w:p w14:paraId="2CB76FC6"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583,3</w:t>
            </w:r>
          </w:p>
        </w:tc>
        <w:tc>
          <w:tcPr>
            <w:tcW w:w="1760" w:type="dxa"/>
            <w:tcBorders>
              <w:top w:val="single" w:sz="4" w:space="0" w:color="auto"/>
              <w:left w:val="nil"/>
              <w:bottom w:val="double" w:sz="6" w:space="0" w:color="auto"/>
              <w:right w:val="nil"/>
            </w:tcBorders>
            <w:shd w:val="clear" w:color="auto" w:fill="auto"/>
            <w:noWrap/>
            <w:vAlign w:val="center"/>
          </w:tcPr>
          <w:p w14:paraId="1447D793"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499,2</w:t>
            </w:r>
          </w:p>
        </w:tc>
      </w:tr>
      <w:tr w:rsidR="00360EFC" w:rsidRPr="00360EFC" w14:paraId="3B9220E2"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7CDB924C"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SEGMENT C - OBRÓBKA SKRAWANIEM</w:t>
            </w:r>
          </w:p>
        </w:tc>
        <w:tc>
          <w:tcPr>
            <w:tcW w:w="1760" w:type="dxa"/>
            <w:tcBorders>
              <w:top w:val="nil"/>
              <w:left w:val="nil"/>
              <w:bottom w:val="nil"/>
              <w:right w:val="nil"/>
            </w:tcBorders>
            <w:shd w:val="clear" w:color="000000" w:fill="D8D8D8"/>
            <w:noWrap/>
            <w:vAlign w:val="center"/>
          </w:tcPr>
          <w:p w14:paraId="0E885C35" w14:textId="77777777" w:rsidR="00577CDB" w:rsidRPr="00857381" w:rsidRDefault="00577CDB" w:rsidP="001D49CA">
            <w:pPr>
              <w:ind w:firstLine="567"/>
              <w:rPr>
                <w:rFonts w:ascii="Calibri" w:hAnsi="Calibri" w:cs="Arial"/>
                <w:b/>
                <w:bCs/>
                <w:sz w:val="18"/>
                <w:szCs w:val="18"/>
              </w:rPr>
            </w:pPr>
          </w:p>
        </w:tc>
        <w:tc>
          <w:tcPr>
            <w:tcW w:w="1760" w:type="dxa"/>
            <w:tcBorders>
              <w:top w:val="nil"/>
              <w:left w:val="nil"/>
              <w:bottom w:val="nil"/>
              <w:right w:val="nil"/>
            </w:tcBorders>
            <w:shd w:val="clear" w:color="auto" w:fill="auto"/>
            <w:noWrap/>
            <w:vAlign w:val="center"/>
          </w:tcPr>
          <w:p w14:paraId="204614A1" w14:textId="77777777" w:rsidR="00577CDB" w:rsidRPr="00857381" w:rsidRDefault="00577CDB" w:rsidP="001D49CA">
            <w:pPr>
              <w:rPr>
                <w:sz w:val="20"/>
                <w:szCs w:val="20"/>
              </w:rPr>
            </w:pPr>
          </w:p>
        </w:tc>
      </w:tr>
      <w:tr w:rsidR="00360EFC" w:rsidRPr="00360EFC" w14:paraId="41625D56" w14:textId="77777777" w:rsidTr="00C64D75">
        <w:trPr>
          <w:trHeight w:val="162"/>
          <w:jc w:val="center"/>
        </w:trPr>
        <w:tc>
          <w:tcPr>
            <w:tcW w:w="4298" w:type="dxa"/>
            <w:tcBorders>
              <w:top w:val="nil"/>
              <w:left w:val="nil"/>
              <w:bottom w:val="nil"/>
              <w:right w:val="nil"/>
            </w:tcBorders>
            <w:shd w:val="clear" w:color="auto" w:fill="auto"/>
            <w:noWrap/>
            <w:vAlign w:val="center"/>
            <w:hideMark/>
          </w:tcPr>
          <w:p w14:paraId="70044103" w14:textId="77777777" w:rsidR="00577CDB" w:rsidRPr="009419C3" w:rsidRDefault="00577CDB" w:rsidP="00E64385">
            <w:pPr>
              <w:rPr>
                <w:rFonts w:ascii="Calibri" w:hAnsi="Calibri" w:cs="Arial"/>
                <w:sz w:val="18"/>
                <w:szCs w:val="18"/>
              </w:rPr>
            </w:pPr>
          </w:p>
        </w:tc>
        <w:tc>
          <w:tcPr>
            <w:tcW w:w="1760" w:type="dxa"/>
            <w:tcBorders>
              <w:top w:val="nil"/>
              <w:left w:val="nil"/>
              <w:bottom w:val="nil"/>
              <w:right w:val="nil"/>
            </w:tcBorders>
            <w:shd w:val="clear" w:color="000000" w:fill="D8D8D8"/>
            <w:noWrap/>
            <w:vAlign w:val="center"/>
          </w:tcPr>
          <w:p w14:paraId="6E3EF1CB" w14:textId="77777777" w:rsidR="00577CDB" w:rsidRPr="00857381" w:rsidRDefault="00577CDB" w:rsidP="001D49CA">
            <w:pPr>
              <w:ind w:firstLine="567"/>
              <w:rPr>
                <w:rFonts w:ascii="Calibri" w:hAnsi="Calibri" w:cs="Arial"/>
                <w:sz w:val="18"/>
                <w:szCs w:val="18"/>
              </w:rPr>
            </w:pPr>
          </w:p>
        </w:tc>
        <w:tc>
          <w:tcPr>
            <w:tcW w:w="1760" w:type="dxa"/>
            <w:tcBorders>
              <w:top w:val="nil"/>
              <w:left w:val="nil"/>
              <w:bottom w:val="nil"/>
              <w:right w:val="nil"/>
            </w:tcBorders>
            <w:shd w:val="clear" w:color="auto" w:fill="auto"/>
            <w:noWrap/>
            <w:vAlign w:val="center"/>
          </w:tcPr>
          <w:p w14:paraId="7FCEF38D" w14:textId="77777777" w:rsidR="00577CDB" w:rsidRPr="00857381" w:rsidRDefault="00577CDB" w:rsidP="001D49CA">
            <w:pPr>
              <w:rPr>
                <w:sz w:val="20"/>
                <w:szCs w:val="20"/>
              </w:rPr>
            </w:pPr>
          </w:p>
        </w:tc>
      </w:tr>
      <w:tr w:rsidR="00360EFC" w:rsidRPr="00360EFC" w14:paraId="4424F805"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75A3827B" w14:textId="77777777" w:rsidR="00577CDB" w:rsidRPr="009419C3" w:rsidRDefault="00577CDB" w:rsidP="00E64385">
            <w:pPr>
              <w:rPr>
                <w:rFonts w:ascii="Calibri" w:hAnsi="Calibri" w:cs="Arial"/>
                <w:sz w:val="18"/>
                <w:szCs w:val="18"/>
              </w:rPr>
            </w:pPr>
            <w:r w:rsidRPr="009419C3">
              <w:rPr>
                <w:rFonts w:ascii="Calibri" w:hAnsi="Calibri" w:cs="Arial"/>
                <w:sz w:val="18"/>
                <w:szCs w:val="18"/>
              </w:rPr>
              <w:t>Przychody ze sprzedaży</w:t>
            </w:r>
          </w:p>
        </w:tc>
        <w:tc>
          <w:tcPr>
            <w:tcW w:w="1760" w:type="dxa"/>
            <w:tcBorders>
              <w:top w:val="nil"/>
              <w:left w:val="nil"/>
              <w:bottom w:val="nil"/>
              <w:right w:val="nil"/>
            </w:tcBorders>
            <w:shd w:val="clear" w:color="000000" w:fill="D8D8D8"/>
            <w:noWrap/>
            <w:vAlign w:val="center"/>
          </w:tcPr>
          <w:p w14:paraId="1CD1AB83"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502,3</w:t>
            </w:r>
          </w:p>
        </w:tc>
        <w:tc>
          <w:tcPr>
            <w:tcW w:w="1760" w:type="dxa"/>
            <w:tcBorders>
              <w:top w:val="nil"/>
              <w:left w:val="nil"/>
              <w:bottom w:val="nil"/>
              <w:right w:val="nil"/>
            </w:tcBorders>
            <w:shd w:val="clear" w:color="auto" w:fill="auto"/>
            <w:noWrap/>
            <w:vAlign w:val="center"/>
          </w:tcPr>
          <w:p w14:paraId="32AD79C3"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460,8</w:t>
            </w:r>
          </w:p>
        </w:tc>
      </w:tr>
      <w:tr w:rsidR="00360EFC" w:rsidRPr="00360EFC" w14:paraId="5C16C1A2"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594BAAE9" w14:textId="77777777" w:rsidR="00577CDB" w:rsidRPr="009419C3" w:rsidRDefault="00577CDB" w:rsidP="00E64385">
            <w:pPr>
              <w:rPr>
                <w:rFonts w:ascii="Calibri" w:hAnsi="Calibri" w:cs="Arial"/>
                <w:sz w:val="18"/>
                <w:szCs w:val="18"/>
              </w:rPr>
            </w:pPr>
            <w:r w:rsidRPr="009419C3">
              <w:rPr>
                <w:rFonts w:ascii="Calibri" w:hAnsi="Calibri" w:cs="Arial"/>
                <w:sz w:val="18"/>
                <w:szCs w:val="18"/>
              </w:rPr>
              <w:t>Koszt własny sprzedaży</w:t>
            </w:r>
          </w:p>
        </w:tc>
        <w:tc>
          <w:tcPr>
            <w:tcW w:w="1760" w:type="dxa"/>
            <w:tcBorders>
              <w:top w:val="nil"/>
              <w:left w:val="nil"/>
              <w:bottom w:val="nil"/>
              <w:right w:val="nil"/>
            </w:tcBorders>
            <w:shd w:val="clear" w:color="000000" w:fill="D8D8D8"/>
            <w:noWrap/>
            <w:vAlign w:val="center"/>
          </w:tcPr>
          <w:p w14:paraId="46E89758"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400,9</w:t>
            </w:r>
          </w:p>
        </w:tc>
        <w:tc>
          <w:tcPr>
            <w:tcW w:w="1760" w:type="dxa"/>
            <w:tcBorders>
              <w:top w:val="nil"/>
              <w:left w:val="nil"/>
              <w:bottom w:val="nil"/>
              <w:right w:val="nil"/>
            </w:tcBorders>
            <w:shd w:val="clear" w:color="auto" w:fill="auto"/>
            <w:noWrap/>
            <w:vAlign w:val="center"/>
          </w:tcPr>
          <w:p w14:paraId="6402D79E"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367,3</w:t>
            </w:r>
          </w:p>
        </w:tc>
      </w:tr>
      <w:tr w:rsidR="00360EFC" w:rsidRPr="00360EFC" w14:paraId="6175CD1B" w14:textId="77777777" w:rsidTr="00C64D75">
        <w:trPr>
          <w:trHeight w:val="270"/>
          <w:jc w:val="center"/>
        </w:trPr>
        <w:tc>
          <w:tcPr>
            <w:tcW w:w="4298" w:type="dxa"/>
            <w:tcBorders>
              <w:top w:val="nil"/>
              <w:left w:val="nil"/>
              <w:bottom w:val="nil"/>
              <w:right w:val="nil"/>
            </w:tcBorders>
            <w:shd w:val="clear" w:color="auto" w:fill="auto"/>
            <w:noWrap/>
            <w:vAlign w:val="center"/>
            <w:hideMark/>
          </w:tcPr>
          <w:p w14:paraId="700F39A4"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Wynik na działalności segmentu</w:t>
            </w:r>
          </w:p>
        </w:tc>
        <w:tc>
          <w:tcPr>
            <w:tcW w:w="1760" w:type="dxa"/>
            <w:tcBorders>
              <w:top w:val="single" w:sz="4" w:space="0" w:color="auto"/>
              <w:left w:val="nil"/>
              <w:bottom w:val="double" w:sz="6" w:space="0" w:color="auto"/>
              <w:right w:val="nil"/>
            </w:tcBorders>
            <w:shd w:val="clear" w:color="000000" w:fill="D8D8D8"/>
            <w:noWrap/>
            <w:vAlign w:val="center"/>
          </w:tcPr>
          <w:p w14:paraId="132347F6"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101,4</w:t>
            </w:r>
          </w:p>
        </w:tc>
        <w:tc>
          <w:tcPr>
            <w:tcW w:w="1760" w:type="dxa"/>
            <w:tcBorders>
              <w:top w:val="single" w:sz="4" w:space="0" w:color="auto"/>
              <w:left w:val="nil"/>
              <w:bottom w:val="double" w:sz="6" w:space="0" w:color="auto"/>
              <w:right w:val="nil"/>
            </w:tcBorders>
            <w:shd w:val="clear" w:color="auto" w:fill="auto"/>
            <w:noWrap/>
            <w:vAlign w:val="center"/>
          </w:tcPr>
          <w:p w14:paraId="4B8C53C0"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93,5</w:t>
            </w:r>
          </w:p>
        </w:tc>
      </w:tr>
      <w:tr w:rsidR="00360EFC" w:rsidRPr="00360EFC" w14:paraId="019E6FA9"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7F4A7546" w14:textId="77777777" w:rsidR="00577CDB" w:rsidRPr="009419C3" w:rsidRDefault="00577CDB" w:rsidP="00E64385">
            <w:pPr>
              <w:rPr>
                <w:rFonts w:ascii="Calibri" w:hAnsi="Calibri" w:cs="Arial"/>
                <w:b/>
                <w:bCs/>
                <w:sz w:val="18"/>
                <w:szCs w:val="18"/>
              </w:rPr>
            </w:pPr>
          </w:p>
          <w:p w14:paraId="6681F0EB"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SEGMENT D - ROBOTY BUDOWLANO-MONTAŻOWE</w:t>
            </w:r>
          </w:p>
        </w:tc>
        <w:tc>
          <w:tcPr>
            <w:tcW w:w="1760" w:type="dxa"/>
            <w:tcBorders>
              <w:top w:val="nil"/>
              <w:left w:val="nil"/>
              <w:bottom w:val="nil"/>
              <w:right w:val="nil"/>
            </w:tcBorders>
            <w:shd w:val="clear" w:color="000000" w:fill="D8D8D8"/>
            <w:noWrap/>
            <w:vAlign w:val="center"/>
          </w:tcPr>
          <w:p w14:paraId="22045631" w14:textId="77777777" w:rsidR="00577CDB" w:rsidRPr="00857381" w:rsidRDefault="00577CDB" w:rsidP="001D49CA">
            <w:pPr>
              <w:ind w:firstLine="567"/>
              <w:rPr>
                <w:rFonts w:ascii="Calibri" w:hAnsi="Calibri" w:cs="Arial"/>
                <w:b/>
                <w:bCs/>
                <w:sz w:val="18"/>
                <w:szCs w:val="18"/>
              </w:rPr>
            </w:pPr>
          </w:p>
        </w:tc>
        <w:tc>
          <w:tcPr>
            <w:tcW w:w="1760" w:type="dxa"/>
            <w:tcBorders>
              <w:top w:val="nil"/>
              <w:left w:val="nil"/>
              <w:bottom w:val="nil"/>
              <w:right w:val="nil"/>
            </w:tcBorders>
            <w:shd w:val="clear" w:color="auto" w:fill="auto"/>
            <w:noWrap/>
            <w:vAlign w:val="center"/>
          </w:tcPr>
          <w:p w14:paraId="1B6B6215" w14:textId="77777777" w:rsidR="00577CDB" w:rsidRPr="00857381" w:rsidRDefault="00577CDB" w:rsidP="001D49CA">
            <w:pPr>
              <w:rPr>
                <w:sz w:val="20"/>
                <w:szCs w:val="20"/>
              </w:rPr>
            </w:pPr>
          </w:p>
        </w:tc>
      </w:tr>
      <w:tr w:rsidR="00360EFC" w:rsidRPr="00360EFC" w14:paraId="7CB13DFA" w14:textId="77777777" w:rsidTr="00C64D75">
        <w:trPr>
          <w:trHeight w:val="162"/>
          <w:jc w:val="center"/>
        </w:trPr>
        <w:tc>
          <w:tcPr>
            <w:tcW w:w="4298" w:type="dxa"/>
            <w:tcBorders>
              <w:top w:val="nil"/>
              <w:left w:val="nil"/>
              <w:bottom w:val="nil"/>
              <w:right w:val="nil"/>
            </w:tcBorders>
            <w:shd w:val="clear" w:color="auto" w:fill="auto"/>
            <w:noWrap/>
            <w:vAlign w:val="center"/>
            <w:hideMark/>
          </w:tcPr>
          <w:p w14:paraId="362E6A6E" w14:textId="77777777" w:rsidR="00577CDB" w:rsidRPr="009419C3" w:rsidRDefault="00577CDB" w:rsidP="00E64385">
            <w:pPr>
              <w:rPr>
                <w:rFonts w:ascii="Calibri" w:hAnsi="Calibri" w:cs="Arial"/>
                <w:sz w:val="18"/>
                <w:szCs w:val="18"/>
              </w:rPr>
            </w:pPr>
          </w:p>
        </w:tc>
        <w:tc>
          <w:tcPr>
            <w:tcW w:w="1760" w:type="dxa"/>
            <w:tcBorders>
              <w:top w:val="nil"/>
              <w:left w:val="nil"/>
              <w:bottom w:val="nil"/>
              <w:right w:val="nil"/>
            </w:tcBorders>
            <w:shd w:val="clear" w:color="000000" w:fill="D8D8D8"/>
            <w:noWrap/>
            <w:vAlign w:val="center"/>
          </w:tcPr>
          <w:p w14:paraId="2DB5D51B" w14:textId="77777777" w:rsidR="00577CDB" w:rsidRPr="00857381" w:rsidRDefault="00577CDB" w:rsidP="001D49CA">
            <w:pPr>
              <w:ind w:firstLine="567"/>
              <w:rPr>
                <w:rFonts w:ascii="Calibri" w:hAnsi="Calibri" w:cs="Arial"/>
                <w:sz w:val="18"/>
                <w:szCs w:val="18"/>
              </w:rPr>
            </w:pPr>
          </w:p>
        </w:tc>
        <w:tc>
          <w:tcPr>
            <w:tcW w:w="1760" w:type="dxa"/>
            <w:tcBorders>
              <w:top w:val="nil"/>
              <w:left w:val="nil"/>
              <w:bottom w:val="nil"/>
              <w:right w:val="nil"/>
            </w:tcBorders>
            <w:shd w:val="clear" w:color="auto" w:fill="auto"/>
            <w:noWrap/>
            <w:vAlign w:val="center"/>
          </w:tcPr>
          <w:p w14:paraId="33BD3544" w14:textId="77777777" w:rsidR="00577CDB" w:rsidRPr="00857381" w:rsidRDefault="00577CDB" w:rsidP="001D49CA">
            <w:pPr>
              <w:rPr>
                <w:sz w:val="20"/>
                <w:szCs w:val="20"/>
              </w:rPr>
            </w:pPr>
          </w:p>
        </w:tc>
      </w:tr>
      <w:tr w:rsidR="00360EFC" w:rsidRPr="00360EFC" w14:paraId="3FE60C48"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36A39C94" w14:textId="77777777" w:rsidR="00577CDB" w:rsidRPr="009419C3" w:rsidRDefault="00577CDB" w:rsidP="00E64385">
            <w:pPr>
              <w:rPr>
                <w:rFonts w:ascii="Calibri" w:hAnsi="Calibri" w:cs="Arial"/>
                <w:sz w:val="18"/>
                <w:szCs w:val="18"/>
              </w:rPr>
            </w:pPr>
            <w:r w:rsidRPr="009419C3">
              <w:rPr>
                <w:rFonts w:ascii="Calibri" w:hAnsi="Calibri" w:cs="Arial"/>
                <w:sz w:val="18"/>
                <w:szCs w:val="18"/>
              </w:rPr>
              <w:t>Przychody ze sprzedaży</w:t>
            </w:r>
          </w:p>
        </w:tc>
        <w:tc>
          <w:tcPr>
            <w:tcW w:w="1760" w:type="dxa"/>
            <w:tcBorders>
              <w:top w:val="nil"/>
              <w:left w:val="nil"/>
              <w:bottom w:val="nil"/>
              <w:right w:val="nil"/>
            </w:tcBorders>
            <w:shd w:val="clear" w:color="000000" w:fill="D8D8D8"/>
            <w:noWrap/>
            <w:vAlign w:val="center"/>
          </w:tcPr>
          <w:p w14:paraId="3DBA9DE0"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10 367,5</w:t>
            </w:r>
          </w:p>
        </w:tc>
        <w:tc>
          <w:tcPr>
            <w:tcW w:w="1760" w:type="dxa"/>
            <w:tcBorders>
              <w:top w:val="nil"/>
              <w:left w:val="nil"/>
              <w:bottom w:val="nil"/>
              <w:right w:val="nil"/>
            </w:tcBorders>
            <w:shd w:val="clear" w:color="auto" w:fill="auto"/>
            <w:noWrap/>
            <w:vAlign w:val="center"/>
          </w:tcPr>
          <w:p w14:paraId="3B47787C"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8 213,7</w:t>
            </w:r>
          </w:p>
        </w:tc>
      </w:tr>
      <w:tr w:rsidR="00360EFC" w:rsidRPr="00360EFC" w14:paraId="4B04B576"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7771FAD2" w14:textId="77777777" w:rsidR="00577CDB" w:rsidRPr="009419C3" w:rsidRDefault="00577CDB" w:rsidP="00E64385">
            <w:pPr>
              <w:rPr>
                <w:rFonts w:ascii="Calibri" w:hAnsi="Calibri" w:cs="Arial"/>
                <w:sz w:val="18"/>
                <w:szCs w:val="18"/>
              </w:rPr>
            </w:pPr>
            <w:r w:rsidRPr="009419C3">
              <w:rPr>
                <w:rFonts w:ascii="Calibri" w:hAnsi="Calibri" w:cs="Arial"/>
                <w:sz w:val="18"/>
                <w:szCs w:val="18"/>
              </w:rPr>
              <w:t>Koszt własny sprzedaży</w:t>
            </w:r>
          </w:p>
        </w:tc>
        <w:tc>
          <w:tcPr>
            <w:tcW w:w="1760" w:type="dxa"/>
            <w:tcBorders>
              <w:top w:val="nil"/>
              <w:left w:val="nil"/>
              <w:bottom w:val="nil"/>
              <w:right w:val="nil"/>
            </w:tcBorders>
            <w:shd w:val="clear" w:color="000000" w:fill="D8D8D8"/>
            <w:noWrap/>
            <w:vAlign w:val="center"/>
          </w:tcPr>
          <w:p w14:paraId="6AB0543B"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8 617,9</w:t>
            </w:r>
          </w:p>
        </w:tc>
        <w:tc>
          <w:tcPr>
            <w:tcW w:w="1760" w:type="dxa"/>
            <w:tcBorders>
              <w:top w:val="nil"/>
              <w:left w:val="nil"/>
              <w:bottom w:val="nil"/>
              <w:right w:val="nil"/>
            </w:tcBorders>
            <w:shd w:val="clear" w:color="auto" w:fill="auto"/>
            <w:noWrap/>
            <w:vAlign w:val="center"/>
          </w:tcPr>
          <w:p w14:paraId="099C44B6"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6 979,9</w:t>
            </w:r>
          </w:p>
        </w:tc>
      </w:tr>
      <w:tr w:rsidR="00360EFC" w:rsidRPr="00360EFC" w14:paraId="37F68589" w14:textId="77777777" w:rsidTr="00C64D75">
        <w:trPr>
          <w:trHeight w:val="270"/>
          <w:jc w:val="center"/>
        </w:trPr>
        <w:tc>
          <w:tcPr>
            <w:tcW w:w="4298" w:type="dxa"/>
            <w:tcBorders>
              <w:top w:val="nil"/>
              <w:left w:val="nil"/>
              <w:bottom w:val="nil"/>
              <w:right w:val="nil"/>
            </w:tcBorders>
            <w:shd w:val="clear" w:color="auto" w:fill="auto"/>
            <w:noWrap/>
            <w:vAlign w:val="center"/>
            <w:hideMark/>
          </w:tcPr>
          <w:p w14:paraId="0EB24451"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Wynik na działalności segmentu</w:t>
            </w:r>
          </w:p>
        </w:tc>
        <w:tc>
          <w:tcPr>
            <w:tcW w:w="1760" w:type="dxa"/>
            <w:tcBorders>
              <w:top w:val="single" w:sz="4" w:space="0" w:color="auto"/>
              <w:left w:val="nil"/>
              <w:bottom w:val="double" w:sz="6" w:space="0" w:color="auto"/>
              <w:right w:val="nil"/>
            </w:tcBorders>
            <w:shd w:val="clear" w:color="000000" w:fill="D8D8D8"/>
            <w:noWrap/>
            <w:vAlign w:val="center"/>
          </w:tcPr>
          <w:p w14:paraId="67F37FBC"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1 749,6</w:t>
            </w:r>
          </w:p>
        </w:tc>
        <w:tc>
          <w:tcPr>
            <w:tcW w:w="1760" w:type="dxa"/>
            <w:tcBorders>
              <w:top w:val="single" w:sz="4" w:space="0" w:color="auto"/>
              <w:left w:val="nil"/>
              <w:bottom w:val="double" w:sz="6" w:space="0" w:color="auto"/>
              <w:right w:val="nil"/>
            </w:tcBorders>
            <w:shd w:val="clear" w:color="auto" w:fill="auto"/>
            <w:noWrap/>
            <w:vAlign w:val="center"/>
          </w:tcPr>
          <w:p w14:paraId="037844DD"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1 233,8</w:t>
            </w:r>
          </w:p>
        </w:tc>
      </w:tr>
      <w:tr w:rsidR="00360EFC" w:rsidRPr="00360EFC" w14:paraId="4B2835D0" w14:textId="77777777" w:rsidTr="00C64D75">
        <w:trPr>
          <w:trHeight w:val="270"/>
          <w:jc w:val="center"/>
        </w:trPr>
        <w:tc>
          <w:tcPr>
            <w:tcW w:w="4298" w:type="dxa"/>
            <w:tcBorders>
              <w:top w:val="nil"/>
              <w:left w:val="nil"/>
              <w:bottom w:val="nil"/>
              <w:right w:val="nil"/>
            </w:tcBorders>
            <w:shd w:val="clear" w:color="auto" w:fill="auto"/>
            <w:noWrap/>
            <w:vAlign w:val="center"/>
            <w:hideMark/>
          </w:tcPr>
          <w:p w14:paraId="076DBBE7" w14:textId="77777777" w:rsidR="00577CDB" w:rsidRPr="009419C3" w:rsidRDefault="00577CDB" w:rsidP="00E64385">
            <w:pPr>
              <w:rPr>
                <w:rFonts w:ascii="Calibri" w:hAnsi="Calibri" w:cs="Arial"/>
                <w:b/>
                <w:bCs/>
                <w:sz w:val="18"/>
                <w:szCs w:val="18"/>
              </w:rPr>
            </w:pPr>
          </w:p>
          <w:p w14:paraId="17CE4C4F"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SEGMENT E - POZOSTAŁE</w:t>
            </w:r>
          </w:p>
        </w:tc>
        <w:tc>
          <w:tcPr>
            <w:tcW w:w="1760" w:type="dxa"/>
            <w:tcBorders>
              <w:top w:val="nil"/>
              <w:left w:val="nil"/>
              <w:bottom w:val="nil"/>
              <w:right w:val="nil"/>
            </w:tcBorders>
            <w:shd w:val="clear" w:color="000000" w:fill="D8D8D8"/>
            <w:noWrap/>
            <w:vAlign w:val="center"/>
          </w:tcPr>
          <w:p w14:paraId="60523FCC" w14:textId="77777777" w:rsidR="00577CDB" w:rsidRPr="00857381" w:rsidRDefault="00577CDB" w:rsidP="001D49CA">
            <w:pPr>
              <w:ind w:firstLine="567"/>
              <w:rPr>
                <w:rFonts w:ascii="Calibri" w:hAnsi="Calibri" w:cs="Arial"/>
                <w:b/>
                <w:bCs/>
                <w:sz w:val="18"/>
                <w:szCs w:val="18"/>
              </w:rPr>
            </w:pPr>
          </w:p>
        </w:tc>
        <w:tc>
          <w:tcPr>
            <w:tcW w:w="1760" w:type="dxa"/>
            <w:tcBorders>
              <w:top w:val="nil"/>
              <w:left w:val="nil"/>
              <w:bottom w:val="nil"/>
              <w:right w:val="nil"/>
            </w:tcBorders>
            <w:shd w:val="clear" w:color="auto" w:fill="auto"/>
            <w:noWrap/>
            <w:vAlign w:val="center"/>
          </w:tcPr>
          <w:p w14:paraId="4E6671CA" w14:textId="77777777" w:rsidR="00577CDB" w:rsidRPr="00857381" w:rsidRDefault="00577CDB" w:rsidP="001D49CA">
            <w:pPr>
              <w:rPr>
                <w:sz w:val="20"/>
                <w:szCs w:val="20"/>
              </w:rPr>
            </w:pPr>
          </w:p>
        </w:tc>
      </w:tr>
      <w:tr w:rsidR="00360EFC" w:rsidRPr="00360EFC" w14:paraId="71F70776"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60A547D3" w14:textId="77777777" w:rsidR="00577CDB" w:rsidRPr="009419C3" w:rsidRDefault="00577CDB" w:rsidP="00E64385">
            <w:pPr>
              <w:rPr>
                <w:rFonts w:ascii="Calibri" w:hAnsi="Calibri" w:cs="Arial"/>
                <w:sz w:val="18"/>
                <w:szCs w:val="18"/>
              </w:rPr>
            </w:pPr>
          </w:p>
        </w:tc>
        <w:tc>
          <w:tcPr>
            <w:tcW w:w="1760" w:type="dxa"/>
            <w:tcBorders>
              <w:top w:val="nil"/>
              <w:left w:val="nil"/>
              <w:bottom w:val="nil"/>
              <w:right w:val="nil"/>
            </w:tcBorders>
            <w:shd w:val="clear" w:color="000000" w:fill="D8D8D8"/>
            <w:noWrap/>
            <w:vAlign w:val="center"/>
          </w:tcPr>
          <w:p w14:paraId="3FC14CA2" w14:textId="77777777" w:rsidR="00577CDB" w:rsidRPr="00857381" w:rsidRDefault="00577CDB" w:rsidP="001D49CA">
            <w:pPr>
              <w:ind w:firstLine="567"/>
              <w:rPr>
                <w:rFonts w:ascii="Calibri" w:hAnsi="Calibri" w:cs="Arial"/>
                <w:sz w:val="18"/>
                <w:szCs w:val="18"/>
              </w:rPr>
            </w:pPr>
          </w:p>
        </w:tc>
        <w:tc>
          <w:tcPr>
            <w:tcW w:w="1760" w:type="dxa"/>
            <w:tcBorders>
              <w:top w:val="nil"/>
              <w:left w:val="nil"/>
              <w:bottom w:val="nil"/>
              <w:right w:val="nil"/>
            </w:tcBorders>
            <w:shd w:val="clear" w:color="auto" w:fill="auto"/>
            <w:noWrap/>
            <w:vAlign w:val="center"/>
          </w:tcPr>
          <w:p w14:paraId="75A5BAAA" w14:textId="77777777" w:rsidR="00577CDB" w:rsidRPr="00857381" w:rsidRDefault="00577CDB" w:rsidP="001D49CA">
            <w:pPr>
              <w:rPr>
                <w:sz w:val="20"/>
                <w:szCs w:val="20"/>
              </w:rPr>
            </w:pPr>
          </w:p>
        </w:tc>
      </w:tr>
      <w:tr w:rsidR="00360EFC" w:rsidRPr="00360EFC" w14:paraId="7E754C7C"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2CE635E0" w14:textId="77777777" w:rsidR="00577CDB" w:rsidRPr="009419C3" w:rsidRDefault="00577CDB" w:rsidP="00E64385">
            <w:pPr>
              <w:rPr>
                <w:rFonts w:ascii="Calibri" w:hAnsi="Calibri" w:cs="Arial"/>
                <w:sz w:val="18"/>
                <w:szCs w:val="18"/>
              </w:rPr>
            </w:pPr>
            <w:r w:rsidRPr="009419C3">
              <w:rPr>
                <w:rFonts w:ascii="Calibri" w:hAnsi="Calibri" w:cs="Arial"/>
                <w:sz w:val="18"/>
                <w:szCs w:val="18"/>
              </w:rPr>
              <w:t>Przychody ze sprzedaży</w:t>
            </w:r>
          </w:p>
        </w:tc>
        <w:tc>
          <w:tcPr>
            <w:tcW w:w="1760" w:type="dxa"/>
            <w:tcBorders>
              <w:top w:val="nil"/>
              <w:left w:val="nil"/>
              <w:bottom w:val="nil"/>
              <w:right w:val="nil"/>
            </w:tcBorders>
            <w:shd w:val="clear" w:color="000000" w:fill="D8D8D8"/>
            <w:noWrap/>
            <w:vAlign w:val="center"/>
          </w:tcPr>
          <w:p w14:paraId="16AD9D88"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52,3</w:t>
            </w:r>
          </w:p>
        </w:tc>
        <w:tc>
          <w:tcPr>
            <w:tcW w:w="1760" w:type="dxa"/>
            <w:tcBorders>
              <w:top w:val="nil"/>
              <w:left w:val="nil"/>
              <w:bottom w:val="nil"/>
              <w:right w:val="nil"/>
            </w:tcBorders>
            <w:shd w:val="clear" w:color="auto" w:fill="auto"/>
            <w:noWrap/>
            <w:vAlign w:val="center"/>
          </w:tcPr>
          <w:p w14:paraId="1D812501"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34,1</w:t>
            </w:r>
          </w:p>
        </w:tc>
      </w:tr>
      <w:tr w:rsidR="00360EFC" w:rsidRPr="00360EFC" w14:paraId="0F684B38"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750428EE" w14:textId="77777777" w:rsidR="00577CDB" w:rsidRPr="009419C3" w:rsidRDefault="00577CDB" w:rsidP="00E64385">
            <w:pPr>
              <w:rPr>
                <w:rFonts w:ascii="Calibri" w:hAnsi="Calibri" w:cs="Arial"/>
                <w:sz w:val="18"/>
                <w:szCs w:val="18"/>
              </w:rPr>
            </w:pPr>
            <w:r w:rsidRPr="009419C3">
              <w:rPr>
                <w:rFonts w:ascii="Calibri" w:hAnsi="Calibri" w:cs="Arial"/>
                <w:sz w:val="18"/>
                <w:szCs w:val="18"/>
              </w:rPr>
              <w:t>Koszt własny sprzedaży</w:t>
            </w:r>
          </w:p>
        </w:tc>
        <w:tc>
          <w:tcPr>
            <w:tcW w:w="1760" w:type="dxa"/>
            <w:tcBorders>
              <w:top w:val="nil"/>
              <w:left w:val="nil"/>
              <w:bottom w:val="nil"/>
              <w:right w:val="nil"/>
            </w:tcBorders>
            <w:shd w:val="clear" w:color="000000" w:fill="D8D8D8"/>
            <w:noWrap/>
            <w:vAlign w:val="center"/>
          </w:tcPr>
          <w:p w14:paraId="3BA32447"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37,3</w:t>
            </w:r>
          </w:p>
        </w:tc>
        <w:tc>
          <w:tcPr>
            <w:tcW w:w="1760" w:type="dxa"/>
            <w:tcBorders>
              <w:top w:val="nil"/>
              <w:left w:val="nil"/>
              <w:bottom w:val="nil"/>
              <w:right w:val="nil"/>
            </w:tcBorders>
            <w:shd w:val="clear" w:color="auto" w:fill="auto"/>
            <w:noWrap/>
            <w:vAlign w:val="center"/>
          </w:tcPr>
          <w:p w14:paraId="7CB38E55"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26,0</w:t>
            </w:r>
          </w:p>
        </w:tc>
      </w:tr>
      <w:tr w:rsidR="00360EFC" w:rsidRPr="00360EFC" w14:paraId="61ADE080" w14:textId="77777777" w:rsidTr="00C64D75">
        <w:trPr>
          <w:trHeight w:val="270"/>
          <w:jc w:val="center"/>
        </w:trPr>
        <w:tc>
          <w:tcPr>
            <w:tcW w:w="4298" w:type="dxa"/>
            <w:tcBorders>
              <w:top w:val="nil"/>
              <w:left w:val="nil"/>
              <w:bottom w:val="nil"/>
              <w:right w:val="nil"/>
            </w:tcBorders>
            <w:shd w:val="clear" w:color="auto" w:fill="auto"/>
            <w:noWrap/>
            <w:vAlign w:val="center"/>
            <w:hideMark/>
          </w:tcPr>
          <w:p w14:paraId="2F1A4C08"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Wynik na działalności segmentu</w:t>
            </w:r>
          </w:p>
        </w:tc>
        <w:tc>
          <w:tcPr>
            <w:tcW w:w="1760" w:type="dxa"/>
            <w:tcBorders>
              <w:top w:val="single" w:sz="4" w:space="0" w:color="auto"/>
              <w:left w:val="nil"/>
              <w:bottom w:val="double" w:sz="6" w:space="0" w:color="auto"/>
              <w:right w:val="nil"/>
            </w:tcBorders>
            <w:shd w:val="clear" w:color="000000" w:fill="D8D8D8"/>
            <w:noWrap/>
            <w:vAlign w:val="center"/>
          </w:tcPr>
          <w:p w14:paraId="1EE39A96"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15,0</w:t>
            </w:r>
          </w:p>
        </w:tc>
        <w:tc>
          <w:tcPr>
            <w:tcW w:w="1760" w:type="dxa"/>
            <w:tcBorders>
              <w:top w:val="single" w:sz="4" w:space="0" w:color="auto"/>
              <w:left w:val="nil"/>
              <w:bottom w:val="double" w:sz="6" w:space="0" w:color="auto"/>
              <w:right w:val="nil"/>
            </w:tcBorders>
            <w:shd w:val="clear" w:color="auto" w:fill="auto"/>
            <w:noWrap/>
            <w:vAlign w:val="center"/>
          </w:tcPr>
          <w:p w14:paraId="1CAE3181"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8,1</w:t>
            </w:r>
          </w:p>
        </w:tc>
      </w:tr>
      <w:tr w:rsidR="00360EFC" w:rsidRPr="00360EFC" w14:paraId="2A12D5C8"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668A8901" w14:textId="77777777" w:rsidR="00577CDB" w:rsidRPr="009419C3" w:rsidRDefault="00577CDB" w:rsidP="00E64385">
            <w:pPr>
              <w:rPr>
                <w:rFonts w:ascii="Calibri" w:hAnsi="Calibri" w:cs="Arial"/>
                <w:sz w:val="18"/>
                <w:szCs w:val="18"/>
              </w:rPr>
            </w:pPr>
          </w:p>
        </w:tc>
        <w:tc>
          <w:tcPr>
            <w:tcW w:w="1760" w:type="dxa"/>
            <w:tcBorders>
              <w:top w:val="nil"/>
              <w:left w:val="nil"/>
              <w:bottom w:val="nil"/>
              <w:right w:val="nil"/>
            </w:tcBorders>
            <w:shd w:val="clear" w:color="000000" w:fill="D8D8D8"/>
            <w:noWrap/>
            <w:vAlign w:val="center"/>
          </w:tcPr>
          <w:p w14:paraId="6BB6EAE4" w14:textId="77777777" w:rsidR="00577CDB" w:rsidRPr="00857381" w:rsidRDefault="00577CDB" w:rsidP="001D49CA">
            <w:pPr>
              <w:ind w:firstLine="567"/>
              <w:rPr>
                <w:rFonts w:ascii="Calibri" w:hAnsi="Calibri" w:cs="Arial"/>
                <w:sz w:val="18"/>
                <w:szCs w:val="18"/>
              </w:rPr>
            </w:pPr>
          </w:p>
        </w:tc>
        <w:tc>
          <w:tcPr>
            <w:tcW w:w="1760" w:type="dxa"/>
            <w:tcBorders>
              <w:top w:val="nil"/>
              <w:left w:val="nil"/>
              <w:bottom w:val="nil"/>
              <w:right w:val="nil"/>
            </w:tcBorders>
            <w:shd w:val="clear" w:color="auto" w:fill="auto"/>
            <w:noWrap/>
            <w:vAlign w:val="center"/>
          </w:tcPr>
          <w:p w14:paraId="635E0C82" w14:textId="77777777" w:rsidR="00577CDB" w:rsidRPr="00857381" w:rsidRDefault="00577CDB" w:rsidP="001D49CA">
            <w:pPr>
              <w:rPr>
                <w:sz w:val="20"/>
                <w:szCs w:val="20"/>
              </w:rPr>
            </w:pPr>
          </w:p>
        </w:tc>
      </w:tr>
      <w:tr w:rsidR="00360EFC" w:rsidRPr="00360EFC" w14:paraId="7150EF62" w14:textId="77777777" w:rsidTr="00B41C6B">
        <w:trPr>
          <w:trHeight w:val="255"/>
          <w:jc w:val="center"/>
        </w:trPr>
        <w:tc>
          <w:tcPr>
            <w:tcW w:w="4298" w:type="dxa"/>
            <w:tcBorders>
              <w:top w:val="nil"/>
              <w:left w:val="nil"/>
              <w:bottom w:val="nil"/>
              <w:right w:val="nil"/>
            </w:tcBorders>
            <w:shd w:val="clear" w:color="auto" w:fill="auto"/>
            <w:noWrap/>
            <w:vAlign w:val="center"/>
          </w:tcPr>
          <w:p w14:paraId="2FA02B7B" w14:textId="77777777" w:rsidR="00577CDB" w:rsidRPr="009419C3" w:rsidRDefault="00577CDB" w:rsidP="001702FD">
            <w:pPr>
              <w:rPr>
                <w:rFonts w:ascii="Calibri" w:hAnsi="Calibri" w:cs="Arial"/>
                <w:sz w:val="18"/>
                <w:szCs w:val="18"/>
              </w:rPr>
            </w:pPr>
            <w:r w:rsidRPr="009419C3">
              <w:rPr>
                <w:rFonts w:ascii="Calibri" w:hAnsi="Calibri" w:cs="Arial"/>
                <w:sz w:val="18"/>
                <w:szCs w:val="18"/>
              </w:rPr>
              <w:t>Przychody ze sprzedaży towarów i materiałów</w:t>
            </w:r>
          </w:p>
        </w:tc>
        <w:tc>
          <w:tcPr>
            <w:tcW w:w="1760" w:type="dxa"/>
            <w:tcBorders>
              <w:top w:val="nil"/>
              <w:left w:val="nil"/>
              <w:bottom w:val="nil"/>
              <w:right w:val="nil"/>
            </w:tcBorders>
            <w:shd w:val="clear" w:color="000000" w:fill="D8D8D8"/>
            <w:noWrap/>
            <w:vAlign w:val="center"/>
          </w:tcPr>
          <w:p w14:paraId="2EB0CEA6" w14:textId="77777777" w:rsidR="00577CDB" w:rsidRPr="00857381" w:rsidRDefault="00857381" w:rsidP="001D49CA">
            <w:pPr>
              <w:ind w:firstLine="310"/>
              <w:jc w:val="right"/>
              <w:rPr>
                <w:rFonts w:ascii="Calibri" w:hAnsi="Calibri" w:cs="Arial"/>
                <w:sz w:val="18"/>
                <w:szCs w:val="18"/>
              </w:rPr>
            </w:pPr>
            <w:r>
              <w:rPr>
                <w:rFonts w:ascii="Calibri" w:hAnsi="Calibri" w:cs="Arial"/>
                <w:sz w:val="18"/>
                <w:szCs w:val="18"/>
              </w:rPr>
              <w:t>56 772,0</w:t>
            </w:r>
          </w:p>
        </w:tc>
        <w:tc>
          <w:tcPr>
            <w:tcW w:w="1760" w:type="dxa"/>
            <w:tcBorders>
              <w:top w:val="nil"/>
              <w:left w:val="nil"/>
              <w:bottom w:val="nil"/>
              <w:right w:val="nil"/>
            </w:tcBorders>
            <w:shd w:val="clear" w:color="auto" w:fill="auto"/>
            <w:noWrap/>
            <w:vAlign w:val="center"/>
          </w:tcPr>
          <w:p w14:paraId="4FF47C49" w14:textId="77777777" w:rsidR="00577CDB" w:rsidRPr="00857381" w:rsidRDefault="00857381" w:rsidP="001D49CA">
            <w:pPr>
              <w:ind w:firstLine="251"/>
              <w:jc w:val="right"/>
              <w:rPr>
                <w:rFonts w:ascii="Calibri" w:hAnsi="Calibri" w:cs="Arial"/>
                <w:sz w:val="18"/>
                <w:szCs w:val="18"/>
              </w:rPr>
            </w:pPr>
            <w:r>
              <w:rPr>
                <w:rFonts w:ascii="Calibri" w:hAnsi="Calibri" w:cs="Arial"/>
                <w:sz w:val="18"/>
                <w:szCs w:val="18"/>
              </w:rPr>
              <w:t>123 809,0</w:t>
            </w:r>
          </w:p>
        </w:tc>
      </w:tr>
      <w:tr w:rsidR="00360EFC" w:rsidRPr="00360EFC" w14:paraId="68EB510D" w14:textId="77777777" w:rsidTr="00B41C6B">
        <w:trPr>
          <w:trHeight w:val="255"/>
          <w:jc w:val="center"/>
        </w:trPr>
        <w:tc>
          <w:tcPr>
            <w:tcW w:w="4298" w:type="dxa"/>
            <w:tcBorders>
              <w:top w:val="nil"/>
              <w:left w:val="nil"/>
              <w:bottom w:val="nil"/>
              <w:right w:val="nil"/>
            </w:tcBorders>
            <w:shd w:val="clear" w:color="auto" w:fill="auto"/>
            <w:noWrap/>
            <w:vAlign w:val="center"/>
          </w:tcPr>
          <w:p w14:paraId="48FC6DE6" w14:textId="77777777" w:rsidR="00577CDB" w:rsidRPr="009419C3" w:rsidRDefault="00577CDB" w:rsidP="001702FD">
            <w:pPr>
              <w:rPr>
                <w:rFonts w:ascii="Calibri" w:hAnsi="Calibri" w:cs="Arial"/>
                <w:sz w:val="18"/>
                <w:szCs w:val="18"/>
              </w:rPr>
            </w:pPr>
            <w:r w:rsidRPr="009419C3">
              <w:rPr>
                <w:rFonts w:ascii="Calibri" w:hAnsi="Calibri" w:cs="Arial"/>
                <w:sz w:val="18"/>
                <w:szCs w:val="18"/>
              </w:rPr>
              <w:t>Koszt własny sprzedaży towarów i materiałów</w:t>
            </w:r>
          </w:p>
        </w:tc>
        <w:tc>
          <w:tcPr>
            <w:tcW w:w="1760" w:type="dxa"/>
            <w:tcBorders>
              <w:top w:val="nil"/>
              <w:left w:val="nil"/>
              <w:bottom w:val="single" w:sz="4" w:space="0" w:color="auto"/>
              <w:right w:val="nil"/>
            </w:tcBorders>
            <w:shd w:val="clear" w:color="000000" w:fill="D8D8D8"/>
            <w:noWrap/>
            <w:vAlign w:val="center"/>
          </w:tcPr>
          <w:p w14:paraId="1710EE98"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43 658,0</w:t>
            </w:r>
          </w:p>
        </w:tc>
        <w:tc>
          <w:tcPr>
            <w:tcW w:w="1760" w:type="dxa"/>
            <w:tcBorders>
              <w:top w:val="nil"/>
              <w:left w:val="nil"/>
              <w:bottom w:val="single" w:sz="4" w:space="0" w:color="auto"/>
              <w:right w:val="nil"/>
            </w:tcBorders>
            <w:shd w:val="clear" w:color="auto" w:fill="auto"/>
            <w:noWrap/>
            <w:vAlign w:val="center"/>
          </w:tcPr>
          <w:p w14:paraId="7F9DEF1E" w14:textId="77777777" w:rsidR="00577CDB" w:rsidRPr="00857381" w:rsidRDefault="00857381" w:rsidP="001D49CA">
            <w:pPr>
              <w:ind w:firstLine="251"/>
              <w:jc w:val="right"/>
              <w:rPr>
                <w:rFonts w:ascii="Calibri" w:hAnsi="Calibri" w:cs="Arial"/>
                <w:sz w:val="18"/>
                <w:szCs w:val="18"/>
              </w:rPr>
            </w:pPr>
            <w:r>
              <w:rPr>
                <w:rFonts w:ascii="Calibri" w:hAnsi="Calibri" w:cs="Arial"/>
                <w:sz w:val="18"/>
                <w:szCs w:val="18"/>
              </w:rPr>
              <w:t>103 969,0</w:t>
            </w:r>
          </w:p>
        </w:tc>
      </w:tr>
      <w:tr w:rsidR="00360EFC" w:rsidRPr="00360EFC" w14:paraId="5D3B54F6" w14:textId="77777777" w:rsidTr="00B41C6B">
        <w:trPr>
          <w:trHeight w:val="255"/>
          <w:jc w:val="center"/>
        </w:trPr>
        <w:tc>
          <w:tcPr>
            <w:tcW w:w="4298" w:type="dxa"/>
            <w:tcBorders>
              <w:top w:val="nil"/>
              <w:left w:val="nil"/>
              <w:bottom w:val="nil"/>
              <w:right w:val="nil"/>
            </w:tcBorders>
            <w:shd w:val="clear" w:color="auto" w:fill="auto"/>
            <w:noWrap/>
            <w:vAlign w:val="center"/>
          </w:tcPr>
          <w:p w14:paraId="26914301" w14:textId="77777777" w:rsidR="00577CDB" w:rsidRPr="009419C3" w:rsidRDefault="00577CDB" w:rsidP="001702FD">
            <w:pPr>
              <w:rPr>
                <w:rFonts w:ascii="Calibri" w:hAnsi="Calibri" w:cs="Arial"/>
                <w:b/>
                <w:sz w:val="18"/>
                <w:szCs w:val="18"/>
              </w:rPr>
            </w:pPr>
            <w:r w:rsidRPr="009419C3">
              <w:rPr>
                <w:rFonts w:ascii="Calibri" w:hAnsi="Calibri" w:cs="Arial"/>
                <w:b/>
                <w:sz w:val="18"/>
                <w:szCs w:val="18"/>
              </w:rPr>
              <w:t>Wynik na sprzedaży towarów i materiałów</w:t>
            </w:r>
          </w:p>
        </w:tc>
        <w:tc>
          <w:tcPr>
            <w:tcW w:w="1760" w:type="dxa"/>
            <w:tcBorders>
              <w:top w:val="single" w:sz="4" w:space="0" w:color="auto"/>
              <w:left w:val="nil"/>
              <w:bottom w:val="double" w:sz="4" w:space="0" w:color="auto"/>
              <w:right w:val="nil"/>
            </w:tcBorders>
            <w:shd w:val="clear" w:color="000000" w:fill="D8D8D8"/>
            <w:noWrap/>
            <w:vAlign w:val="center"/>
          </w:tcPr>
          <w:p w14:paraId="2DC44AB1"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13 114,0</w:t>
            </w:r>
          </w:p>
        </w:tc>
        <w:tc>
          <w:tcPr>
            <w:tcW w:w="1760" w:type="dxa"/>
            <w:tcBorders>
              <w:top w:val="single" w:sz="4" w:space="0" w:color="auto"/>
              <w:left w:val="nil"/>
              <w:bottom w:val="double" w:sz="4" w:space="0" w:color="auto"/>
              <w:right w:val="nil"/>
            </w:tcBorders>
            <w:shd w:val="clear" w:color="auto" w:fill="auto"/>
            <w:noWrap/>
            <w:vAlign w:val="center"/>
          </w:tcPr>
          <w:p w14:paraId="5E722D29" w14:textId="77777777" w:rsidR="00577CDB" w:rsidRPr="00857381" w:rsidRDefault="00857381" w:rsidP="001D49CA">
            <w:pPr>
              <w:ind w:firstLine="393"/>
              <w:jc w:val="right"/>
              <w:rPr>
                <w:rFonts w:ascii="Calibri" w:hAnsi="Calibri" w:cs="Arial"/>
                <w:b/>
                <w:bCs/>
                <w:sz w:val="18"/>
                <w:szCs w:val="18"/>
              </w:rPr>
            </w:pPr>
            <w:r>
              <w:rPr>
                <w:rFonts w:ascii="Calibri" w:hAnsi="Calibri" w:cs="Arial"/>
                <w:b/>
                <w:bCs/>
                <w:sz w:val="18"/>
                <w:szCs w:val="18"/>
              </w:rPr>
              <w:t>19 840,0</w:t>
            </w:r>
          </w:p>
        </w:tc>
      </w:tr>
      <w:tr w:rsidR="00360EFC" w:rsidRPr="00360EFC" w14:paraId="1E547288" w14:textId="77777777" w:rsidTr="00B41C6B">
        <w:trPr>
          <w:trHeight w:val="255"/>
          <w:jc w:val="center"/>
        </w:trPr>
        <w:tc>
          <w:tcPr>
            <w:tcW w:w="4298" w:type="dxa"/>
            <w:tcBorders>
              <w:top w:val="nil"/>
              <w:left w:val="nil"/>
              <w:bottom w:val="nil"/>
              <w:right w:val="nil"/>
            </w:tcBorders>
            <w:shd w:val="clear" w:color="auto" w:fill="auto"/>
            <w:noWrap/>
            <w:vAlign w:val="center"/>
          </w:tcPr>
          <w:p w14:paraId="48373DC1" w14:textId="77777777" w:rsidR="00577CDB" w:rsidRPr="009419C3" w:rsidRDefault="00577CDB" w:rsidP="00E64385">
            <w:pPr>
              <w:rPr>
                <w:rFonts w:ascii="Calibri" w:hAnsi="Calibri" w:cs="Arial"/>
                <w:sz w:val="18"/>
                <w:szCs w:val="18"/>
              </w:rPr>
            </w:pPr>
          </w:p>
        </w:tc>
        <w:tc>
          <w:tcPr>
            <w:tcW w:w="1760" w:type="dxa"/>
            <w:tcBorders>
              <w:top w:val="double" w:sz="4" w:space="0" w:color="auto"/>
              <w:left w:val="nil"/>
              <w:bottom w:val="nil"/>
              <w:right w:val="nil"/>
            </w:tcBorders>
            <w:shd w:val="clear" w:color="000000" w:fill="D8D8D8"/>
            <w:noWrap/>
            <w:vAlign w:val="center"/>
          </w:tcPr>
          <w:p w14:paraId="0A48ED88" w14:textId="77777777" w:rsidR="00577CDB" w:rsidRPr="00857381" w:rsidRDefault="00577CDB" w:rsidP="001D49CA">
            <w:pPr>
              <w:ind w:firstLine="567"/>
              <w:rPr>
                <w:rFonts w:ascii="Calibri" w:hAnsi="Calibri" w:cs="Arial"/>
                <w:sz w:val="18"/>
                <w:szCs w:val="18"/>
              </w:rPr>
            </w:pPr>
          </w:p>
        </w:tc>
        <w:tc>
          <w:tcPr>
            <w:tcW w:w="1760" w:type="dxa"/>
            <w:tcBorders>
              <w:top w:val="double" w:sz="4" w:space="0" w:color="auto"/>
              <w:left w:val="nil"/>
              <w:bottom w:val="nil"/>
              <w:right w:val="nil"/>
            </w:tcBorders>
            <w:shd w:val="clear" w:color="auto" w:fill="auto"/>
            <w:noWrap/>
            <w:vAlign w:val="center"/>
          </w:tcPr>
          <w:p w14:paraId="2ACD3AC5" w14:textId="77777777" w:rsidR="00577CDB" w:rsidRPr="00857381" w:rsidRDefault="00577CDB" w:rsidP="001D49CA">
            <w:pPr>
              <w:ind w:firstLine="567"/>
              <w:jc w:val="right"/>
              <w:rPr>
                <w:rFonts w:ascii="Calibri" w:hAnsi="Calibri" w:cs="Arial"/>
                <w:sz w:val="18"/>
                <w:szCs w:val="18"/>
              </w:rPr>
            </w:pPr>
          </w:p>
        </w:tc>
      </w:tr>
      <w:tr w:rsidR="00360EFC" w:rsidRPr="00360EFC" w14:paraId="61525B23"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28BA9284" w14:textId="77777777" w:rsidR="00577CDB" w:rsidRPr="009419C3" w:rsidRDefault="00577CDB" w:rsidP="00E64385">
            <w:pPr>
              <w:rPr>
                <w:rFonts w:ascii="Calibri" w:hAnsi="Calibri" w:cs="Arial"/>
                <w:sz w:val="18"/>
                <w:szCs w:val="18"/>
              </w:rPr>
            </w:pPr>
            <w:r w:rsidRPr="009419C3">
              <w:rPr>
                <w:rFonts w:ascii="Calibri" w:hAnsi="Calibri" w:cs="Arial"/>
                <w:sz w:val="18"/>
                <w:szCs w:val="18"/>
              </w:rPr>
              <w:t>Razem przychody</w:t>
            </w:r>
          </w:p>
        </w:tc>
        <w:tc>
          <w:tcPr>
            <w:tcW w:w="1760" w:type="dxa"/>
            <w:tcBorders>
              <w:top w:val="nil"/>
              <w:left w:val="nil"/>
              <w:bottom w:val="nil"/>
              <w:right w:val="nil"/>
            </w:tcBorders>
            <w:shd w:val="clear" w:color="000000" w:fill="D8D8D8"/>
            <w:noWrap/>
            <w:vAlign w:val="center"/>
          </w:tcPr>
          <w:p w14:paraId="189393E5" w14:textId="77777777" w:rsidR="00577CDB" w:rsidRPr="00857381" w:rsidRDefault="00857381" w:rsidP="001D49CA">
            <w:pPr>
              <w:ind w:firstLine="310"/>
              <w:jc w:val="right"/>
              <w:rPr>
                <w:rFonts w:ascii="Calibri" w:hAnsi="Calibri" w:cs="Arial"/>
                <w:sz w:val="18"/>
                <w:szCs w:val="18"/>
              </w:rPr>
            </w:pPr>
            <w:r>
              <w:rPr>
                <w:rFonts w:ascii="Calibri" w:hAnsi="Calibri" w:cs="Arial"/>
                <w:sz w:val="18"/>
                <w:szCs w:val="18"/>
              </w:rPr>
              <w:t>24 800,7</w:t>
            </w:r>
          </w:p>
        </w:tc>
        <w:tc>
          <w:tcPr>
            <w:tcW w:w="1760" w:type="dxa"/>
            <w:tcBorders>
              <w:top w:val="nil"/>
              <w:left w:val="nil"/>
              <w:bottom w:val="nil"/>
              <w:right w:val="nil"/>
            </w:tcBorders>
            <w:shd w:val="clear" w:color="auto" w:fill="auto"/>
            <w:noWrap/>
            <w:vAlign w:val="center"/>
          </w:tcPr>
          <w:p w14:paraId="709D65AC" w14:textId="77777777" w:rsidR="00577CDB" w:rsidRPr="00857381" w:rsidRDefault="00857381" w:rsidP="001D49CA">
            <w:pPr>
              <w:ind w:firstLine="251"/>
              <w:jc w:val="right"/>
              <w:rPr>
                <w:rFonts w:ascii="Calibri" w:hAnsi="Calibri" w:cs="Arial"/>
                <w:sz w:val="18"/>
                <w:szCs w:val="18"/>
              </w:rPr>
            </w:pPr>
            <w:r>
              <w:rPr>
                <w:rFonts w:ascii="Calibri" w:hAnsi="Calibri" w:cs="Arial"/>
                <w:sz w:val="18"/>
                <w:szCs w:val="18"/>
              </w:rPr>
              <w:t>21 567,2</w:t>
            </w:r>
          </w:p>
        </w:tc>
      </w:tr>
      <w:tr w:rsidR="00360EFC" w:rsidRPr="00360EFC" w14:paraId="3A07EE34" w14:textId="77777777" w:rsidTr="00C64D75">
        <w:trPr>
          <w:trHeight w:val="255"/>
          <w:jc w:val="center"/>
        </w:trPr>
        <w:tc>
          <w:tcPr>
            <w:tcW w:w="4298" w:type="dxa"/>
            <w:tcBorders>
              <w:top w:val="nil"/>
              <w:left w:val="nil"/>
              <w:bottom w:val="nil"/>
              <w:right w:val="nil"/>
            </w:tcBorders>
            <w:shd w:val="clear" w:color="auto" w:fill="auto"/>
            <w:noWrap/>
            <w:vAlign w:val="center"/>
            <w:hideMark/>
          </w:tcPr>
          <w:p w14:paraId="2F7F3E09" w14:textId="77777777" w:rsidR="00577CDB" w:rsidRPr="009419C3" w:rsidRDefault="00577CDB" w:rsidP="00E64385">
            <w:pPr>
              <w:rPr>
                <w:rFonts w:ascii="Calibri" w:hAnsi="Calibri" w:cs="Arial"/>
                <w:sz w:val="18"/>
                <w:szCs w:val="18"/>
              </w:rPr>
            </w:pPr>
            <w:r w:rsidRPr="009419C3">
              <w:rPr>
                <w:rFonts w:ascii="Calibri" w:hAnsi="Calibri" w:cs="Arial"/>
                <w:sz w:val="18"/>
                <w:szCs w:val="18"/>
              </w:rPr>
              <w:t>Razem koszty</w:t>
            </w:r>
          </w:p>
        </w:tc>
        <w:tc>
          <w:tcPr>
            <w:tcW w:w="1760" w:type="dxa"/>
            <w:tcBorders>
              <w:top w:val="nil"/>
              <w:left w:val="nil"/>
              <w:bottom w:val="nil"/>
              <w:right w:val="nil"/>
            </w:tcBorders>
            <w:shd w:val="clear" w:color="000000" w:fill="D8D8D8"/>
            <w:noWrap/>
            <w:vAlign w:val="center"/>
          </w:tcPr>
          <w:p w14:paraId="3F7B9D76" w14:textId="77777777" w:rsidR="00577CDB" w:rsidRPr="00857381" w:rsidRDefault="00857381" w:rsidP="001D49CA">
            <w:pPr>
              <w:ind w:firstLine="567"/>
              <w:jc w:val="right"/>
              <w:rPr>
                <w:rFonts w:ascii="Calibri" w:hAnsi="Calibri" w:cs="Arial"/>
                <w:sz w:val="18"/>
                <w:szCs w:val="18"/>
              </w:rPr>
            </w:pPr>
            <w:r>
              <w:rPr>
                <w:rFonts w:ascii="Calibri" w:hAnsi="Calibri" w:cs="Arial"/>
                <w:sz w:val="18"/>
                <w:szCs w:val="18"/>
              </w:rPr>
              <w:t>21 069,5</w:t>
            </w:r>
          </w:p>
        </w:tc>
        <w:tc>
          <w:tcPr>
            <w:tcW w:w="1760" w:type="dxa"/>
            <w:tcBorders>
              <w:top w:val="nil"/>
              <w:left w:val="nil"/>
              <w:bottom w:val="nil"/>
              <w:right w:val="nil"/>
            </w:tcBorders>
            <w:shd w:val="clear" w:color="auto" w:fill="auto"/>
            <w:noWrap/>
            <w:vAlign w:val="center"/>
          </w:tcPr>
          <w:p w14:paraId="04548892" w14:textId="77777777" w:rsidR="00577CDB" w:rsidRPr="00857381" w:rsidRDefault="00857381" w:rsidP="001D49CA">
            <w:pPr>
              <w:ind w:firstLine="251"/>
              <w:jc w:val="right"/>
              <w:rPr>
                <w:rFonts w:ascii="Calibri" w:hAnsi="Calibri" w:cs="Arial"/>
                <w:sz w:val="18"/>
                <w:szCs w:val="18"/>
              </w:rPr>
            </w:pPr>
            <w:r>
              <w:rPr>
                <w:rFonts w:ascii="Calibri" w:hAnsi="Calibri" w:cs="Arial"/>
                <w:sz w:val="18"/>
                <w:szCs w:val="18"/>
              </w:rPr>
              <w:t>18 597,2</w:t>
            </w:r>
          </w:p>
        </w:tc>
      </w:tr>
      <w:tr w:rsidR="00360EFC" w:rsidRPr="00360EFC" w14:paraId="77F1E30F" w14:textId="77777777" w:rsidTr="00C64D75">
        <w:trPr>
          <w:trHeight w:val="270"/>
          <w:jc w:val="center"/>
        </w:trPr>
        <w:tc>
          <w:tcPr>
            <w:tcW w:w="4298" w:type="dxa"/>
            <w:tcBorders>
              <w:top w:val="nil"/>
              <w:left w:val="nil"/>
              <w:bottom w:val="nil"/>
              <w:right w:val="nil"/>
            </w:tcBorders>
            <w:shd w:val="clear" w:color="auto" w:fill="auto"/>
            <w:noWrap/>
            <w:vAlign w:val="center"/>
            <w:hideMark/>
          </w:tcPr>
          <w:p w14:paraId="5D4A1E53" w14:textId="77777777" w:rsidR="00577CDB" w:rsidRPr="009419C3" w:rsidRDefault="00577CDB" w:rsidP="00E64385">
            <w:pPr>
              <w:rPr>
                <w:rFonts w:ascii="Calibri" w:hAnsi="Calibri" w:cs="Arial"/>
                <w:b/>
                <w:bCs/>
                <w:sz w:val="18"/>
                <w:szCs w:val="18"/>
              </w:rPr>
            </w:pPr>
            <w:r w:rsidRPr="009419C3">
              <w:rPr>
                <w:rFonts w:ascii="Calibri" w:hAnsi="Calibri" w:cs="Arial"/>
                <w:b/>
                <w:bCs/>
                <w:sz w:val="18"/>
                <w:szCs w:val="18"/>
              </w:rPr>
              <w:t>Razem wynik na sprzedaży</w:t>
            </w:r>
          </w:p>
        </w:tc>
        <w:tc>
          <w:tcPr>
            <w:tcW w:w="1760" w:type="dxa"/>
            <w:tcBorders>
              <w:top w:val="single" w:sz="4" w:space="0" w:color="auto"/>
              <w:left w:val="nil"/>
              <w:bottom w:val="double" w:sz="6" w:space="0" w:color="auto"/>
              <w:right w:val="nil"/>
            </w:tcBorders>
            <w:shd w:val="clear" w:color="000000" w:fill="D8D8D8"/>
            <w:noWrap/>
            <w:vAlign w:val="center"/>
          </w:tcPr>
          <w:p w14:paraId="7F7A4365" w14:textId="77777777" w:rsidR="00577CDB" w:rsidRPr="00857381" w:rsidRDefault="00857381" w:rsidP="001D49CA">
            <w:pPr>
              <w:ind w:firstLine="567"/>
              <w:jc w:val="right"/>
              <w:rPr>
                <w:rFonts w:ascii="Calibri" w:hAnsi="Calibri" w:cs="Arial"/>
                <w:b/>
                <w:bCs/>
                <w:sz w:val="18"/>
                <w:szCs w:val="18"/>
              </w:rPr>
            </w:pPr>
            <w:r>
              <w:rPr>
                <w:rFonts w:ascii="Calibri" w:hAnsi="Calibri" w:cs="Arial"/>
                <w:b/>
                <w:bCs/>
                <w:sz w:val="18"/>
                <w:szCs w:val="18"/>
              </w:rPr>
              <w:t>3 731,2</w:t>
            </w:r>
          </w:p>
        </w:tc>
        <w:tc>
          <w:tcPr>
            <w:tcW w:w="1760" w:type="dxa"/>
            <w:tcBorders>
              <w:top w:val="single" w:sz="4" w:space="0" w:color="auto"/>
              <w:left w:val="nil"/>
              <w:bottom w:val="double" w:sz="6" w:space="0" w:color="auto"/>
              <w:right w:val="nil"/>
            </w:tcBorders>
            <w:shd w:val="clear" w:color="auto" w:fill="auto"/>
            <w:noWrap/>
            <w:vAlign w:val="center"/>
          </w:tcPr>
          <w:p w14:paraId="10787374" w14:textId="77777777" w:rsidR="00577CDB" w:rsidRPr="00857381" w:rsidRDefault="00857381" w:rsidP="001D49CA">
            <w:pPr>
              <w:ind w:firstLine="393"/>
              <w:jc w:val="right"/>
              <w:rPr>
                <w:rFonts w:ascii="Calibri" w:hAnsi="Calibri" w:cs="Arial"/>
                <w:b/>
                <w:bCs/>
                <w:sz w:val="18"/>
                <w:szCs w:val="18"/>
              </w:rPr>
            </w:pPr>
            <w:r>
              <w:rPr>
                <w:rFonts w:ascii="Calibri" w:hAnsi="Calibri" w:cs="Arial"/>
                <w:b/>
                <w:bCs/>
                <w:sz w:val="18"/>
                <w:szCs w:val="18"/>
              </w:rPr>
              <w:t>2 970,0</w:t>
            </w:r>
          </w:p>
        </w:tc>
      </w:tr>
    </w:tbl>
    <w:p w14:paraId="15A09FF3" w14:textId="77777777" w:rsidR="001702FD" w:rsidRPr="00360EFC" w:rsidRDefault="001702FD" w:rsidP="00343311">
      <w:pPr>
        <w:shd w:val="clear" w:color="auto" w:fill="FFFFFF"/>
        <w:tabs>
          <w:tab w:val="left" w:pos="675"/>
        </w:tabs>
        <w:spacing w:line="360" w:lineRule="auto"/>
        <w:ind w:firstLine="567"/>
        <w:jc w:val="both"/>
        <w:rPr>
          <w:rFonts w:asciiTheme="minorHAnsi" w:hAnsiTheme="minorHAnsi"/>
          <w:color w:val="FF0000"/>
          <w:spacing w:val="-2"/>
        </w:rPr>
      </w:pPr>
    </w:p>
    <w:p w14:paraId="4E24FD86" w14:textId="77777777" w:rsidR="00D25BE4" w:rsidRPr="00AA2A63" w:rsidRDefault="00D25BE4" w:rsidP="00D25BE4">
      <w:pPr>
        <w:tabs>
          <w:tab w:val="left" w:pos="567"/>
        </w:tabs>
        <w:spacing w:line="360" w:lineRule="auto"/>
        <w:jc w:val="both"/>
        <w:rPr>
          <w:rFonts w:ascii="Calibri" w:hAnsi="Calibri" w:cs="Arial"/>
          <w:u w:val="single"/>
        </w:rPr>
      </w:pPr>
      <w:r w:rsidRPr="00AA2A63">
        <w:rPr>
          <w:rFonts w:ascii="Calibri" w:hAnsi="Calibri" w:cs="Arial"/>
          <w:u w:val="single"/>
        </w:rPr>
        <w:lastRenderedPageBreak/>
        <w:t>Dane finansowe jednostkowe dotyczące Spółki zależnej – MD-</w:t>
      </w:r>
      <w:proofErr w:type="spellStart"/>
      <w:r w:rsidRPr="00AA2A63">
        <w:rPr>
          <w:rFonts w:ascii="Calibri" w:hAnsi="Calibri" w:cs="Arial"/>
          <w:u w:val="single"/>
        </w:rPr>
        <w:t>proeco</w:t>
      </w:r>
      <w:proofErr w:type="spellEnd"/>
      <w:r w:rsidRPr="00AA2A63">
        <w:rPr>
          <w:rFonts w:ascii="Calibri" w:hAnsi="Calibri" w:cs="Arial"/>
          <w:u w:val="single"/>
        </w:rPr>
        <w:t xml:space="preserve"> Sp. z o.o.</w:t>
      </w:r>
    </w:p>
    <w:p w14:paraId="7C1EEC1F" w14:textId="77777777" w:rsidR="00D25BE4" w:rsidRPr="00AA2A63" w:rsidRDefault="00D25BE4" w:rsidP="00D25BE4">
      <w:pPr>
        <w:shd w:val="clear" w:color="auto" w:fill="FFFFFF"/>
        <w:tabs>
          <w:tab w:val="left" w:pos="675"/>
        </w:tabs>
        <w:spacing w:line="360" w:lineRule="auto"/>
        <w:jc w:val="both"/>
        <w:rPr>
          <w:rFonts w:asciiTheme="minorHAnsi" w:hAnsiTheme="minorHAnsi"/>
          <w:spacing w:val="-2"/>
          <w:sz w:val="22"/>
          <w:szCs w:val="22"/>
        </w:rPr>
      </w:pPr>
    </w:p>
    <w:p w14:paraId="4955576C" w14:textId="77777777" w:rsidR="00D25BE4" w:rsidRPr="00AA2A63" w:rsidRDefault="00D25BE4" w:rsidP="00AA2A63">
      <w:pPr>
        <w:widowControl w:val="0"/>
        <w:tabs>
          <w:tab w:val="left" w:pos="540"/>
        </w:tabs>
        <w:spacing w:line="360" w:lineRule="auto"/>
        <w:jc w:val="both"/>
        <w:rPr>
          <w:rFonts w:ascii="Calibri" w:hAnsi="Calibri" w:cs="Calibri"/>
          <w:sz w:val="22"/>
          <w:szCs w:val="22"/>
        </w:rPr>
      </w:pPr>
      <w:r w:rsidRPr="00AA2A63">
        <w:rPr>
          <w:rFonts w:asciiTheme="minorHAnsi" w:hAnsiTheme="minorHAnsi"/>
          <w:spacing w:val="-2"/>
          <w:sz w:val="22"/>
          <w:szCs w:val="22"/>
        </w:rPr>
        <w:tab/>
      </w:r>
      <w:r w:rsidR="00AA2A63" w:rsidRPr="00AA2A63">
        <w:rPr>
          <w:rFonts w:ascii="Calibri" w:hAnsi="Calibri" w:cs="Calibri"/>
          <w:sz w:val="22"/>
          <w:szCs w:val="22"/>
        </w:rPr>
        <w:t xml:space="preserve">Do czynników wywierających wpływ na osiągnięty poziom wyniku na sprzedaży </w:t>
      </w:r>
      <w:r w:rsidR="000A3917">
        <w:rPr>
          <w:rFonts w:ascii="Calibri" w:hAnsi="Calibri" w:cs="Calibri"/>
          <w:sz w:val="22"/>
          <w:szCs w:val="22"/>
        </w:rPr>
        <w:br/>
      </w:r>
      <w:r w:rsidR="00AA2A63" w:rsidRPr="00AA2A63">
        <w:rPr>
          <w:rFonts w:ascii="Calibri" w:hAnsi="Calibri" w:cs="Calibri"/>
          <w:sz w:val="22"/>
          <w:szCs w:val="22"/>
        </w:rPr>
        <w:t xml:space="preserve">za I półrocze 2016 roku należy zaliczyć wzrost przychodów ze sprzedaży  w segmencie A – sprzedaż ciepła o kwotę 497 tys. zł, tj. o 112%. W segmencie C  - utylizacja odpadów  - zanotowano wzrost przychodów o kwotę  38 tys. zł, tj. 3%. Koszty segmentu A wzrosły o kwotę 483 tys. zł, tj. 168%, </w:t>
      </w:r>
      <w:r w:rsidR="000A3917">
        <w:rPr>
          <w:rFonts w:ascii="Calibri" w:hAnsi="Calibri" w:cs="Calibri"/>
          <w:sz w:val="22"/>
          <w:szCs w:val="22"/>
        </w:rPr>
        <w:br/>
      </w:r>
      <w:r w:rsidR="00AA2A63" w:rsidRPr="00AA2A63">
        <w:rPr>
          <w:rFonts w:ascii="Calibri" w:hAnsi="Calibri" w:cs="Calibri"/>
          <w:sz w:val="22"/>
          <w:szCs w:val="22"/>
        </w:rPr>
        <w:t xml:space="preserve">co dało wynik na sprzedaży w tym segmencie w wysokości 172 tys. zł. Duży wzrost kosztów   tego segmentu wpłynął na spadek marży o 18% w porównaniu do analogicznego okresu roku ubiegłego </w:t>
      </w:r>
      <w:r w:rsidR="000A3917">
        <w:rPr>
          <w:rFonts w:ascii="Calibri" w:hAnsi="Calibri" w:cs="Calibri"/>
          <w:sz w:val="22"/>
          <w:szCs w:val="22"/>
        </w:rPr>
        <w:br/>
      </w:r>
      <w:r w:rsidR="00AA2A63" w:rsidRPr="00AA2A63">
        <w:rPr>
          <w:rFonts w:ascii="Calibri" w:hAnsi="Calibri" w:cs="Calibri"/>
          <w:sz w:val="22"/>
          <w:szCs w:val="22"/>
        </w:rPr>
        <w:t xml:space="preserve">i wyniosła ona na koniec czerwca br. 18% ( w I półroczu 2015 r. 36%). </w:t>
      </w:r>
      <w:r w:rsidR="00AA2A63" w:rsidRPr="00AA2A63">
        <w:rPr>
          <w:rFonts w:ascii="Calibri" w:hAnsi="Calibri" w:cs="Calibri"/>
          <w:color w:val="7030A0"/>
          <w:sz w:val="22"/>
          <w:szCs w:val="22"/>
        </w:rPr>
        <w:t xml:space="preserve"> </w:t>
      </w:r>
      <w:r w:rsidR="00AA2A63" w:rsidRPr="00AA2A63">
        <w:rPr>
          <w:rFonts w:ascii="Calibri" w:hAnsi="Calibri" w:cs="Calibri"/>
          <w:sz w:val="22"/>
          <w:szCs w:val="22"/>
        </w:rPr>
        <w:t xml:space="preserve">Koszty segmentu C- utylizacja odpadów wzrosły do poziomu 1.094 tys. zł ( wzrost o 15 tys. zł ), co daje 1% zwiększenia </w:t>
      </w:r>
      <w:r w:rsidR="000A3917">
        <w:rPr>
          <w:rFonts w:ascii="Calibri" w:hAnsi="Calibri" w:cs="Calibri"/>
          <w:sz w:val="22"/>
          <w:szCs w:val="22"/>
        </w:rPr>
        <w:br/>
      </w:r>
      <w:r w:rsidR="00AA2A63" w:rsidRPr="00AA2A63">
        <w:rPr>
          <w:rFonts w:ascii="Calibri" w:hAnsi="Calibri" w:cs="Calibri"/>
          <w:sz w:val="22"/>
          <w:szCs w:val="22"/>
        </w:rPr>
        <w:t>w porównaniu do I półrocza 2015 roku.</w:t>
      </w:r>
      <w:r w:rsidR="00AA2A63" w:rsidRPr="00AA2A63">
        <w:rPr>
          <w:rFonts w:ascii="Calibri" w:hAnsi="Calibri" w:cs="Calibri"/>
          <w:color w:val="7030A0"/>
          <w:sz w:val="22"/>
          <w:szCs w:val="22"/>
        </w:rPr>
        <w:t xml:space="preserve"> </w:t>
      </w:r>
      <w:r w:rsidR="00AA2A63" w:rsidRPr="00AA2A63">
        <w:rPr>
          <w:rFonts w:ascii="Calibri" w:hAnsi="Calibri" w:cs="Calibri"/>
          <w:sz w:val="22"/>
          <w:szCs w:val="22"/>
        </w:rPr>
        <w:t xml:space="preserve">W konsekwencji powyższego wynik na segmencie </w:t>
      </w:r>
      <w:r w:rsidR="000A3917">
        <w:rPr>
          <w:rFonts w:ascii="Calibri" w:hAnsi="Calibri" w:cs="Calibri"/>
          <w:sz w:val="22"/>
          <w:szCs w:val="22"/>
        </w:rPr>
        <w:br/>
      </w:r>
      <w:r w:rsidR="00AA2A63" w:rsidRPr="00AA2A63">
        <w:rPr>
          <w:rFonts w:ascii="Calibri" w:hAnsi="Calibri" w:cs="Calibri"/>
          <w:sz w:val="22"/>
          <w:szCs w:val="22"/>
        </w:rPr>
        <w:t>C – utylizacja odpadów wyniósł 300 tys. zł i w  porównaniu do 6 miesięcy zeszłego roku jest</w:t>
      </w:r>
      <w:r w:rsidR="00AA2A63" w:rsidRPr="00AA2A63">
        <w:rPr>
          <w:rFonts w:ascii="Calibri" w:hAnsi="Calibri" w:cs="Calibri"/>
          <w:color w:val="7030A0"/>
          <w:sz w:val="22"/>
          <w:szCs w:val="22"/>
        </w:rPr>
        <w:t xml:space="preserve"> </w:t>
      </w:r>
      <w:r w:rsidR="00AA2A63" w:rsidRPr="00AA2A63">
        <w:rPr>
          <w:rFonts w:ascii="Calibri" w:hAnsi="Calibri" w:cs="Calibri"/>
          <w:sz w:val="22"/>
          <w:szCs w:val="22"/>
        </w:rPr>
        <w:t xml:space="preserve">większy </w:t>
      </w:r>
      <w:r w:rsidR="000A3917">
        <w:rPr>
          <w:rFonts w:ascii="Calibri" w:hAnsi="Calibri" w:cs="Calibri"/>
          <w:sz w:val="22"/>
          <w:szCs w:val="22"/>
        </w:rPr>
        <w:br/>
      </w:r>
      <w:r w:rsidR="00AA2A63" w:rsidRPr="00AA2A63">
        <w:rPr>
          <w:rFonts w:ascii="Calibri" w:hAnsi="Calibri" w:cs="Calibri"/>
          <w:sz w:val="22"/>
          <w:szCs w:val="22"/>
        </w:rPr>
        <w:t>o 23 tys. tj. 8%.</w:t>
      </w:r>
      <w:r w:rsidR="00AA2A63" w:rsidRPr="00AA2A63">
        <w:rPr>
          <w:rFonts w:ascii="Calibri" w:hAnsi="Calibri" w:cs="Calibri"/>
          <w:color w:val="7030A0"/>
          <w:sz w:val="22"/>
          <w:szCs w:val="22"/>
        </w:rPr>
        <w:t xml:space="preserve"> </w:t>
      </w:r>
      <w:r w:rsidR="00AA2A63" w:rsidRPr="00AA2A63">
        <w:rPr>
          <w:rFonts w:ascii="Calibri" w:hAnsi="Calibri" w:cs="Calibri"/>
          <w:sz w:val="22"/>
          <w:szCs w:val="22"/>
        </w:rPr>
        <w:t>Segment B- sprzedaż TDA, zarówno w roku bieżącym, jak i poprzednim nie przyniósł Spółce przychodów ze sprzedaży ze względu na niewywiązywanie się Spółki Infrastruktura Kapuściska z  zawartej umowy o dostarczaniu koksiku, co uniemożliwia Spółce MD-</w:t>
      </w:r>
      <w:proofErr w:type="spellStart"/>
      <w:r w:rsidR="00AA2A63" w:rsidRPr="00AA2A63">
        <w:rPr>
          <w:rFonts w:ascii="Calibri" w:hAnsi="Calibri" w:cs="Calibri"/>
          <w:sz w:val="22"/>
          <w:szCs w:val="22"/>
        </w:rPr>
        <w:t>proeco</w:t>
      </w:r>
      <w:proofErr w:type="spellEnd"/>
      <w:r w:rsidR="00AA2A63" w:rsidRPr="00AA2A63">
        <w:rPr>
          <w:rFonts w:ascii="Calibri" w:hAnsi="Calibri" w:cs="Calibri"/>
          <w:sz w:val="22"/>
          <w:szCs w:val="22"/>
        </w:rPr>
        <w:t xml:space="preserve"> prowadzenie działalności w tym segmencie. Koszty tego segmentu w porównaniu do analogicznego okresu pozostały na niezmienionym poziomie.</w:t>
      </w:r>
    </w:p>
    <w:p w14:paraId="6A07B54E" w14:textId="77777777" w:rsidR="00D25BE4" w:rsidRPr="001F4E2B" w:rsidRDefault="00D25BE4" w:rsidP="00D25BE4">
      <w:pPr>
        <w:widowControl w:val="0"/>
        <w:tabs>
          <w:tab w:val="left" w:pos="540"/>
        </w:tabs>
        <w:spacing w:line="360" w:lineRule="auto"/>
        <w:jc w:val="both"/>
        <w:rPr>
          <w:rFonts w:ascii="Calibri" w:hAnsi="Calibri" w:cs="Calibri"/>
          <w:sz w:val="22"/>
          <w:szCs w:val="22"/>
        </w:rPr>
      </w:pPr>
    </w:p>
    <w:p w14:paraId="44C360D4" w14:textId="77777777" w:rsidR="00D25BE4" w:rsidRPr="00AA2A63" w:rsidRDefault="00D25BE4" w:rsidP="00D25BE4">
      <w:pPr>
        <w:tabs>
          <w:tab w:val="left" w:pos="540"/>
        </w:tabs>
        <w:spacing w:line="360" w:lineRule="auto"/>
        <w:jc w:val="both"/>
        <w:rPr>
          <w:rFonts w:ascii="Calibri" w:hAnsi="Calibri" w:cs="Calibri"/>
          <w:b/>
          <w:bCs/>
        </w:rPr>
      </w:pPr>
      <w:r w:rsidRPr="00AA2A63">
        <w:rPr>
          <w:rFonts w:ascii="Calibri" w:hAnsi="Calibri" w:cs="Calibri"/>
          <w:b/>
          <w:bCs/>
        </w:rPr>
        <w:t>Segmenty działalności</w:t>
      </w:r>
    </w:p>
    <w:tbl>
      <w:tblPr>
        <w:tblW w:w="9671" w:type="dxa"/>
        <w:jc w:val="center"/>
        <w:tblCellMar>
          <w:left w:w="70" w:type="dxa"/>
          <w:right w:w="70" w:type="dxa"/>
        </w:tblCellMar>
        <w:tblLook w:val="04A0" w:firstRow="1" w:lastRow="0" w:firstColumn="1" w:lastColumn="0" w:noHBand="0" w:noVBand="1"/>
      </w:tblPr>
      <w:tblGrid>
        <w:gridCol w:w="5387"/>
        <w:gridCol w:w="2132"/>
        <w:gridCol w:w="2152"/>
      </w:tblGrid>
      <w:tr w:rsidR="00AA2A63" w14:paraId="0BF66615"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166689A6" w14:textId="77777777" w:rsidR="00AA2A63" w:rsidRDefault="00AA2A63" w:rsidP="00E13038">
            <w:pPr>
              <w:rPr>
                <w:sz w:val="20"/>
                <w:szCs w:val="20"/>
              </w:rPr>
            </w:pPr>
          </w:p>
        </w:tc>
        <w:tc>
          <w:tcPr>
            <w:tcW w:w="4284" w:type="dxa"/>
            <w:gridSpan w:val="2"/>
            <w:tcBorders>
              <w:top w:val="nil"/>
              <w:left w:val="nil"/>
              <w:bottom w:val="nil"/>
              <w:right w:val="nil"/>
            </w:tcBorders>
            <w:shd w:val="clear" w:color="auto" w:fill="auto"/>
            <w:vAlign w:val="center"/>
            <w:hideMark/>
          </w:tcPr>
          <w:p w14:paraId="76BB569B" w14:textId="77777777" w:rsidR="00AA2A63" w:rsidRDefault="00AA2A63" w:rsidP="00E13038">
            <w:pPr>
              <w:jc w:val="center"/>
              <w:rPr>
                <w:rFonts w:ascii="Calibri" w:hAnsi="Calibri" w:cs="Arial"/>
                <w:b/>
                <w:bCs/>
                <w:sz w:val="18"/>
                <w:szCs w:val="18"/>
              </w:rPr>
            </w:pPr>
            <w:r>
              <w:rPr>
                <w:rFonts w:ascii="Calibri" w:hAnsi="Calibri" w:cs="Arial"/>
                <w:b/>
                <w:bCs/>
                <w:sz w:val="18"/>
                <w:szCs w:val="18"/>
              </w:rPr>
              <w:t>okres sprawozdawczy</w:t>
            </w:r>
          </w:p>
        </w:tc>
      </w:tr>
      <w:tr w:rsidR="00AA2A63" w14:paraId="4DA6C214"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06B6EB28" w14:textId="77777777" w:rsidR="00AA2A63" w:rsidRDefault="00AA2A63" w:rsidP="00E13038">
            <w:pPr>
              <w:jc w:val="center"/>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vAlign w:val="center"/>
            <w:hideMark/>
          </w:tcPr>
          <w:p w14:paraId="3268017F" w14:textId="77777777" w:rsidR="00AA2A63" w:rsidRDefault="00AA2A63" w:rsidP="00E13038">
            <w:pPr>
              <w:jc w:val="center"/>
              <w:rPr>
                <w:rFonts w:ascii="Calibri" w:hAnsi="Calibri" w:cs="Arial"/>
                <w:b/>
                <w:bCs/>
                <w:sz w:val="18"/>
                <w:szCs w:val="18"/>
              </w:rPr>
            </w:pPr>
            <w:r>
              <w:rPr>
                <w:rFonts w:ascii="Calibri" w:hAnsi="Calibri" w:cs="Arial"/>
                <w:b/>
                <w:bCs/>
                <w:sz w:val="18"/>
                <w:szCs w:val="18"/>
              </w:rPr>
              <w:t xml:space="preserve">za 6 miesięcy </w:t>
            </w:r>
          </w:p>
        </w:tc>
        <w:tc>
          <w:tcPr>
            <w:tcW w:w="2152" w:type="dxa"/>
            <w:tcBorders>
              <w:top w:val="nil"/>
              <w:left w:val="nil"/>
              <w:bottom w:val="nil"/>
              <w:right w:val="nil"/>
            </w:tcBorders>
            <w:shd w:val="clear" w:color="auto" w:fill="auto"/>
            <w:vAlign w:val="center"/>
            <w:hideMark/>
          </w:tcPr>
          <w:p w14:paraId="5B0E462B" w14:textId="77777777" w:rsidR="00AA2A63" w:rsidRDefault="00AA2A63" w:rsidP="00E13038">
            <w:pPr>
              <w:jc w:val="center"/>
              <w:rPr>
                <w:rFonts w:ascii="Calibri" w:hAnsi="Calibri" w:cs="Arial"/>
                <w:b/>
                <w:bCs/>
                <w:sz w:val="18"/>
                <w:szCs w:val="18"/>
              </w:rPr>
            </w:pPr>
            <w:r>
              <w:rPr>
                <w:rFonts w:ascii="Calibri" w:hAnsi="Calibri" w:cs="Arial"/>
                <w:b/>
                <w:bCs/>
                <w:sz w:val="18"/>
                <w:szCs w:val="18"/>
              </w:rPr>
              <w:t xml:space="preserve">za 6 miesięcy </w:t>
            </w:r>
          </w:p>
        </w:tc>
      </w:tr>
      <w:tr w:rsidR="00AA2A63" w14:paraId="0E10F179" w14:textId="77777777" w:rsidTr="00AA2A63">
        <w:trPr>
          <w:trHeight w:val="300"/>
          <w:jc w:val="center"/>
        </w:trPr>
        <w:tc>
          <w:tcPr>
            <w:tcW w:w="5387" w:type="dxa"/>
            <w:tcBorders>
              <w:top w:val="nil"/>
              <w:left w:val="nil"/>
              <w:bottom w:val="nil"/>
              <w:right w:val="nil"/>
            </w:tcBorders>
            <w:shd w:val="clear" w:color="auto" w:fill="auto"/>
            <w:noWrap/>
            <w:vAlign w:val="center"/>
            <w:hideMark/>
          </w:tcPr>
          <w:p w14:paraId="117046AB" w14:textId="77777777" w:rsidR="00AA2A63" w:rsidRDefault="00AA2A63" w:rsidP="00E13038">
            <w:pPr>
              <w:jc w:val="center"/>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vAlign w:val="center"/>
            <w:hideMark/>
          </w:tcPr>
          <w:p w14:paraId="1B53D9F3" w14:textId="77777777" w:rsidR="00AA2A63" w:rsidRDefault="00AA2A63" w:rsidP="00E13038">
            <w:pPr>
              <w:jc w:val="center"/>
              <w:rPr>
                <w:rFonts w:ascii="Calibri" w:hAnsi="Calibri" w:cs="Arial"/>
                <w:b/>
                <w:bCs/>
                <w:sz w:val="18"/>
                <w:szCs w:val="18"/>
              </w:rPr>
            </w:pPr>
            <w:r>
              <w:rPr>
                <w:rFonts w:ascii="Calibri" w:hAnsi="Calibri" w:cs="Arial"/>
                <w:b/>
                <w:bCs/>
                <w:sz w:val="18"/>
                <w:szCs w:val="18"/>
              </w:rPr>
              <w:t>od 01.01.2016</w:t>
            </w:r>
          </w:p>
        </w:tc>
        <w:tc>
          <w:tcPr>
            <w:tcW w:w="2152" w:type="dxa"/>
            <w:tcBorders>
              <w:top w:val="nil"/>
              <w:left w:val="nil"/>
              <w:bottom w:val="nil"/>
              <w:right w:val="nil"/>
            </w:tcBorders>
            <w:shd w:val="clear" w:color="auto" w:fill="auto"/>
            <w:vAlign w:val="center"/>
            <w:hideMark/>
          </w:tcPr>
          <w:p w14:paraId="7ADD1238" w14:textId="77777777" w:rsidR="00AA2A63" w:rsidRDefault="00AA2A63" w:rsidP="00E13038">
            <w:pPr>
              <w:jc w:val="center"/>
              <w:rPr>
                <w:rFonts w:ascii="Calibri" w:hAnsi="Calibri" w:cs="Arial"/>
                <w:b/>
                <w:bCs/>
                <w:sz w:val="18"/>
                <w:szCs w:val="18"/>
              </w:rPr>
            </w:pPr>
            <w:r>
              <w:rPr>
                <w:rFonts w:ascii="Calibri" w:hAnsi="Calibri" w:cs="Arial"/>
                <w:b/>
                <w:bCs/>
                <w:sz w:val="18"/>
                <w:szCs w:val="18"/>
              </w:rPr>
              <w:t>od 01.01.2015</w:t>
            </w:r>
          </w:p>
        </w:tc>
      </w:tr>
      <w:tr w:rsidR="00AA2A63" w14:paraId="2CBAD2CB" w14:textId="77777777" w:rsidTr="00AA2A63">
        <w:trPr>
          <w:trHeight w:val="300"/>
          <w:jc w:val="center"/>
        </w:trPr>
        <w:tc>
          <w:tcPr>
            <w:tcW w:w="5387" w:type="dxa"/>
            <w:tcBorders>
              <w:top w:val="nil"/>
              <w:left w:val="nil"/>
              <w:bottom w:val="nil"/>
              <w:right w:val="nil"/>
            </w:tcBorders>
            <w:shd w:val="clear" w:color="auto" w:fill="auto"/>
            <w:noWrap/>
            <w:vAlign w:val="center"/>
            <w:hideMark/>
          </w:tcPr>
          <w:p w14:paraId="3B0C5DA3" w14:textId="77777777" w:rsidR="00AA2A63" w:rsidRDefault="00AA2A63" w:rsidP="00E13038">
            <w:pPr>
              <w:jc w:val="center"/>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vAlign w:val="center"/>
            <w:hideMark/>
          </w:tcPr>
          <w:p w14:paraId="64711645" w14:textId="77777777" w:rsidR="00AA2A63" w:rsidRDefault="00AA2A63" w:rsidP="00E13038">
            <w:pPr>
              <w:jc w:val="center"/>
              <w:rPr>
                <w:rFonts w:ascii="Calibri" w:hAnsi="Calibri" w:cs="Arial"/>
                <w:b/>
                <w:bCs/>
                <w:color w:val="000000"/>
                <w:sz w:val="18"/>
                <w:szCs w:val="18"/>
              </w:rPr>
            </w:pPr>
            <w:r>
              <w:rPr>
                <w:rFonts w:ascii="Calibri" w:hAnsi="Calibri" w:cs="Arial"/>
                <w:b/>
                <w:bCs/>
                <w:color w:val="000000"/>
                <w:sz w:val="18"/>
                <w:szCs w:val="18"/>
              </w:rPr>
              <w:t>do 30.06.2016</w:t>
            </w:r>
          </w:p>
        </w:tc>
        <w:tc>
          <w:tcPr>
            <w:tcW w:w="2152" w:type="dxa"/>
            <w:tcBorders>
              <w:top w:val="nil"/>
              <w:left w:val="nil"/>
              <w:bottom w:val="nil"/>
              <w:right w:val="nil"/>
            </w:tcBorders>
            <w:shd w:val="clear" w:color="auto" w:fill="auto"/>
            <w:vAlign w:val="center"/>
            <w:hideMark/>
          </w:tcPr>
          <w:p w14:paraId="61705006" w14:textId="77777777" w:rsidR="00AA2A63" w:rsidRDefault="00AA2A63" w:rsidP="00E13038">
            <w:pPr>
              <w:jc w:val="center"/>
              <w:rPr>
                <w:rFonts w:ascii="Calibri" w:hAnsi="Calibri" w:cs="Arial"/>
                <w:b/>
                <w:bCs/>
                <w:color w:val="000000"/>
                <w:sz w:val="18"/>
                <w:szCs w:val="18"/>
              </w:rPr>
            </w:pPr>
            <w:r>
              <w:rPr>
                <w:rFonts w:ascii="Calibri" w:hAnsi="Calibri" w:cs="Arial"/>
                <w:b/>
                <w:bCs/>
                <w:color w:val="000000"/>
                <w:sz w:val="18"/>
                <w:szCs w:val="18"/>
              </w:rPr>
              <w:t>do 30.06.2015</w:t>
            </w:r>
          </w:p>
        </w:tc>
      </w:tr>
      <w:tr w:rsidR="00AA2A63" w14:paraId="3EE9466F" w14:textId="77777777" w:rsidTr="00AA2A63">
        <w:trPr>
          <w:trHeight w:val="300"/>
          <w:jc w:val="center"/>
        </w:trPr>
        <w:tc>
          <w:tcPr>
            <w:tcW w:w="5387" w:type="dxa"/>
            <w:tcBorders>
              <w:top w:val="nil"/>
              <w:left w:val="nil"/>
              <w:bottom w:val="nil"/>
              <w:right w:val="nil"/>
            </w:tcBorders>
            <w:shd w:val="clear" w:color="auto" w:fill="auto"/>
            <w:noWrap/>
            <w:vAlign w:val="center"/>
            <w:hideMark/>
          </w:tcPr>
          <w:p w14:paraId="16357CB5" w14:textId="77777777" w:rsidR="00AA2A63" w:rsidRDefault="00AA2A63" w:rsidP="00E13038">
            <w:pPr>
              <w:jc w:val="center"/>
              <w:rPr>
                <w:rFonts w:ascii="Calibri" w:hAnsi="Calibri" w:cs="Arial"/>
                <w:b/>
                <w:bCs/>
                <w:color w:val="000000"/>
                <w:sz w:val="18"/>
                <w:szCs w:val="18"/>
              </w:rPr>
            </w:pPr>
          </w:p>
        </w:tc>
        <w:tc>
          <w:tcPr>
            <w:tcW w:w="2132" w:type="dxa"/>
            <w:tcBorders>
              <w:top w:val="single" w:sz="4" w:space="0" w:color="auto"/>
              <w:left w:val="nil"/>
              <w:bottom w:val="nil"/>
              <w:right w:val="nil"/>
            </w:tcBorders>
            <w:shd w:val="clear" w:color="000000" w:fill="D9D9D9" w:themeFill="background1" w:themeFillShade="D9"/>
            <w:vAlign w:val="center"/>
            <w:hideMark/>
          </w:tcPr>
          <w:p w14:paraId="1CFDDFC2" w14:textId="77777777" w:rsidR="00AA2A63" w:rsidRDefault="00AA2A63" w:rsidP="00E13038">
            <w:pPr>
              <w:jc w:val="center"/>
              <w:rPr>
                <w:rFonts w:ascii="Calibri" w:hAnsi="Calibri" w:cs="Arial"/>
                <w:b/>
                <w:bCs/>
                <w:color w:val="000000"/>
                <w:sz w:val="18"/>
                <w:szCs w:val="18"/>
              </w:rPr>
            </w:pPr>
            <w:r>
              <w:rPr>
                <w:rFonts w:ascii="Calibri" w:hAnsi="Calibri" w:cs="Arial"/>
                <w:b/>
                <w:bCs/>
                <w:color w:val="000000"/>
                <w:sz w:val="18"/>
                <w:szCs w:val="18"/>
              </w:rPr>
              <w:t>(niebadany)</w:t>
            </w:r>
          </w:p>
        </w:tc>
        <w:tc>
          <w:tcPr>
            <w:tcW w:w="2152" w:type="dxa"/>
            <w:tcBorders>
              <w:top w:val="single" w:sz="4" w:space="0" w:color="auto"/>
              <w:left w:val="nil"/>
              <w:bottom w:val="nil"/>
              <w:right w:val="nil"/>
            </w:tcBorders>
            <w:shd w:val="clear" w:color="auto" w:fill="auto"/>
            <w:vAlign w:val="center"/>
            <w:hideMark/>
          </w:tcPr>
          <w:p w14:paraId="527DCB33" w14:textId="77777777" w:rsidR="00AA2A63" w:rsidRDefault="00AA2A63" w:rsidP="00E13038">
            <w:pPr>
              <w:jc w:val="center"/>
              <w:rPr>
                <w:rFonts w:ascii="Calibri" w:hAnsi="Calibri" w:cs="Arial"/>
                <w:b/>
                <w:bCs/>
                <w:color w:val="000000"/>
                <w:sz w:val="18"/>
                <w:szCs w:val="18"/>
              </w:rPr>
            </w:pPr>
            <w:r>
              <w:rPr>
                <w:rFonts w:ascii="Calibri" w:hAnsi="Calibri" w:cs="Arial"/>
                <w:b/>
                <w:bCs/>
                <w:color w:val="000000"/>
                <w:sz w:val="18"/>
                <w:szCs w:val="18"/>
              </w:rPr>
              <w:t>(niebadany)</w:t>
            </w:r>
          </w:p>
        </w:tc>
      </w:tr>
      <w:tr w:rsidR="00AA2A63" w14:paraId="21360617" w14:textId="77777777" w:rsidTr="00AA2A63">
        <w:trPr>
          <w:trHeight w:val="225"/>
          <w:jc w:val="center"/>
        </w:trPr>
        <w:tc>
          <w:tcPr>
            <w:tcW w:w="5387" w:type="dxa"/>
            <w:tcBorders>
              <w:top w:val="nil"/>
              <w:left w:val="nil"/>
              <w:bottom w:val="nil"/>
              <w:right w:val="nil"/>
            </w:tcBorders>
            <w:shd w:val="clear" w:color="auto" w:fill="auto"/>
            <w:noWrap/>
            <w:vAlign w:val="center"/>
            <w:hideMark/>
          </w:tcPr>
          <w:p w14:paraId="163FE12D" w14:textId="77777777" w:rsidR="00AA2A63" w:rsidRDefault="00AA2A63" w:rsidP="00E13038">
            <w:pPr>
              <w:jc w:val="center"/>
              <w:rPr>
                <w:rFonts w:ascii="Calibri" w:hAnsi="Calibri" w:cs="Arial"/>
                <w:b/>
                <w:bCs/>
                <w:color w:val="000000"/>
                <w:sz w:val="18"/>
                <w:szCs w:val="18"/>
              </w:rPr>
            </w:pPr>
          </w:p>
        </w:tc>
        <w:tc>
          <w:tcPr>
            <w:tcW w:w="2132" w:type="dxa"/>
            <w:tcBorders>
              <w:top w:val="nil"/>
              <w:left w:val="nil"/>
              <w:bottom w:val="single" w:sz="4" w:space="0" w:color="auto"/>
              <w:right w:val="nil"/>
            </w:tcBorders>
            <w:shd w:val="clear" w:color="000000" w:fill="D9D9D9" w:themeFill="background1" w:themeFillShade="D9"/>
            <w:vAlign w:val="center"/>
            <w:hideMark/>
          </w:tcPr>
          <w:p w14:paraId="2BAE2E73" w14:textId="77777777" w:rsidR="00AA2A63" w:rsidRDefault="00AA2A63" w:rsidP="00E13038">
            <w:pPr>
              <w:jc w:val="center"/>
              <w:rPr>
                <w:rFonts w:ascii="Calibri" w:hAnsi="Calibri" w:cs="Arial"/>
                <w:b/>
                <w:bCs/>
                <w:sz w:val="18"/>
                <w:szCs w:val="18"/>
              </w:rPr>
            </w:pPr>
            <w:r>
              <w:rPr>
                <w:rFonts w:ascii="Calibri" w:hAnsi="Calibri" w:cs="Arial"/>
                <w:b/>
                <w:bCs/>
                <w:sz w:val="18"/>
                <w:szCs w:val="18"/>
              </w:rPr>
              <w:t>tys. PLN</w:t>
            </w:r>
          </w:p>
        </w:tc>
        <w:tc>
          <w:tcPr>
            <w:tcW w:w="2152" w:type="dxa"/>
            <w:tcBorders>
              <w:top w:val="nil"/>
              <w:left w:val="nil"/>
              <w:bottom w:val="single" w:sz="4" w:space="0" w:color="auto"/>
              <w:right w:val="nil"/>
            </w:tcBorders>
            <w:shd w:val="clear" w:color="auto" w:fill="auto"/>
            <w:vAlign w:val="center"/>
            <w:hideMark/>
          </w:tcPr>
          <w:p w14:paraId="5438C6F8" w14:textId="77777777" w:rsidR="00AA2A63" w:rsidRDefault="00AA2A63" w:rsidP="00E13038">
            <w:pPr>
              <w:jc w:val="center"/>
              <w:rPr>
                <w:rFonts w:ascii="Calibri" w:hAnsi="Calibri" w:cs="Arial"/>
                <w:b/>
                <w:bCs/>
                <w:sz w:val="18"/>
                <w:szCs w:val="18"/>
              </w:rPr>
            </w:pPr>
            <w:r>
              <w:rPr>
                <w:rFonts w:ascii="Calibri" w:hAnsi="Calibri" w:cs="Arial"/>
                <w:b/>
                <w:bCs/>
                <w:sz w:val="18"/>
                <w:szCs w:val="18"/>
              </w:rPr>
              <w:t>tys. PLN</w:t>
            </w:r>
          </w:p>
        </w:tc>
      </w:tr>
      <w:tr w:rsidR="00AA2A63" w14:paraId="06184A15" w14:textId="77777777" w:rsidTr="00AA2A63">
        <w:trPr>
          <w:trHeight w:val="90"/>
          <w:jc w:val="center"/>
        </w:trPr>
        <w:tc>
          <w:tcPr>
            <w:tcW w:w="5387" w:type="dxa"/>
            <w:tcBorders>
              <w:top w:val="nil"/>
              <w:left w:val="nil"/>
              <w:bottom w:val="nil"/>
              <w:right w:val="nil"/>
            </w:tcBorders>
            <w:shd w:val="clear" w:color="auto" w:fill="auto"/>
            <w:noWrap/>
            <w:vAlign w:val="center"/>
            <w:hideMark/>
          </w:tcPr>
          <w:p w14:paraId="30946CB5" w14:textId="77777777" w:rsidR="00AA2A63" w:rsidRDefault="00AA2A63" w:rsidP="00E13038">
            <w:pPr>
              <w:jc w:val="center"/>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noWrap/>
            <w:vAlign w:val="center"/>
            <w:hideMark/>
          </w:tcPr>
          <w:p w14:paraId="491B391D" w14:textId="77777777" w:rsidR="00AA2A63" w:rsidRDefault="00AA2A63" w:rsidP="00E13038">
            <w:pPr>
              <w:rPr>
                <w:rFonts w:ascii="Calibri" w:hAnsi="Calibri" w:cs="Arial"/>
                <w:sz w:val="18"/>
                <w:szCs w:val="18"/>
              </w:rPr>
            </w:pPr>
            <w:r>
              <w:rPr>
                <w:rFonts w:ascii="Calibri" w:hAnsi="Calibri" w:cs="Arial"/>
                <w:sz w:val="18"/>
                <w:szCs w:val="18"/>
              </w:rPr>
              <w:t> </w:t>
            </w:r>
          </w:p>
        </w:tc>
        <w:tc>
          <w:tcPr>
            <w:tcW w:w="2152" w:type="dxa"/>
            <w:tcBorders>
              <w:top w:val="nil"/>
              <w:left w:val="nil"/>
              <w:bottom w:val="nil"/>
              <w:right w:val="nil"/>
            </w:tcBorders>
            <w:shd w:val="clear" w:color="auto" w:fill="auto"/>
            <w:vAlign w:val="center"/>
            <w:hideMark/>
          </w:tcPr>
          <w:p w14:paraId="346AF3D0" w14:textId="77777777" w:rsidR="00AA2A63" w:rsidRDefault="00AA2A63" w:rsidP="00E13038">
            <w:pPr>
              <w:rPr>
                <w:rFonts w:ascii="Calibri" w:hAnsi="Calibri" w:cs="Arial"/>
                <w:sz w:val="18"/>
                <w:szCs w:val="18"/>
              </w:rPr>
            </w:pPr>
          </w:p>
        </w:tc>
      </w:tr>
      <w:tr w:rsidR="00AA2A63" w14:paraId="7BD3CB16"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6CDEC119" w14:textId="77777777" w:rsidR="00AA2A63" w:rsidRDefault="00AA2A63" w:rsidP="00E13038">
            <w:pPr>
              <w:rPr>
                <w:rFonts w:ascii="Calibri" w:hAnsi="Calibri" w:cs="Arial"/>
                <w:b/>
                <w:bCs/>
                <w:sz w:val="18"/>
                <w:szCs w:val="18"/>
              </w:rPr>
            </w:pPr>
            <w:r>
              <w:rPr>
                <w:rFonts w:ascii="Calibri" w:hAnsi="Calibri" w:cs="Arial"/>
                <w:b/>
                <w:bCs/>
                <w:sz w:val="18"/>
                <w:szCs w:val="18"/>
              </w:rPr>
              <w:t>SEGMENT A - sprzedaż ciepła odzyskanego w procesie unieszkodliwiania odpadów</w:t>
            </w:r>
          </w:p>
        </w:tc>
        <w:tc>
          <w:tcPr>
            <w:tcW w:w="2132" w:type="dxa"/>
            <w:tcBorders>
              <w:top w:val="nil"/>
              <w:left w:val="nil"/>
              <w:bottom w:val="nil"/>
              <w:right w:val="nil"/>
            </w:tcBorders>
            <w:shd w:val="clear" w:color="000000" w:fill="D9D9D9" w:themeFill="background1" w:themeFillShade="D9"/>
            <w:noWrap/>
            <w:vAlign w:val="center"/>
            <w:hideMark/>
          </w:tcPr>
          <w:p w14:paraId="38A2C223" w14:textId="77777777" w:rsidR="00AA2A63" w:rsidRDefault="00AA2A63" w:rsidP="00E13038">
            <w:pPr>
              <w:rPr>
                <w:rFonts w:ascii="Calibri" w:hAnsi="Calibri" w:cs="Arial"/>
                <w:b/>
                <w:bCs/>
                <w:sz w:val="18"/>
                <w:szCs w:val="18"/>
              </w:rPr>
            </w:pPr>
            <w:r>
              <w:rPr>
                <w:rFonts w:ascii="Calibri" w:hAnsi="Calibri" w:cs="Arial"/>
                <w:b/>
                <w:bCs/>
                <w:sz w:val="18"/>
                <w:szCs w:val="18"/>
              </w:rPr>
              <w:t> </w:t>
            </w:r>
          </w:p>
        </w:tc>
        <w:tc>
          <w:tcPr>
            <w:tcW w:w="2152" w:type="dxa"/>
            <w:tcBorders>
              <w:top w:val="nil"/>
              <w:left w:val="nil"/>
              <w:bottom w:val="nil"/>
              <w:right w:val="nil"/>
            </w:tcBorders>
            <w:shd w:val="clear" w:color="auto" w:fill="auto"/>
            <w:noWrap/>
            <w:vAlign w:val="center"/>
            <w:hideMark/>
          </w:tcPr>
          <w:p w14:paraId="56FE7B7A" w14:textId="77777777" w:rsidR="00AA2A63" w:rsidRDefault="00AA2A63" w:rsidP="00E13038">
            <w:pPr>
              <w:rPr>
                <w:rFonts w:ascii="Calibri" w:hAnsi="Calibri" w:cs="Arial"/>
                <w:b/>
                <w:bCs/>
                <w:sz w:val="18"/>
                <w:szCs w:val="18"/>
              </w:rPr>
            </w:pPr>
          </w:p>
        </w:tc>
      </w:tr>
      <w:tr w:rsidR="00AA2A63" w14:paraId="586BD52C"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07230E0C" w14:textId="77777777" w:rsidR="00AA2A63" w:rsidRDefault="00AA2A63" w:rsidP="00E13038">
            <w:pPr>
              <w:rPr>
                <w:rFonts w:ascii="Calibri" w:hAnsi="Calibri" w:cs="Arial"/>
                <w:sz w:val="18"/>
                <w:szCs w:val="18"/>
              </w:rPr>
            </w:pPr>
            <w:r>
              <w:rPr>
                <w:rFonts w:ascii="Calibri" w:hAnsi="Calibri" w:cs="Arial"/>
                <w:sz w:val="18"/>
                <w:szCs w:val="18"/>
              </w:rPr>
              <w:t>Przychody ze sprzedaży</w:t>
            </w:r>
          </w:p>
        </w:tc>
        <w:tc>
          <w:tcPr>
            <w:tcW w:w="2132" w:type="dxa"/>
            <w:tcBorders>
              <w:top w:val="nil"/>
              <w:left w:val="nil"/>
              <w:bottom w:val="nil"/>
              <w:right w:val="nil"/>
            </w:tcBorders>
            <w:shd w:val="clear" w:color="000000" w:fill="D9D9D9" w:themeFill="background1" w:themeFillShade="D9"/>
            <w:noWrap/>
            <w:vAlign w:val="center"/>
            <w:hideMark/>
          </w:tcPr>
          <w:p w14:paraId="66DE89FF" w14:textId="77777777" w:rsidR="00AA2A63" w:rsidRDefault="00AA2A63" w:rsidP="00E13038">
            <w:pPr>
              <w:jc w:val="right"/>
              <w:rPr>
                <w:rFonts w:ascii="Calibri" w:hAnsi="Calibri" w:cs="Arial"/>
                <w:sz w:val="18"/>
                <w:szCs w:val="18"/>
              </w:rPr>
            </w:pPr>
            <w:r>
              <w:rPr>
                <w:rFonts w:ascii="Calibri" w:hAnsi="Calibri" w:cs="Arial"/>
                <w:sz w:val="18"/>
                <w:szCs w:val="18"/>
              </w:rPr>
              <w:t>942</w:t>
            </w:r>
          </w:p>
        </w:tc>
        <w:tc>
          <w:tcPr>
            <w:tcW w:w="2152" w:type="dxa"/>
            <w:tcBorders>
              <w:top w:val="nil"/>
              <w:left w:val="nil"/>
              <w:bottom w:val="nil"/>
              <w:right w:val="nil"/>
            </w:tcBorders>
            <w:shd w:val="clear" w:color="auto" w:fill="auto"/>
            <w:noWrap/>
            <w:vAlign w:val="center"/>
            <w:hideMark/>
          </w:tcPr>
          <w:p w14:paraId="0260D8DA" w14:textId="77777777" w:rsidR="00AA2A63" w:rsidRDefault="00AA2A63" w:rsidP="00E13038">
            <w:pPr>
              <w:jc w:val="right"/>
              <w:rPr>
                <w:rFonts w:ascii="Calibri" w:hAnsi="Calibri" w:cs="Arial"/>
                <w:sz w:val="18"/>
                <w:szCs w:val="18"/>
              </w:rPr>
            </w:pPr>
            <w:r>
              <w:rPr>
                <w:rFonts w:ascii="Calibri" w:hAnsi="Calibri" w:cs="Arial"/>
                <w:sz w:val="18"/>
                <w:szCs w:val="18"/>
              </w:rPr>
              <w:t>445</w:t>
            </w:r>
          </w:p>
        </w:tc>
      </w:tr>
      <w:tr w:rsidR="00AA2A63" w14:paraId="391DEE2D"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3BDDD8BF" w14:textId="77777777" w:rsidR="00AA2A63" w:rsidRDefault="00AA2A63" w:rsidP="00E13038">
            <w:pPr>
              <w:rPr>
                <w:rFonts w:ascii="Calibri" w:hAnsi="Calibri" w:cs="Arial"/>
                <w:sz w:val="18"/>
                <w:szCs w:val="18"/>
              </w:rPr>
            </w:pPr>
            <w:r>
              <w:rPr>
                <w:rFonts w:ascii="Calibri" w:hAnsi="Calibri" w:cs="Arial"/>
                <w:sz w:val="18"/>
                <w:szCs w:val="18"/>
              </w:rPr>
              <w:t>Koszt własny sprzedaży</w:t>
            </w:r>
          </w:p>
        </w:tc>
        <w:tc>
          <w:tcPr>
            <w:tcW w:w="2132" w:type="dxa"/>
            <w:tcBorders>
              <w:top w:val="nil"/>
              <w:left w:val="nil"/>
              <w:bottom w:val="nil"/>
              <w:right w:val="nil"/>
            </w:tcBorders>
            <w:shd w:val="clear" w:color="000000" w:fill="D9D9D9" w:themeFill="background1" w:themeFillShade="D9"/>
            <w:noWrap/>
            <w:vAlign w:val="center"/>
            <w:hideMark/>
          </w:tcPr>
          <w:p w14:paraId="48D0E71C" w14:textId="77777777" w:rsidR="00AA2A63" w:rsidRDefault="00AA2A63" w:rsidP="00E13038">
            <w:pPr>
              <w:jc w:val="right"/>
              <w:rPr>
                <w:rFonts w:ascii="Calibri" w:hAnsi="Calibri" w:cs="Arial"/>
                <w:sz w:val="18"/>
                <w:szCs w:val="18"/>
              </w:rPr>
            </w:pPr>
            <w:r>
              <w:rPr>
                <w:rFonts w:ascii="Calibri" w:hAnsi="Calibri" w:cs="Arial"/>
                <w:sz w:val="18"/>
                <w:szCs w:val="18"/>
              </w:rPr>
              <w:t>770</w:t>
            </w:r>
          </w:p>
        </w:tc>
        <w:tc>
          <w:tcPr>
            <w:tcW w:w="2152" w:type="dxa"/>
            <w:tcBorders>
              <w:top w:val="nil"/>
              <w:left w:val="nil"/>
              <w:bottom w:val="nil"/>
              <w:right w:val="nil"/>
            </w:tcBorders>
            <w:shd w:val="clear" w:color="auto" w:fill="auto"/>
            <w:noWrap/>
            <w:vAlign w:val="center"/>
            <w:hideMark/>
          </w:tcPr>
          <w:p w14:paraId="113F0134" w14:textId="77777777" w:rsidR="00AA2A63" w:rsidRDefault="00AA2A63" w:rsidP="00E13038">
            <w:pPr>
              <w:jc w:val="right"/>
              <w:rPr>
                <w:rFonts w:ascii="Calibri" w:hAnsi="Calibri" w:cs="Arial"/>
                <w:sz w:val="18"/>
                <w:szCs w:val="18"/>
              </w:rPr>
            </w:pPr>
            <w:r>
              <w:rPr>
                <w:rFonts w:ascii="Calibri" w:hAnsi="Calibri" w:cs="Arial"/>
                <w:sz w:val="18"/>
                <w:szCs w:val="18"/>
              </w:rPr>
              <w:t>287</w:t>
            </w:r>
          </w:p>
        </w:tc>
      </w:tr>
      <w:tr w:rsidR="00AA2A63" w14:paraId="2F6A620F"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4C46F65C" w14:textId="77777777" w:rsidR="00AA2A63" w:rsidRDefault="00AA2A63" w:rsidP="00E13038">
            <w:pPr>
              <w:rPr>
                <w:rFonts w:ascii="Calibri" w:hAnsi="Calibri" w:cs="Arial"/>
                <w:b/>
                <w:bCs/>
                <w:sz w:val="18"/>
                <w:szCs w:val="18"/>
              </w:rPr>
            </w:pPr>
            <w:r>
              <w:rPr>
                <w:rFonts w:ascii="Calibri" w:hAnsi="Calibri" w:cs="Arial"/>
                <w:b/>
                <w:bCs/>
                <w:sz w:val="18"/>
                <w:szCs w:val="18"/>
              </w:rPr>
              <w:t>Wynik na działalności segmentu</w:t>
            </w:r>
          </w:p>
        </w:tc>
        <w:tc>
          <w:tcPr>
            <w:tcW w:w="213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5966023C" w14:textId="77777777" w:rsidR="00AA2A63" w:rsidRDefault="00AA2A63" w:rsidP="00E13038">
            <w:pPr>
              <w:jc w:val="right"/>
              <w:rPr>
                <w:rFonts w:ascii="Calibri" w:hAnsi="Calibri" w:cs="Arial"/>
                <w:b/>
                <w:bCs/>
                <w:sz w:val="18"/>
                <w:szCs w:val="18"/>
              </w:rPr>
            </w:pPr>
            <w:r>
              <w:rPr>
                <w:rFonts w:ascii="Calibri" w:hAnsi="Calibri" w:cs="Arial"/>
                <w:b/>
                <w:bCs/>
                <w:sz w:val="18"/>
                <w:szCs w:val="18"/>
              </w:rPr>
              <w:t>172</w:t>
            </w:r>
          </w:p>
        </w:tc>
        <w:tc>
          <w:tcPr>
            <w:tcW w:w="2152" w:type="dxa"/>
            <w:tcBorders>
              <w:top w:val="single" w:sz="4" w:space="0" w:color="auto"/>
              <w:left w:val="nil"/>
              <w:bottom w:val="double" w:sz="6" w:space="0" w:color="auto"/>
              <w:right w:val="nil"/>
            </w:tcBorders>
            <w:shd w:val="clear" w:color="auto" w:fill="auto"/>
            <w:noWrap/>
            <w:vAlign w:val="center"/>
            <w:hideMark/>
          </w:tcPr>
          <w:p w14:paraId="39709755" w14:textId="77777777" w:rsidR="00AA2A63" w:rsidRDefault="00AA2A63" w:rsidP="00E13038">
            <w:pPr>
              <w:jc w:val="right"/>
              <w:rPr>
                <w:rFonts w:ascii="Calibri" w:hAnsi="Calibri" w:cs="Arial"/>
                <w:b/>
                <w:bCs/>
                <w:sz w:val="18"/>
                <w:szCs w:val="18"/>
              </w:rPr>
            </w:pPr>
            <w:r>
              <w:rPr>
                <w:rFonts w:ascii="Calibri" w:hAnsi="Calibri" w:cs="Arial"/>
                <w:b/>
                <w:bCs/>
                <w:sz w:val="18"/>
                <w:szCs w:val="18"/>
              </w:rPr>
              <w:t>158</w:t>
            </w:r>
          </w:p>
        </w:tc>
      </w:tr>
      <w:tr w:rsidR="00AA2A63" w14:paraId="13AC59CD"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1F40AC8C" w14:textId="77777777" w:rsidR="00AA2A63" w:rsidRDefault="00AA2A63" w:rsidP="00E13038">
            <w:pPr>
              <w:jc w:val="right"/>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noWrap/>
            <w:vAlign w:val="center"/>
            <w:hideMark/>
          </w:tcPr>
          <w:p w14:paraId="0F283B33" w14:textId="77777777" w:rsidR="00AA2A63" w:rsidRDefault="00AA2A63" w:rsidP="00E13038">
            <w:pPr>
              <w:rPr>
                <w:rFonts w:ascii="Calibri" w:hAnsi="Calibri" w:cs="Arial"/>
                <w:sz w:val="18"/>
                <w:szCs w:val="18"/>
              </w:rPr>
            </w:pPr>
            <w:r>
              <w:rPr>
                <w:rFonts w:ascii="Calibri" w:hAnsi="Calibri" w:cs="Arial"/>
                <w:sz w:val="18"/>
                <w:szCs w:val="18"/>
              </w:rPr>
              <w:t> </w:t>
            </w:r>
          </w:p>
        </w:tc>
        <w:tc>
          <w:tcPr>
            <w:tcW w:w="2152" w:type="dxa"/>
            <w:tcBorders>
              <w:top w:val="nil"/>
              <w:left w:val="nil"/>
              <w:bottom w:val="nil"/>
              <w:right w:val="nil"/>
            </w:tcBorders>
            <w:shd w:val="clear" w:color="auto" w:fill="auto"/>
            <w:noWrap/>
            <w:vAlign w:val="center"/>
            <w:hideMark/>
          </w:tcPr>
          <w:p w14:paraId="1573B9D2" w14:textId="77777777" w:rsidR="00AA2A63" w:rsidRDefault="00AA2A63" w:rsidP="00E13038">
            <w:pPr>
              <w:rPr>
                <w:rFonts w:ascii="Calibri" w:hAnsi="Calibri" w:cs="Arial"/>
                <w:sz w:val="18"/>
                <w:szCs w:val="18"/>
              </w:rPr>
            </w:pPr>
          </w:p>
        </w:tc>
      </w:tr>
      <w:tr w:rsidR="00AA2A63" w14:paraId="7D0FED65"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55FDBCE7" w14:textId="77777777" w:rsidR="00AA2A63" w:rsidRDefault="00AA2A63" w:rsidP="00E13038">
            <w:pPr>
              <w:rPr>
                <w:rFonts w:ascii="Calibri" w:hAnsi="Calibri" w:cs="Arial"/>
                <w:b/>
                <w:bCs/>
                <w:sz w:val="18"/>
                <w:szCs w:val="18"/>
              </w:rPr>
            </w:pPr>
            <w:r>
              <w:rPr>
                <w:rFonts w:ascii="Calibri" w:hAnsi="Calibri" w:cs="Arial"/>
                <w:b/>
                <w:bCs/>
                <w:sz w:val="18"/>
                <w:szCs w:val="18"/>
              </w:rPr>
              <w:t>SEGMENT B - TDA ODP  (</w:t>
            </w:r>
            <w:proofErr w:type="spellStart"/>
            <w:r>
              <w:rPr>
                <w:rFonts w:ascii="Calibri" w:hAnsi="Calibri" w:cs="Arial"/>
                <w:b/>
                <w:bCs/>
                <w:sz w:val="18"/>
                <w:szCs w:val="18"/>
              </w:rPr>
              <w:t>toluilenodwuamina</w:t>
            </w:r>
            <w:proofErr w:type="spellEnd"/>
            <w:r>
              <w:rPr>
                <w:rFonts w:ascii="Calibri" w:hAnsi="Calibri" w:cs="Arial"/>
                <w:b/>
                <w:bCs/>
                <w:sz w:val="18"/>
                <w:szCs w:val="18"/>
              </w:rPr>
              <w:t>)</w:t>
            </w:r>
          </w:p>
        </w:tc>
        <w:tc>
          <w:tcPr>
            <w:tcW w:w="2132" w:type="dxa"/>
            <w:tcBorders>
              <w:top w:val="nil"/>
              <w:left w:val="nil"/>
              <w:bottom w:val="nil"/>
              <w:right w:val="nil"/>
            </w:tcBorders>
            <w:shd w:val="clear" w:color="000000" w:fill="D9D9D9" w:themeFill="background1" w:themeFillShade="D9"/>
            <w:noWrap/>
            <w:vAlign w:val="center"/>
            <w:hideMark/>
          </w:tcPr>
          <w:p w14:paraId="0244C2F0" w14:textId="77777777" w:rsidR="00AA2A63" w:rsidRDefault="00AA2A63" w:rsidP="00E13038">
            <w:pPr>
              <w:rPr>
                <w:rFonts w:ascii="Calibri" w:hAnsi="Calibri" w:cs="Arial"/>
                <w:b/>
                <w:bCs/>
                <w:sz w:val="18"/>
                <w:szCs w:val="18"/>
              </w:rPr>
            </w:pPr>
            <w:r>
              <w:rPr>
                <w:rFonts w:ascii="Calibri" w:hAnsi="Calibri" w:cs="Arial"/>
                <w:b/>
                <w:bCs/>
                <w:sz w:val="18"/>
                <w:szCs w:val="18"/>
              </w:rPr>
              <w:t> </w:t>
            </w:r>
          </w:p>
        </w:tc>
        <w:tc>
          <w:tcPr>
            <w:tcW w:w="2152" w:type="dxa"/>
            <w:tcBorders>
              <w:top w:val="nil"/>
              <w:left w:val="nil"/>
              <w:bottom w:val="nil"/>
              <w:right w:val="nil"/>
            </w:tcBorders>
            <w:shd w:val="clear" w:color="auto" w:fill="auto"/>
            <w:noWrap/>
            <w:vAlign w:val="center"/>
            <w:hideMark/>
          </w:tcPr>
          <w:p w14:paraId="22F71C93" w14:textId="77777777" w:rsidR="00AA2A63" w:rsidRDefault="00AA2A63" w:rsidP="00E13038">
            <w:pPr>
              <w:rPr>
                <w:rFonts w:ascii="Calibri" w:hAnsi="Calibri" w:cs="Arial"/>
                <w:b/>
                <w:bCs/>
                <w:sz w:val="18"/>
                <w:szCs w:val="18"/>
              </w:rPr>
            </w:pPr>
          </w:p>
        </w:tc>
      </w:tr>
      <w:tr w:rsidR="00AA2A63" w14:paraId="3A01B2BE"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67134329" w14:textId="77777777" w:rsidR="00AA2A63" w:rsidRDefault="00AA2A63" w:rsidP="00E13038">
            <w:pPr>
              <w:rPr>
                <w:rFonts w:ascii="Calibri" w:hAnsi="Calibri" w:cs="Arial"/>
                <w:sz w:val="18"/>
                <w:szCs w:val="18"/>
              </w:rPr>
            </w:pPr>
            <w:r>
              <w:rPr>
                <w:rFonts w:ascii="Calibri" w:hAnsi="Calibri" w:cs="Arial"/>
                <w:sz w:val="18"/>
                <w:szCs w:val="18"/>
              </w:rPr>
              <w:t>Przychody ze sprzedaży</w:t>
            </w:r>
          </w:p>
        </w:tc>
        <w:tc>
          <w:tcPr>
            <w:tcW w:w="2132" w:type="dxa"/>
            <w:tcBorders>
              <w:top w:val="nil"/>
              <w:left w:val="nil"/>
              <w:bottom w:val="nil"/>
              <w:right w:val="nil"/>
            </w:tcBorders>
            <w:shd w:val="clear" w:color="000000" w:fill="D9D9D9" w:themeFill="background1" w:themeFillShade="D9"/>
            <w:noWrap/>
            <w:vAlign w:val="center"/>
            <w:hideMark/>
          </w:tcPr>
          <w:p w14:paraId="69046551" w14:textId="77777777" w:rsidR="00AA2A63" w:rsidRDefault="00AA2A63" w:rsidP="00E13038">
            <w:pPr>
              <w:jc w:val="right"/>
              <w:rPr>
                <w:rFonts w:ascii="Calibri" w:hAnsi="Calibri" w:cs="Arial"/>
                <w:sz w:val="18"/>
                <w:szCs w:val="18"/>
              </w:rPr>
            </w:pPr>
            <w:r>
              <w:rPr>
                <w:rFonts w:ascii="Calibri" w:hAnsi="Calibri" w:cs="Arial"/>
                <w:sz w:val="18"/>
                <w:szCs w:val="18"/>
              </w:rPr>
              <w:t>0</w:t>
            </w:r>
          </w:p>
        </w:tc>
        <w:tc>
          <w:tcPr>
            <w:tcW w:w="2152" w:type="dxa"/>
            <w:tcBorders>
              <w:top w:val="nil"/>
              <w:left w:val="nil"/>
              <w:bottom w:val="nil"/>
              <w:right w:val="nil"/>
            </w:tcBorders>
            <w:shd w:val="clear" w:color="auto" w:fill="auto"/>
            <w:noWrap/>
            <w:vAlign w:val="center"/>
            <w:hideMark/>
          </w:tcPr>
          <w:p w14:paraId="68AFC411" w14:textId="77777777" w:rsidR="00AA2A63" w:rsidRDefault="00AA2A63" w:rsidP="00E13038">
            <w:pPr>
              <w:jc w:val="right"/>
              <w:rPr>
                <w:rFonts w:ascii="Calibri" w:hAnsi="Calibri" w:cs="Arial"/>
                <w:sz w:val="18"/>
                <w:szCs w:val="18"/>
              </w:rPr>
            </w:pPr>
            <w:r>
              <w:rPr>
                <w:rFonts w:ascii="Calibri" w:hAnsi="Calibri" w:cs="Arial"/>
                <w:sz w:val="18"/>
                <w:szCs w:val="18"/>
              </w:rPr>
              <w:t>0</w:t>
            </w:r>
          </w:p>
        </w:tc>
      </w:tr>
      <w:tr w:rsidR="00AA2A63" w14:paraId="4E73279A"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6E32F272" w14:textId="77777777" w:rsidR="00AA2A63" w:rsidRDefault="00AA2A63" w:rsidP="00E13038">
            <w:pPr>
              <w:rPr>
                <w:rFonts w:ascii="Calibri" w:hAnsi="Calibri" w:cs="Arial"/>
                <w:sz w:val="18"/>
                <w:szCs w:val="18"/>
              </w:rPr>
            </w:pPr>
            <w:r>
              <w:rPr>
                <w:rFonts w:ascii="Calibri" w:hAnsi="Calibri" w:cs="Arial"/>
                <w:sz w:val="18"/>
                <w:szCs w:val="18"/>
              </w:rPr>
              <w:t>Koszt własny sprzedaży</w:t>
            </w:r>
          </w:p>
        </w:tc>
        <w:tc>
          <w:tcPr>
            <w:tcW w:w="2132" w:type="dxa"/>
            <w:tcBorders>
              <w:top w:val="nil"/>
              <w:left w:val="nil"/>
              <w:bottom w:val="nil"/>
              <w:right w:val="nil"/>
            </w:tcBorders>
            <w:shd w:val="clear" w:color="000000" w:fill="D9D9D9" w:themeFill="background1" w:themeFillShade="D9"/>
            <w:noWrap/>
            <w:vAlign w:val="center"/>
            <w:hideMark/>
          </w:tcPr>
          <w:p w14:paraId="338BEDEF" w14:textId="77777777" w:rsidR="00AA2A63" w:rsidRDefault="00AA2A63" w:rsidP="00E13038">
            <w:pPr>
              <w:jc w:val="right"/>
              <w:rPr>
                <w:rFonts w:ascii="Calibri" w:hAnsi="Calibri" w:cs="Arial"/>
                <w:sz w:val="18"/>
                <w:szCs w:val="18"/>
              </w:rPr>
            </w:pPr>
            <w:r>
              <w:rPr>
                <w:rFonts w:ascii="Calibri" w:hAnsi="Calibri" w:cs="Arial"/>
                <w:sz w:val="18"/>
                <w:szCs w:val="18"/>
              </w:rPr>
              <w:t>10</w:t>
            </w:r>
          </w:p>
        </w:tc>
        <w:tc>
          <w:tcPr>
            <w:tcW w:w="2152" w:type="dxa"/>
            <w:tcBorders>
              <w:top w:val="nil"/>
              <w:left w:val="nil"/>
              <w:bottom w:val="nil"/>
              <w:right w:val="nil"/>
            </w:tcBorders>
            <w:shd w:val="clear" w:color="auto" w:fill="auto"/>
            <w:noWrap/>
            <w:vAlign w:val="center"/>
            <w:hideMark/>
          </w:tcPr>
          <w:p w14:paraId="1A33C0AB" w14:textId="77777777" w:rsidR="00AA2A63" w:rsidRDefault="00AA2A63" w:rsidP="00E13038">
            <w:pPr>
              <w:jc w:val="right"/>
              <w:rPr>
                <w:rFonts w:ascii="Calibri" w:hAnsi="Calibri" w:cs="Arial"/>
                <w:sz w:val="18"/>
                <w:szCs w:val="18"/>
              </w:rPr>
            </w:pPr>
            <w:r>
              <w:rPr>
                <w:rFonts w:ascii="Calibri" w:hAnsi="Calibri" w:cs="Arial"/>
                <w:sz w:val="18"/>
                <w:szCs w:val="18"/>
              </w:rPr>
              <w:t>10</w:t>
            </w:r>
          </w:p>
        </w:tc>
      </w:tr>
      <w:tr w:rsidR="00AA2A63" w14:paraId="7A8A7D21"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32C323BA" w14:textId="77777777" w:rsidR="00AA2A63" w:rsidRDefault="00AA2A63" w:rsidP="00E13038">
            <w:pPr>
              <w:rPr>
                <w:rFonts w:ascii="Calibri" w:hAnsi="Calibri" w:cs="Arial"/>
                <w:b/>
                <w:bCs/>
                <w:sz w:val="18"/>
                <w:szCs w:val="18"/>
              </w:rPr>
            </w:pPr>
            <w:r>
              <w:rPr>
                <w:rFonts w:ascii="Calibri" w:hAnsi="Calibri" w:cs="Arial"/>
                <w:b/>
                <w:bCs/>
                <w:sz w:val="18"/>
                <w:szCs w:val="18"/>
              </w:rPr>
              <w:t>Wynik na działalności segmentu</w:t>
            </w:r>
          </w:p>
        </w:tc>
        <w:tc>
          <w:tcPr>
            <w:tcW w:w="213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33E55D0" w14:textId="77777777" w:rsidR="00AA2A63" w:rsidRDefault="00AA2A63" w:rsidP="00E13038">
            <w:pPr>
              <w:jc w:val="right"/>
              <w:rPr>
                <w:rFonts w:ascii="Calibri" w:hAnsi="Calibri" w:cs="Arial"/>
                <w:b/>
                <w:bCs/>
                <w:sz w:val="18"/>
                <w:szCs w:val="18"/>
              </w:rPr>
            </w:pPr>
            <w:r>
              <w:rPr>
                <w:rFonts w:ascii="Calibri" w:hAnsi="Calibri" w:cs="Arial"/>
                <w:b/>
                <w:bCs/>
                <w:sz w:val="18"/>
                <w:szCs w:val="18"/>
              </w:rPr>
              <w:t>-10</w:t>
            </w:r>
          </w:p>
        </w:tc>
        <w:tc>
          <w:tcPr>
            <w:tcW w:w="2152" w:type="dxa"/>
            <w:tcBorders>
              <w:top w:val="single" w:sz="4" w:space="0" w:color="auto"/>
              <w:left w:val="nil"/>
              <w:bottom w:val="double" w:sz="6" w:space="0" w:color="auto"/>
              <w:right w:val="nil"/>
            </w:tcBorders>
            <w:shd w:val="clear" w:color="auto" w:fill="auto"/>
            <w:noWrap/>
            <w:vAlign w:val="center"/>
            <w:hideMark/>
          </w:tcPr>
          <w:p w14:paraId="096ECBBB" w14:textId="77777777" w:rsidR="00AA2A63" w:rsidRDefault="00AA2A63" w:rsidP="00E13038">
            <w:pPr>
              <w:jc w:val="right"/>
              <w:rPr>
                <w:rFonts w:ascii="Calibri" w:hAnsi="Calibri" w:cs="Arial"/>
                <w:b/>
                <w:bCs/>
                <w:sz w:val="18"/>
                <w:szCs w:val="18"/>
              </w:rPr>
            </w:pPr>
            <w:r>
              <w:rPr>
                <w:rFonts w:ascii="Calibri" w:hAnsi="Calibri" w:cs="Arial"/>
                <w:b/>
                <w:bCs/>
                <w:sz w:val="18"/>
                <w:szCs w:val="18"/>
              </w:rPr>
              <w:t>-10</w:t>
            </w:r>
          </w:p>
        </w:tc>
      </w:tr>
      <w:tr w:rsidR="00AA2A63" w14:paraId="7454EBF6"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2DEF54AA" w14:textId="77777777" w:rsidR="00AA2A63" w:rsidRDefault="00AA2A63" w:rsidP="00E13038">
            <w:pPr>
              <w:jc w:val="right"/>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noWrap/>
            <w:vAlign w:val="center"/>
            <w:hideMark/>
          </w:tcPr>
          <w:p w14:paraId="518FC7DC" w14:textId="77777777" w:rsidR="00AA2A63" w:rsidRDefault="00AA2A63" w:rsidP="00E13038">
            <w:pPr>
              <w:rPr>
                <w:rFonts w:ascii="Calibri" w:hAnsi="Calibri" w:cs="Arial"/>
                <w:sz w:val="18"/>
                <w:szCs w:val="18"/>
              </w:rPr>
            </w:pPr>
            <w:r>
              <w:rPr>
                <w:rFonts w:ascii="Calibri" w:hAnsi="Calibri" w:cs="Arial"/>
                <w:sz w:val="18"/>
                <w:szCs w:val="18"/>
              </w:rPr>
              <w:t> </w:t>
            </w:r>
          </w:p>
        </w:tc>
        <w:tc>
          <w:tcPr>
            <w:tcW w:w="2152" w:type="dxa"/>
            <w:tcBorders>
              <w:top w:val="nil"/>
              <w:left w:val="nil"/>
              <w:bottom w:val="nil"/>
              <w:right w:val="nil"/>
            </w:tcBorders>
            <w:shd w:val="clear" w:color="auto" w:fill="auto"/>
            <w:noWrap/>
            <w:vAlign w:val="center"/>
            <w:hideMark/>
          </w:tcPr>
          <w:p w14:paraId="13F3356A" w14:textId="77777777" w:rsidR="00AA2A63" w:rsidRDefault="00AA2A63" w:rsidP="00E13038">
            <w:pPr>
              <w:rPr>
                <w:rFonts w:ascii="Calibri" w:hAnsi="Calibri" w:cs="Arial"/>
                <w:sz w:val="18"/>
                <w:szCs w:val="18"/>
              </w:rPr>
            </w:pPr>
          </w:p>
        </w:tc>
      </w:tr>
      <w:tr w:rsidR="00AA2A63" w14:paraId="56127967"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78ED2F01" w14:textId="77777777" w:rsidR="00AA2A63" w:rsidRDefault="00AA2A63" w:rsidP="00E13038">
            <w:pPr>
              <w:rPr>
                <w:rFonts w:ascii="Calibri" w:hAnsi="Calibri" w:cs="Arial"/>
                <w:b/>
                <w:bCs/>
                <w:sz w:val="18"/>
                <w:szCs w:val="18"/>
              </w:rPr>
            </w:pPr>
            <w:r>
              <w:rPr>
                <w:rFonts w:ascii="Calibri" w:hAnsi="Calibri" w:cs="Arial"/>
                <w:b/>
                <w:bCs/>
                <w:sz w:val="18"/>
                <w:szCs w:val="18"/>
              </w:rPr>
              <w:t>SEGMENT C - utylizacja odpadów</w:t>
            </w:r>
          </w:p>
        </w:tc>
        <w:tc>
          <w:tcPr>
            <w:tcW w:w="2132" w:type="dxa"/>
            <w:tcBorders>
              <w:top w:val="nil"/>
              <w:left w:val="nil"/>
              <w:bottom w:val="nil"/>
              <w:right w:val="nil"/>
            </w:tcBorders>
            <w:shd w:val="clear" w:color="000000" w:fill="D9D9D9" w:themeFill="background1" w:themeFillShade="D9"/>
            <w:noWrap/>
            <w:vAlign w:val="center"/>
            <w:hideMark/>
          </w:tcPr>
          <w:p w14:paraId="3E313645" w14:textId="77777777" w:rsidR="00AA2A63" w:rsidRDefault="00AA2A63" w:rsidP="00E13038">
            <w:pPr>
              <w:rPr>
                <w:rFonts w:ascii="Calibri" w:hAnsi="Calibri" w:cs="Arial"/>
                <w:b/>
                <w:bCs/>
                <w:sz w:val="18"/>
                <w:szCs w:val="18"/>
              </w:rPr>
            </w:pPr>
            <w:r>
              <w:rPr>
                <w:rFonts w:ascii="Calibri" w:hAnsi="Calibri" w:cs="Arial"/>
                <w:b/>
                <w:bCs/>
                <w:sz w:val="18"/>
                <w:szCs w:val="18"/>
              </w:rPr>
              <w:t> </w:t>
            </w:r>
          </w:p>
        </w:tc>
        <w:tc>
          <w:tcPr>
            <w:tcW w:w="2152" w:type="dxa"/>
            <w:tcBorders>
              <w:top w:val="nil"/>
              <w:left w:val="nil"/>
              <w:bottom w:val="nil"/>
              <w:right w:val="nil"/>
            </w:tcBorders>
            <w:shd w:val="clear" w:color="auto" w:fill="auto"/>
            <w:noWrap/>
            <w:vAlign w:val="center"/>
            <w:hideMark/>
          </w:tcPr>
          <w:p w14:paraId="00FBC71E" w14:textId="77777777" w:rsidR="00AA2A63" w:rsidRDefault="00AA2A63" w:rsidP="00E13038">
            <w:pPr>
              <w:rPr>
                <w:rFonts w:ascii="Calibri" w:hAnsi="Calibri" w:cs="Arial"/>
                <w:b/>
                <w:bCs/>
                <w:sz w:val="18"/>
                <w:szCs w:val="18"/>
              </w:rPr>
            </w:pPr>
          </w:p>
        </w:tc>
      </w:tr>
      <w:tr w:rsidR="00AA2A63" w14:paraId="3AA6FCCA"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1DC84468" w14:textId="77777777" w:rsidR="00AA2A63" w:rsidRDefault="00AA2A63" w:rsidP="00E13038">
            <w:pPr>
              <w:rPr>
                <w:rFonts w:ascii="Calibri" w:hAnsi="Calibri" w:cs="Arial"/>
                <w:sz w:val="18"/>
                <w:szCs w:val="18"/>
              </w:rPr>
            </w:pPr>
            <w:r>
              <w:rPr>
                <w:rFonts w:ascii="Calibri" w:hAnsi="Calibri" w:cs="Arial"/>
                <w:sz w:val="18"/>
                <w:szCs w:val="18"/>
              </w:rPr>
              <w:t>Przychody ze sprzedaży</w:t>
            </w:r>
          </w:p>
        </w:tc>
        <w:tc>
          <w:tcPr>
            <w:tcW w:w="2132" w:type="dxa"/>
            <w:tcBorders>
              <w:top w:val="nil"/>
              <w:left w:val="nil"/>
              <w:bottom w:val="nil"/>
              <w:right w:val="nil"/>
            </w:tcBorders>
            <w:shd w:val="clear" w:color="000000" w:fill="D9D9D9" w:themeFill="background1" w:themeFillShade="D9"/>
            <w:noWrap/>
            <w:vAlign w:val="center"/>
            <w:hideMark/>
          </w:tcPr>
          <w:p w14:paraId="26F4FC82" w14:textId="77777777" w:rsidR="00AA2A63" w:rsidRDefault="00AA2A63" w:rsidP="00E13038">
            <w:pPr>
              <w:jc w:val="right"/>
              <w:rPr>
                <w:rFonts w:ascii="Calibri" w:hAnsi="Calibri" w:cs="Arial"/>
                <w:sz w:val="18"/>
                <w:szCs w:val="18"/>
              </w:rPr>
            </w:pPr>
            <w:r>
              <w:rPr>
                <w:rFonts w:ascii="Calibri" w:hAnsi="Calibri" w:cs="Arial"/>
                <w:sz w:val="18"/>
                <w:szCs w:val="18"/>
              </w:rPr>
              <w:t>1 394</w:t>
            </w:r>
          </w:p>
        </w:tc>
        <w:tc>
          <w:tcPr>
            <w:tcW w:w="2152" w:type="dxa"/>
            <w:tcBorders>
              <w:top w:val="nil"/>
              <w:left w:val="nil"/>
              <w:bottom w:val="nil"/>
              <w:right w:val="nil"/>
            </w:tcBorders>
            <w:shd w:val="clear" w:color="auto" w:fill="auto"/>
            <w:noWrap/>
            <w:vAlign w:val="center"/>
            <w:hideMark/>
          </w:tcPr>
          <w:p w14:paraId="1F87DFF2" w14:textId="77777777" w:rsidR="00AA2A63" w:rsidRDefault="00AA2A63" w:rsidP="00E13038">
            <w:pPr>
              <w:jc w:val="right"/>
              <w:rPr>
                <w:rFonts w:ascii="Calibri" w:hAnsi="Calibri" w:cs="Arial"/>
                <w:sz w:val="18"/>
                <w:szCs w:val="18"/>
              </w:rPr>
            </w:pPr>
            <w:r>
              <w:rPr>
                <w:rFonts w:ascii="Calibri" w:hAnsi="Calibri" w:cs="Arial"/>
                <w:sz w:val="18"/>
                <w:szCs w:val="18"/>
              </w:rPr>
              <w:t>1 356</w:t>
            </w:r>
          </w:p>
        </w:tc>
      </w:tr>
      <w:tr w:rsidR="00AA2A63" w14:paraId="63FFE225"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333C9BDD" w14:textId="77777777" w:rsidR="00AA2A63" w:rsidRDefault="00AA2A63" w:rsidP="00E13038">
            <w:pPr>
              <w:rPr>
                <w:rFonts w:ascii="Calibri" w:hAnsi="Calibri" w:cs="Arial"/>
                <w:sz w:val="18"/>
                <w:szCs w:val="18"/>
              </w:rPr>
            </w:pPr>
            <w:r>
              <w:rPr>
                <w:rFonts w:ascii="Calibri" w:hAnsi="Calibri" w:cs="Arial"/>
                <w:sz w:val="18"/>
                <w:szCs w:val="18"/>
              </w:rPr>
              <w:t>Koszt własny sprzedaży</w:t>
            </w:r>
          </w:p>
        </w:tc>
        <w:tc>
          <w:tcPr>
            <w:tcW w:w="2132" w:type="dxa"/>
            <w:tcBorders>
              <w:top w:val="nil"/>
              <w:left w:val="nil"/>
              <w:bottom w:val="nil"/>
              <w:right w:val="nil"/>
            </w:tcBorders>
            <w:shd w:val="clear" w:color="000000" w:fill="D9D9D9" w:themeFill="background1" w:themeFillShade="D9"/>
            <w:noWrap/>
            <w:vAlign w:val="center"/>
            <w:hideMark/>
          </w:tcPr>
          <w:p w14:paraId="373435E4" w14:textId="77777777" w:rsidR="00AA2A63" w:rsidRDefault="00AA2A63" w:rsidP="00E13038">
            <w:pPr>
              <w:jc w:val="right"/>
              <w:rPr>
                <w:rFonts w:ascii="Calibri" w:hAnsi="Calibri" w:cs="Arial"/>
                <w:sz w:val="18"/>
                <w:szCs w:val="18"/>
              </w:rPr>
            </w:pPr>
            <w:r>
              <w:rPr>
                <w:rFonts w:ascii="Calibri" w:hAnsi="Calibri" w:cs="Arial"/>
                <w:sz w:val="18"/>
                <w:szCs w:val="18"/>
              </w:rPr>
              <w:t>1 094</w:t>
            </w:r>
          </w:p>
        </w:tc>
        <w:tc>
          <w:tcPr>
            <w:tcW w:w="2152" w:type="dxa"/>
            <w:tcBorders>
              <w:top w:val="nil"/>
              <w:left w:val="nil"/>
              <w:bottom w:val="nil"/>
              <w:right w:val="nil"/>
            </w:tcBorders>
            <w:shd w:val="clear" w:color="auto" w:fill="auto"/>
            <w:noWrap/>
            <w:vAlign w:val="center"/>
            <w:hideMark/>
          </w:tcPr>
          <w:p w14:paraId="6904460A" w14:textId="77777777" w:rsidR="00AA2A63" w:rsidRDefault="00AA2A63" w:rsidP="00E13038">
            <w:pPr>
              <w:jc w:val="right"/>
              <w:rPr>
                <w:rFonts w:ascii="Calibri" w:hAnsi="Calibri" w:cs="Arial"/>
                <w:sz w:val="18"/>
                <w:szCs w:val="18"/>
              </w:rPr>
            </w:pPr>
            <w:r>
              <w:rPr>
                <w:rFonts w:ascii="Calibri" w:hAnsi="Calibri" w:cs="Arial"/>
                <w:sz w:val="18"/>
                <w:szCs w:val="18"/>
              </w:rPr>
              <w:t>1 079</w:t>
            </w:r>
          </w:p>
        </w:tc>
      </w:tr>
      <w:tr w:rsidR="00AA2A63" w14:paraId="68B356D8"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6A939096" w14:textId="77777777" w:rsidR="00AA2A63" w:rsidRDefault="00AA2A63" w:rsidP="00E13038">
            <w:pPr>
              <w:rPr>
                <w:rFonts w:ascii="Calibri" w:hAnsi="Calibri" w:cs="Arial"/>
                <w:b/>
                <w:bCs/>
                <w:sz w:val="18"/>
                <w:szCs w:val="18"/>
              </w:rPr>
            </w:pPr>
            <w:r>
              <w:rPr>
                <w:rFonts w:ascii="Calibri" w:hAnsi="Calibri" w:cs="Arial"/>
                <w:b/>
                <w:bCs/>
                <w:sz w:val="18"/>
                <w:szCs w:val="18"/>
              </w:rPr>
              <w:t>Wynik na działalności segmentu</w:t>
            </w:r>
          </w:p>
        </w:tc>
        <w:tc>
          <w:tcPr>
            <w:tcW w:w="213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3A1EC0F4" w14:textId="77777777" w:rsidR="00AA2A63" w:rsidRDefault="00AA2A63" w:rsidP="00E13038">
            <w:pPr>
              <w:jc w:val="right"/>
              <w:rPr>
                <w:rFonts w:ascii="Calibri" w:hAnsi="Calibri" w:cs="Arial"/>
                <w:b/>
                <w:bCs/>
                <w:sz w:val="18"/>
                <w:szCs w:val="18"/>
              </w:rPr>
            </w:pPr>
            <w:r>
              <w:rPr>
                <w:rFonts w:ascii="Calibri" w:hAnsi="Calibri" w:cs="Arial"/>
                <w:b/>
                <w:bCs/>
                <w:sz w:val="18"/>
                <w:szCs w:val="18"/>
              </w:rPr>
              <w:t>300</w:t>
            </w:r>
          </w:p>
        </w:tc>
        <w:tc>
          <w:tcPr>
            <w:tcW w:w="2152" w:type="dxa"/>
            <w:tcBorders>
              <w:top w:val="single" w:sz="4" w:space="0" w:color="auto"/>
              <w:left w:val="nil"/>
              <w:bottom w:val="double" w:sz="6" w:space="0" w:color="auto"/>
              <w:right w:val="nil"/>
            </w:tcBorders>
            <w:shd w:val="clear" w:color="auto" w:fill="auto"/>
            <w:noWrap/>
            <w:vAlign w:val="center"/>
            <w:hideMark/>
          </w:tcPr>
          <w:p w14:paraId="48DD3126" w14:textId="77777777" w:rsidR="00AA2A63" w:rsidRDefault="00AA2A63" w:rsidP="00E13038">
            <w:pPr>
              <w:jc w:val="right"/>
              <w:rPr>
                <w:rFonts w:ascii="Calibri" w:hAnsi="Calibri" w:cs="Arial"/>
                <w:b/>
                <w:bCs/>
                <w:sz w:val="18"/>
                <w:szCs w:val="18"/>
              </w:rPr>
            </w:pPr>
            <w:r>
              <w:rPr>
                <w:rFonts w:ascii="Calibri" w:hAnsi="Calibri" w:cs="Arial"/>
                <w:b/>
                <w:bCs/>
                <w:sz w:val="18"/>
                <w:szCs w:val="18"/>
              </w:rPr>
              <w:t>277</w:t>
            </w:r>
          </w:p>
        </w:tc>
      </w:tr>
      <w:tr w:rsidR="00AA2A63" w14:paraId="0375DF8E"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431786B8" w14:textId="77777777" w:rsidR="00AA2A63" w:rsidRDefault="00AA2A63" w:rsidP="00E13038">
            <w:pPr>
              <w:jc w:val="right"/>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noWrap/>
            <w:vAlign w:val="center"/>
            <w:hideMark/>
          </w:tcPr>
          <w:p w14:paraId="78980A0C" w14:textId="77777777" w:rsidR="00AA2A63" w:rsidRDefault="00AA2A63" w:rsidP="00E13038">
            <w:pPr>
              <w:rPr>
                <w:rFonts w:ascii="Calibri" w:hAnsi="Calibri" w:cs="Arial"/>
                <w:sz w:val="18"/>
                <w:szCs w:val="18"/>
              </w:rPr>
            </w:pPr>
            <w:r>
              <w:rPr>
                <w:rFonts w:ascii="Calibri" w:hAnsi="Calibri" w:cs="Arial"/>
                <w:sz w:val="18"/>
                <w:szCs w:val="18"/>
              </w:rPr>
              <w:t> </w:t>
            </w:r>
          </w:p>
        </w:tc>
        <w:tc>
          <w:tcPr>
            <w:tcW w:w="2152" w:type="dxa"/>
            <w:tcBorders>
              <w:top w:val="nil"/>
              <w:left w:val="nil"/>
              <w:bottom w:val="nil"/>
              <w:right w:val="nil"/>
            </w:tcBorders>
            <w:shd w:val="clear" w:color="auto" w:fill="auto"/>
            <w:noWrap/>
            <w:vAlign w:val="center"/>
            <w:hideMark/>
          </w:tcPr>
          <w:p w14:paraId="7BC659F4" w14:textId="77777777" w:rsidR="00AA2A63" w:rsidRDefault="00AA2A63" w:rsidP="00E13038">
            <w:pPr>
              <w:rPr>
                <w:rFonts w:ascii="Calibri" w:hAnsi="Calibri" w:cs="Arial"/>
                <w:sz w:val="18"/>
                <w:szCs w:val="18"/>
              </w:rPr>
            </w:pPr>
          </w:p>
        </w:tc>
      </w:tr>
      <w:tr w:rsidR="00AA2A63" w14:paraId="20948140"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5C0DEC14" w14:textId="77777777" w:rsidR="00AA2A63" w:rsidRDefault="00AA2A63" w:rsidP="00E13038">
            <w:pPr>
              <w:rPr>
                <w:rFonts w:ascii="Calibri" w:hAnsi="Calibri" w:cs="Arial"/>
                <w:b/>
                <w:bCs/>
                <w:sz w:val="18"/>
                <w:szCs w:val="18"/>
              </w:rPr>
            </w:pPr>
            <w:r>
              <w:rPr>
                <w:rFonts w:ascii="Calibri" w:hAnsi="Calibri" w:cs="Arial"/>
                <w:b/>
                <w:bCs/>
                <w:sz w:val="18"/>
                <w:szCs w:val="18"/>
              </w:rPr>
              <w:t xml:space="preserve">SEGMENT D - POZOSTAŁE </w:t>
            </w:r>
          </w:p>
        </w:tc>
        <w:tc>
          <w:tcPr>
            <w:tcW w:w="2132" w:type="dxa"/>
            <w:tcBorders>
              <w:top w:val="nil"/>
              <w:left w:val="nil"/>
              <w:bottom w:val="nil"/>
              <w:right w:val="nil"/>
            </w:tcBorders>
            <w:shd w:val="clear" w:color="000000" w:fill="D9D9D9" w:themeFill="background1" w:themeFillShade="D9"/>
            <w:noWrap/>
            <w:vAlign w:val="center"/>
            <w:hideMark/>
          </w:tcPr>
          <w:p w14:paraId="1D269C86" w14:textId="77777777" w:rsidR="00AA2A63" w:rsidRDefault="00AA2A63" w:rsidP="00E13038">
            <w:pPr>
              <w:rPr>
                <w:rFonts w:ascii="Calibri" w:hAnsi="Calibri" w:cs="Arial"/>
                <w:b/>
                <w:bCs/>
                <w:sz w:val="18"/>
                <w:szCs w:val="18"/>
              </w:rPr>
            </w:pPr>
            <w:r>
              <w:rPr>
                <w:rFonts w:ascii="Calibri" w:hAnsi="Calibri" w:cs="Arial"/>
                <w:b/>
                <w:bCs/>
                <w:sz w:val="18"/>
                <w:szCs w:val="18"/>
              </w:rPr>
              <w:t> </w:t>
            </w:r>
          </w:p>
        </w:tc>
        <w:tc>
          <w:tcPr>
            <w:tcW w:w="2152" w:type="dxa"/>
            <w:tcBorders>
              <w:top w:val="nil"/>
              <w:left w:val="nil"/>
              <w:bottom w:val="nil"/>
              <w:right w:val="nil"/>
            </w:tcBorders>
            <w:shd w:val="clear" w:color="auto" w:fill="auto"/>
            <w:noWrap/>
            <w:vAlign w:val="center"/>
            <w:hideMark/>
          </w:tcPr>
          <w:p w14:paraId="6D4F91AD" w14:textId="77777777" w:rsidR="00AA2A63" w:rsidRDefault="00AA2A63" w:rsidP="00E13038">
            <w:pPr>
              <w:rPr>
                <w:rFonts w:ascii="Calibri" w:hAnsi="Calibri" w:cs="Arial"/>
                <w:b/>
                <w:bCs/>
                <w:sz w:val="18"/>
                <w:szCs w:val="18"/>
              </w:rPr>
            </w:pPr>
          </w:p>
        </w:tc>
      </w:tr>
      <w:tr w:rsidR="00AA2A63" w14:paraId="71D096EA"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7C2F4133" w14:textId="77777777" w:rsidR="00AA2A63" w:rsidRDefault="00AA2A63" w:rsidP="00E13038">
            <w:pPr>
              <w:rPr>
                <w:rFonts w:ascii="Calibri" w:hAnsi="Calibri" w:cs="Arial"/>
                <w:sz w:val="18"/>
                <w:szCs w:val="18"/>
              </w:rPr>
            </w:pPr>
            <w:r>
              <w:rPr>
                <w:rFonts w:ascii="Calibri" w:hAnsi="Calibri" w:cs="Arial"/>
                <w:sz w:val="18"/>
                <w:szCs w:val="18"/>
              </w:rPr>
              <w:t>Przychody ze sprzedaży</w:t>
            </w:r>
          </w:p>
        </w:tc>
        <w:tc>
          <w:tcPr>
            <w:tcW w:w="2132" w:type="dxa"/>
            <w:tcBorders>
              <w:top w:val="nil"/>
              <w:left w:val="nil"/>
              <w:bottom w:val="nil"/>
              <w:right w:val="nil"/>
            </w:tcBorders>
            <w:shd w:val="clear" w:color="000000" w:fill="D9D9D9" w:themeFill="background1" w:themeFillShade="D9"/>
            <w:noWrap/>
            <w:vAlign w:val="center"/>
            <w:hideMark/>
          </w:tcPr>
          <w:p w14:paraId="3BE53046" w14:textId="77777777" w:rsidR="00AA2A63" w:rsidRDefault="00AA2A63" w:rsidP="00E13038">
            <w:pPr>
              <w:jc w:val="right"/>
              <w:rPr>
                <w:rFonts w:ascii="Calibri" w:hAnsi="Calibri" w:cs="Arial"/>
                <w:sz w:val="18"/>
                <w:szCs w:val="18"/>
              </w:rPr>
            </w:pPr>
            <w:r>
              <w:rPr>
                <w:rFonts w:ascii="Calibri" w:hAnsi="Calibri" w:cs="Arial"/>
                <w:sz w:val="18"/>
                <w:szCs w:val="18"/>
              </w:rPr>
              <w:t>18</w:t>
            </w:r>
          </w:p>
        </w:tc>
        <w:tc>
          <w:tcPr>
            <w:tcW w:w="2152" w:type="dxa"/>
            <w:tcBorders>
              <w:top w:val="nil"/>
              <w:left w:val="nil"/>
              <w:bottom w:val="nil"/>
              <w:right w:val="nil"/>
            </w:tcBorders>
            <w:shd w:val="clear" w:color="auto" w:fill="auto"/>
            <w:noWrap/>
            <w:vAlign w:val="center"/>
            <w:hideMark/>
          </w:tcPr>
          <w:p w14:paraId="6279B2E3" w14:textId="77777777" w:rsidR="00AA2A63" w:rsidRDefault="00AA2A63" w:rsidP="00E13038">
            <w:pPr>
              <w:jc w:val="right"/>
              <w:rPr>
                <w:rFonts w:ascii="Calibri" w:hAnsi="Calibri" w:cs="Arial"/>
                <w:sz w:val="18"/>
                <w:szCs w:val="18"/>
              </w:rPr>
            </w:pPr>
            <w:r>
              <w:rPr>
                <w:rFonts w:ascii="Calibri" w:hAnsi="Calibri" w:cs="Arial"/>
                <w:sz w:val="18"/>
                <w:szCs w:val="18"/>
              </w:rPr>
              <w:t>207</w:t>
            </w:r>
          </w:p>
        </w:tc>
      </w:tr>
      <w:tr w:rsidR="00AA2A63" w14:paraId="6DF56F38"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6A3A70C9" w14:textId="77777777" w:rsidR="00AA2A63" w:rsidRDefault="00AA2A63" w:rsidP="00E13038">
            <w:pPr>
              <w:rPr>
                <w:rFonts w:ascii="Calibri" w:hAnsi="Calibri" w:cs="Arial"/>
                <w:sz w:val="18"/>
                <w:szCs w:val="18"/>
              </w:rPr>
            </w:pPr>
            <w:r>
              <w:rPr>
                <w:rFonts w:ascii="Calibri" w:hAnsi="Calibri" w:cs="Arial"/>
                <w:sz w:val="18"/>
                <w:szCs w:val="18"/>
              </w:rPr>
              <w:t>Koszt własny sprzedaży</w:t>
            </w:r>
          </w:p>
        </w:tc>
        <w:tc>
          <w:tcPr>
            <w:tcW w:w="2132" w:type="dxa"/>
            <w:tcBorders>
              <w:top w:val="nil"/>
              <w:left w:val="nil"/>
              <w:bottom w:val="nil"/>
              <w:right w:val="nil"/>
            </w:tcBorders>
            <w:shd w:val="clear" w:color="000000" w:fill="D9D9D9" w:themeFill="background1" w:themeFillShade="D9"/>
            <w:noWrap/>
            <w:vAlign w:val="center"/>
            <w:hideMark/>
          </w:tcPr>
          <w:p w14:paraId="5F05D0DE" w14:textId="77777777" w:rsidR="00AA2A63" w:rsidRDefault="00AA2A63" w:rsidP="00E13038">
            <w:pPr>
              <w:jc w:val="right"/>
              <w:rPr>
                <w:rFonts w:ascii="Calibri" w:hAnsi="Calibri" w:cs="Arial"/>
                <w:sz w:val="18"/>
                <w:szCs w:val="18"/>
              </w:rPr>
            </w:pPr>
            <w:r>
              <w:rPr>
                <w:rFonts w:ascii="Calibri" w:hAnsi="Calibri" w:cs="Arial"/>
                <w:sz w:val="18"/>
                <w:szCs w:val="18"/>
              </w:rPr>
              <w:t>0</w:t>
            </w:r>
          </w:p>
        </w:tc>
        <w:tc>
          <w:tcPr>
            <w:tcW w:w="2152" w:type="dxa"/>
            <w:tcBorders>
              <w:top w:val="nil"/>
              <w:left w:val="nil"/>
              <w:bottom w:val="nil"/>
              <w:right w:val="nil"/>
            </w:tcBorders>
            <w:shd w:val="clear" w:color="auto" w:fill="auto"/>
            <w:noWrap/>
            <w:vAlign w:val="center"/>
            <w:hideMark/>
          </w:tcPr>
          <w:p w14:paraId="7D2ACC88" w14:textId="77777777" w:rsidR="00AA2A63" w:rsidRDefault="00AA2A63" w:rsidP="00E13038">
            <w:pPr>
              <w:jc w:val="right"/>
              <w:rPr>
                <w:rFonts w:ascii="Calibri" w:hAnsi="Calibri" w:cs="Arial"/>
                <w:sz w:val="18"/>
                <w:szCs w:val="18"/>
              </w:rPr>
            </w:pPr>
            <w:r>
              <w:rPr>
                <w:rFonts w:ascii="Calibri" w:hAnsi="Calibri" w:cs="Arial"/>
                <w:sz w:val="18"/>
                <w:szCs w:val="18"/>
              </w:rPr>
              <w:t>144</w:t>
            </w:r>
          </w:p>
        </w:tc>
      </w:tr>
      <w:tr w:rsidR="00AA2A63" w14:paraId="45BDB240"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7BB8B43F" w14:textId="77777777" w:rsidR="00AA2A63" w:rsidRDefault="00AA2A63" w:rsidP="00E13038">
            <w:pPr>
              <w:rPr>
                <w:rFonts w:ascii="Calibri" w:hAnsi="Calibri" w:cs="Arial"/>
                <w:b/>
                <w:bCs/>
                <w:sz w:val="18"/>
                <w:szCs w:val="18"/>
              </w:rPr>
            </w:pPr>
            <w:r>
              <w:rPr>
                <w:rFonts w:ascii="Calibri" w:hAnsi="Calibri" w:cs="Arial"/>
                <w:b/>
                <w:bCs/>
                <w:sz w:val="18"/>
                <w:szCs w:val="18"/>
              </w:rPr>
              <w:t>Wynik na działalności segmentu</w:t>
            </w:r>
          </w:p>
        </w:tc>
        <w:tc>
          <w:tcPr>
            <w:tcW w:w="213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77E7CD4B" w14:textId="77777777" w:rsidR="00AA2A63" w:rsidRDefault="00AA2A63" w:rsidP="00E13038">
            <w:pPr>
              <w:jc w:val="right"/>
              <w:rPr>
                <w:rFonts w:ascii="Calibri" w:hAnsi="Calibri" w:cs="Arial"/>
                <w:b/>
                <w:bCs/>
                <w:sz w:val="18"/>
                <w:szCs w:val="18"/>
              </w:rPr>
            </w:pPr>
            <w:r>
              <w:rPr>
                <w:rFonts w:ascii="Calibri" w:hAnsi="Calibri" w:cs="Arial"/>
                <w:b/>
                <w:bCs/>
                <w:sz w:val="18"/>
                <w:szCs w:val="18"/>
              </w:rPr>
              <w:t>18</w:t>
            </w:r>
          </w:p>
        </w:tc>
        <w:tc>
          <w:tcPr>
            <w:tcW w:w="2152" w:type="dxa"/>
            <w:tcBorders>
              <w:top w:val="single" w:sz="4" w:space="0" w:color="auto"/>
              <w:left w:val="nil"/>
              <w:bottom w:val="double" w:sz="6" w:space="0" w:color="auto"/>
              <w:right w:val="nil"/>
            </w:tcBorders>
            <w:shd w:val="clear" w:color="auto" w:fill="auto"/>
            <w:noWrap/>
            <w:vAlign w:val="center"/>
            <w:hideMark/>
          </w:tcPr>
          <w:p w14:paraId="12BBB28E" w14:textId="77777777" w:rsidR="00AA2A63" w:rsidRDefault="00AA2A63" w:rsidP="00E13038">
            <w:pPr>
              <w:jc w:val="right"/>
              <w:rPr>
                <w:rFonts w:ascii="Calibri" w:hAnsi="Calibri" w:cs="Arial"/>
                <w:b/>
                <w:bCs/>
                <w:sz w:val="18"/>
                <w:szCs w:val="18"/>
              </w:rPr>
            </w:pPr>
            <w:r>
              <w:rPr>
                <w:rFonts w:ascii="Calibri" w:hAnsi="Calibri" w:cs="Arial"/>
                <w:b/>
                <w:bCs/>
                <w:sz w:val="18"/>
                <w:szCs w:val="18"/>
              </w:rPr>
              <w:t>63</w:t>
            </w:r>
          </w:p>
        </w:tc>
      </w:tr>
      <w:tr w:rsidR="00AA2A63" w14:paraId="162591B5"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196C11BA" w14:textId="77777777" w:rsidR="00AA2A63" w:rsidRDefault="00AA2A63" w:rsidP="00E13038">
            <w:pPr>
              <w:jc w:val="right"/>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noWrap/>
            <w:vAlign w:val="center"/>
            <w:hideMark/>
          </w:tcPr>
          <w:p w14:paraId="61F0C331" w14:textId="77777777" w:rsidR="00AA2A63" w:rsidRDefault="00AA2A63" w:rsidP="00E13038">
            <w:pPr>
              <w:rPr>
                <w:rFonts w:ascii="Calibri" w:hAnsi="Calibri" w:cs="Arial"/>
                <w:sz w:val="18"/>
                <w:szCs w:val="18"/>
              </w:rPr>
            </w:pPr>
            <w:r>
              <w:rPr>
                <w:rFonts w:ascii="Calibri" w:hAnsi="Calibri" w:cs="Arial"/>
                <w:sz w:val="18"/>
                <w:szCs w:val="18"/>
              </w:rPr>
              <w:t> </w:t>
            </w:r>
          </w:p>
        </w:tc>
        <w:tc>
          <w:tcPr>
            <w:tcW w:w="2152" w:type="dxa"/>
            <w:tcBorders>
              <w:top w:val="nil"/>
              <w:left w:val="nil"/>
              <w:bottom w:val="nil"/>
              <w:right w:val="nil"/>
            </w:tcBorders>
            <w:shd w:val="clear" w:color="auto" w:fill="auto"/>
            <w:noWrap/>
            <w:vAlign w:val="center"/>
            <w:hideMark/>
          </w:tcPr>
          <w:p w14:paraId="6C7D1899" w14:textId="77777777" w:rsidR="00AA2A63" w:rsidRDefault="00AA2A63" w:rsidP="00E13038">
            <w:pPr>
              <w:rPr>
                <w:rFonts w:ascii="Calibri" w:hAnsi="Calibri" w:cs="Arial"/>
                <w:sz w:val="18"/>
                <w:szCs w:val="18"/>
              </w:rPr>
            </w:pPr>
          </w:p>
        </w:tc>
      </w:tr>
      <w:tr w:rsidR="00AA2A63" w14:paraId="634F601B"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3A53846D" w14:textId="77777777" w:rsidR="00AA2A63" w:rsidRDefault="00AA2A63" w:rsidP="00E13038">
            <w:pPr>
              <w:jc w:val="right"/>
              <w:rPr>
                <w:sz w:val="20"/>
                <w:szCs w:val="20"/>
              </w:rPr>
            </w:pPr>
          </w:p>
        </w:tc>
        <w:tc>
          <w:tcPr>
            <w:tcW w:w="2132" w:type="dxa"/>
            <w:tcBorders>
              <w:top w:val="nil"/>
              <w:left w:val="nil"/>
              <w:bottom w:val="nil"/>
              <w:right w:val="nil"/>
            </w:tcBorders>
            <w:shd w:val="clear" w:color="000000" w:fill="D9D9D9" w:themeFill="background1" w:themeFillShade="D9"/>
            <w:noWrap/>
            <w:vAlign w:val="center"/>
            <w:hideMark/>
          </w:tcPr>
          <w:p w14:paraId="310C21DD" w14:textId="77777777" w:rsidR="00AA2A63" w:rsidRDefault="00AA2A63" w:rsidP="00E13038">
            <w:pPr>
              <w:rPr>
                <w:rFonts w:ascii="Calibri" w:hAnsi="Calibri" w:cs="Arial"/>
                <w:sz w:val="18"/>
                <w:szCs w:val="18"/>
              </w:rPr>
            </w:pPr>
            <w:r>
              <w:rPr>
                <w:rFonts w:ascii="Calibri" w:hAnsi="Calibri" w:cs="Arial"/>
                <w:sz w:val="18"/>
                <w:szCs w:val="18"/>
              </w:rPr>
              <w:t> </w:t>
            </w:r>
          </w:p>
        </w:tc>
        <w:tc>
          <w:tcPr>
            <w:tcW w:w="2152" w:type="dxa"/>
            <w:tcBorders>
              <w:top w:val="nil"/>
              <w:left w:val="nil"/>
              <w:bottom w:val="nil"/>
              <w:right w:val="nil"/>
            </w:tcBorders>
            <w:shd w:val="clear" w:color="auto" w:fill="auto"/>
            <w:noWrap/>
            <w:vAlign w:val="center"/>
            <w:hideMark/>
          </w:tcPr>
          <w:p w14:paraId="397BF413" w14:textId="77777777" w:rsidR="00AA2A63" w:rsidRDefault="00AA2A63" w:rsidP="00E13038">
            <w:pPr>
              <w:rPr>
                <w:rFonts w:ascii="Calibri" w:hAnsi="Calibri" w:cs="Arial"/>
                <w:sz w:val="18"/>
                <w:szCs w:val="18"/>
              </w:rPr>
            </w:pPr>
          </w:p>
        </w:tc>
      </w:tr>
      <w:tr w:rsidR="00AA2A63" w14:paraId="62CF5237"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7726D887" w14:textId="77777777" w:rsidR="000A3917" w:rsidRDefault="000A3917" w:rsidP="00E13038">
            <w:pPr>
              <w:rPr>
                <w:rFonts w:ascii="Calibri" w:hAnsi="Calibri" w:cs="Arial"/>
                <w:sz w:val="18"/>
                <w:szCs w:val="18"/>
              </w:rPr>
            </w:pPr>
          </w:p>
          <w:p w14:paraId="284DA263" w14:textId="77777777" w:rsidR="000A3917" w:rsidRDefault="000A3917" w:rsidP="00E13038">
            <w:pPr>
              <w:rPr>
                <w:rFonts w:ascii="Calibri" w:hAnsi="Calibri" w:cs="Arial"/>
                <w:sz w:val="18"/>
                <w:szCs w:val="18"/>
              </w:rPr>
            </w:pPr>
          </w:p>
          <w:p w14:paraId="455B86CF" w14:textId="77777777" w:rsidR="00AA2A63" w:rsidRDefault="00AA2A63" w:rsidP="00E13038">
            <w:pPr>
              <w:rPr>
                <w:rFonts w:ascii="Calibri" w:hAnsi="Calibri" w:cs="Arial"/>
                <w:sz w:val="18"/>
                <w:szCs w:val="18"/>
              </w:rPr>
            </w:pPr>
            <w:r>
              <w:rPr>
                <w:rFonts w:ascii="Calibri" w:hAnsi="Calibri" w:cs="Arial"/>
                <w:sz w:val="18"/>
                <w:szCs w:val="18"/>
              </w:rPr>
              <w:t>Razem przychody</w:t>
            </w:r>
          </w:p>
        </w:tc>
        <w:tc>
          <w:tcPr>
            <w:tcW w:w="2132" w:type="dxa"/>
            <w:tcBorders>
              <w:top w:val="nil"/>
              <w:left w:val="nil"/>
              <w:bottom w:val="nil"/>
              <w:right w:val="nil"/>
            </w:tcBorders>
            <w:shd w:val="clear" w:color="000000" w:fill="D9D9D9" w:themeFill="background1" w:themeFillShade="D9"/>
            <w:noWrap/>
            <w:vAlign w:val="center"/>
            <w:hideMark/>
          </w:tcPr>
          <w:p w14:paraId="634F7AAE" w14:textId="77777777" w:rsidR="000A3917" w:rsidRDefault="000A3917" w:rsidP="00E13038">
            <w:pPr>
              <w:jc w:val="right"/>
              <w:rPr>
                <w:rFonts w:ascii="Calibri" w:hAnsi="Calibri" w:cs="Arial"/>
                <w:sz w:val="18"/>
                <w:szCs w:val="18"/>
              </w:rPr>
            </w:pPr>
          </w:p>
          <w:p w14:paraId="7B2249FC" w14:textId="77777777" w:rsidR="000A3917" w:rsidRDefault="000A3917" w:rsidP="00E13038">
            <w:pPr>
              <w:jc w:val="right"/>
              <w:rPr>
                <w:rFonts w:ascii="Calibri" w:hAnsi="Calibri" w:cs="Arial"/>
                <w:sz w:val="18"/>
                <w:szCs w:val="18"/>
              </w:rPr>
            </w:pPr>
          </w:p>
          <w:p w14:paraId="6D7D5483" w14:textId="77777777" w:rsidR="00AA2A63" w:rsidRDefault="00AA2A63" w:rsidP="00E13038">
            <w:pPr>
              <w:jc w:val="right"/>
              <w:rPr>
                <w:rFonts w:ascii="Calibri" w:hAnsi="Calibri" w:cs="Arial"/>
                <w:sz w:val="18"/>
                <w:szCs w:val="18"/>
              </w:rPr>
            </w:pPr>
            <w:r>
              <w:rPr>
                <w:rFonts w:ascii="Calibri" w:hAnsi="Calibri" w:cs="Arial"/>
                <w:sz w:val="18"/>
                <w:szCs w:val="18"/>
              </w:rPr>
              <w:t>2</w:t>
            </w:r>
            <w:r w:rsidR="000A3917">
              <w:rPr>
                <w:rFonts w:ascii="Calibri" w:hAnsi="Calibri" w:cs="Arial"/>
                <w:sz w:val="18"/>
                <w:szCs w:val="18"/>
              </w:rPr>
              <w:t> </w:t>
            </w:r>
            <w:r>
              <w:rPr>
                <w:rFonts w:ascii="Calibri" w:hAnsi="Calibri" w:cs="Arial"/>
                <w:sz w:val="18"/>
                <w:szCs w:val="18"/>
              </w:rPr>
              <w:t>354</w:t>
            </w:r>
          </w:p>
        </w:tc>
        <w:tc>
          <w:tcPr>
            <w:tcW w:w="2152" w:type="dxa"/>
            <w:tcBorders>
              <w:top w:val="nil"/>
              <w:left w:val="nil"/>
              <w:bottom w:val="nil"/>
              <w:right w:val="nil"/>
            </w:tcBorders>
            <w:shd w:val="clear" w:color="auto" w:fill="auto"/>
            <w:noWrap/>
            <w:vAlign w:val="center"/>
            <w:hideMark/>
          </w:tcPr>
          <w:p w14:paraId="7C200B1D" w14:textId="77777777" w:rsidR="000A3917" w:rsidRDefault="000A3917" w:rsidP="00E13038">
            <w:pPr>
              <w:jc w:val="right"/>
              <w:rPr>
                <w:rFonts w:ascii="Calibri" w:hAnsi="Calibri" w:cs="Arial"/>
                <w:sz w:val="18"/>
                <w:szCs w:val="18"/>
              </w:rPr>
            </w:pPr>
          </w:p>
          <w:p w14:paraId="74575C88" w14:textId="77777777" w:rsidR="000A3917" w:rsidRDefault="000A3917" w:rsidP="00E13038">
            <w:pPr>
              <w:jc w:val="right"/>
              <w:rPr>
                <w:rFonts w:ascii="Calibri" w:hAnsi="Calibri" w:cs="Arial"/>
                <w:sz w:val="18"/>
                <w:szCs w:val="18"/>
              </w:rPr>
            </w:pPr>
          </w:p>
          <w:p w14:paraId="5685B721" w14:textId="77777777" w:rsidR="00AA2A63" w:rsidRDefault="00AA2A63" w:rsidP="00E13038">
            <w:pPr>
              <w:jc w:val="right"/>
              <w:rPr>
                <w:rFonts w:ascii="Calibri" w:hAnsi="Calibri" w:cs="Arial"/>
                <w:sz w:val="18"/>
                <w:szCs w:val="18"/>
              </w:rPr>
            </w:pPr>
            <w:r>
              <w:rPr>
                <w:rFonts w:ascii="Calibri" w:hAnsi="Calibri" w:cs="Arial"/>
                <w:sz w:val="18"/>
                <w:szCs w:val="18"/>
              </w:rPr>
              <w:t>2 008</w:t>
            </w:r>
          </w:p>
        </w:tc>
      </w:tr>
      <w:tr w:rsidR="00AA2A63" w14:paraId="450C4DDD"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4691F108" w14:textId="77777777" w:rsidR="00AA2A63" w:rsidRDefault="00AA2A63" w:rsidP="00E13038">
            <w:pPr>
              <w:rPr>
                <w:rFonts w:ascii="Calibri" w:hAnsi="Calibri" w:cs="Arial"/>
                <w:sz w:val="18"/>
                <w:szCs w:val="18"/>
              </w:rPr>
            </w:pPr>
            <w:r>
              <w:rPr>
                <w:rFonts w:ascii="Calibri" w:hAnsi="Calibri" w:cs="Arial"/>
                <w:sz w:val="18"/>
                <w:szCs w:val="18"/>
              </w:rPr>
              <w:t>Razem koszty</w:t>
            </w:r>
          </w:p>
        </w:tc>
        <w:tc>
          <w:tcPr>
            <w:tcW w:w="2132" w:type="dxa"/>
            <w:tcBorders>
              <w:top w:val="nil"/>
              <w:left w:val="nil"/>
              <w:bottom w:val="nil"/>
              <w:right w:val="nil"/>
            </w:tcBorders>
            <w:shd w:val="clear" w:color="000000" w:fill="D9D9D9" w:themeFill="background1" w:themeFillShade="D9"/>
            <w:noWrap/>
            <w:vAlign w:val="center"/>
            <w:hideMark/>
          </w:tcPr>
          <w:p w14:paraId="67D88CB5" w14:textId="77777777" w:rsidR="00AA2A63" w:rsidRDefault="00AA2A63" w:rsidP="00E13038">
            <w:pPr>
              <w:jc w:val="right"/>
              <w:rPr>
                <w:rFonts w:ascii="Calibri" w:hAnsi="Calibri" w:cs="Arial"/>
                <w:sz w:val="18"/>
                <w:szCs w:val="18"/>
              </w:rPr>
            </w:pPr>
            <w:r>
              <w:rPr>
                <w:rFonts w:ascii="Calibri" w:hAnsi="Calibri" w:cs="Arial"/>
                <w:sz w:val="18"/>
                <w:szCs w:val="18"/>
              </w:rPr>
              <w:t>1 874</w:t>
            </w:r>
          </w:p>
        </w:tc>
        <w:tc>
          <w:tcPr>
            <w:tcW w:w="2152" w:type="dxa"/>
            <w:tcBorders>
              <w:top w:val="nil"/>
              <w:left w:val="nil"/>
              <w:bottom w:val="nil"/>
              <w:right w:val="nil"/>
            </w:tcBorders>
            <w:shd w:val="clear" w:color="auto" w:fill="auto"/>
            <w:noWrap/>
            <w:vAlign w:val="center"/>
            <w:hideMark/>
          </w:tcPr>
          <w:p w14:paraId="799ADC8F" w14:textId="77777777" w:rsidR="00AA2A63" w:rsidRDefault="00AA2A63" w:rsidP="00E13038">
            <w:pPr>
              <w:jc w:val="right"/>
              <w:rPr>
                <w:rFonts w:ascii="Calibri" w:hAnsi="Calibri" w:cs="Arial"/>
                <w:sz w:val="18"/>
                <w:szCs w:val="18"/>
              </w:rPr>
            </w:pPr>
            <w:r>
              <w:rPr>
                <w:rFonts w:ascii="Calibri" w:hAnsi="Calibri" w:cs="Arial"/>
                <w:sz w:val="18"/>
                <w:szCs w:val="18"/>
              </w:rPr>
              <w:t>1 520</w:t>
            </w:r>
          </w:p>
        </w:tc>
      </w:tr>
      <w:tr w:rsidR="00AA2A63" w14:paraId="3C51F13A"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0413F121" w14:textId="77777777" w:rsidR="00AA2A63" w:rsidRDefault="00AA2A63" w:rsidP="00E13038">
            <w:pPr>
              <w:rPr>
                <w:rFonts w:ascii="Calibri" w:hAnsi="Calibri" w:cs="Arial"/>
                <w:b/>
                <w:bCs/>
                <w:sz w:val="18"/>
                <w:szCs w:val="18"/>
              </w:rPr>
            </w:pPr>
            <w:r>
              <w:rPr>
                <w:rFonts w:ascii="Calibri" w:hAnsi="Calibri" w:cs="Arial"/>
                <w:b/>
                <w:bCs/>
                <w:sz w:val="18"/>
                <w:szCs w:val="18"/>
              </w:rPr>
              <w:t>Razem wynik na sprzedaży</w:t>
            </w:r>
          </w:p>
        </w:tc>
        <w:tc>
          <w:tcPr>
            <w:tcW w:w="213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C162A4D" w14:textId="77777777" w:rsidR="00AA2A63" w:rsidRDefault="00AA2A63" w:rsidP="00E13038">
            <w:pPr>
              <w:jc w:val="right"/>
              <w:rPr>
                <w:rFonts w:ascii="Calibri" w:hAnsi="Calibri" w:cs="Arial"/>
                <w:b/>
                <w:bCs/>
                <w:sz w:val="18"/>
                <w:szCs w:val="18"/>
              </w:rPr>
            </w:pPr>
            <w:r>
              <w:rPr>
                <w:rFonts w:ascii="Calibri" w:hAnsi="Calibri" w:cs="Arial"/>
                <w:b/>
                <w:bCs/>
                <w:sz w:val="18"/>
                <w:szCs w:val="18"/>
              </w:rPr>
              <w:t>480</w:t>
            </w:r>
          </w:p>
        </w:tc>
        <w:tc>
          <w:tcPr>
            <w:tcW w:w="2152" w:type="dxa"/>
            <w:tcBorders>
              <w:top w:val="single" w:sz="4" w:space="0" w:color="auto"/>
              <w:left w:val="nil"/>
              <w:bottom w:val="double" w:sz="6" w:space="0" w:color="auto"/>
              <w:right w:val="nil"/>
            </w:tcBorders>
            <w:shd w:val="clear" w:color="auto" w:fill="auto"/>
            <w:noWrap/>
            <w:vAlign w:val="center"/>
            <w:hideMark/>
          </w:tcPr>
          <w:p w14:paraId="49617F00" w14:textId="77777777" w:rsidR="00AA2A63" w:rsidRDefault="00AA2A63" w:rsidP="00E13038">
            <w:pPr>
              <w:jc w:val="right"/>
              <w:rPr>
                <w:rFonts w:ascii="Calibri" w:hAnsi="Calibri" w:cs="Arial"/>
                <w:b/>
                <w:bCs/>
                <w:sz w:val="18"/>
                <w:szCs w:val="18"/>
              </w:rPr>
            </w:pPr>
            <w:r>
              <w:rPr>
                <w:rFonts w:ascii="Calibri" w:hAnsi="Calibri" w:cs="Arial"/>
                <w:b/>
                <w:bCs/>
                <w:sz w:val="18"/>
                <w:szCs w:val="18"/>
              </w:rPr>
              <w:t>488</w:t>
            </w:r>
          </w:p>
        </w:tc>
      </w:tr>
      <w:tr w:rsidR="00AA2A63" w14:paraId="06FBD509" w14:textId="77777777" w:rsidTr="00AA2A63">
        <w:trPr>
          <w:trHeight w:val="252"/>
          <w:jc w:val="center"/>
        </w:trPr>
        <w:tc>
          <w:tcPr>
            <w:tcW w:w="5387" w:type="dxa"/>
            <w:tcBorders>
              <w:top w:val="nil"/>
              <w:left w:val="nil"/>
              <w:bottom w:val="nil"/>
              <w:right w:val="nil"/>
            </w:tcBorders>
            <w:shd w:val="clear" w:color="auto" w:fill="auto"/>
            <w:noWrap/>
            <w:vAlign w:val="center"/>
            <w:hideMark/>
          </w:tcPr>
          <w:p w14:paraId="2EA009D3" w14:textId="77777777" w:rsidR="00AA2A63" w:rsidRDefault="00AA2A63" w:rsidP="00E13038">
            <w:pPr>
              <w:jc w:val="right"/>
              <w:rPr>
                <w:rFonts w:ascii="Calibri" w:hAnsi="Calibri" w:cs="Arial"/>
                <w:b/>
                <w:bCs/>
                <w:sz w:val="18"/>
                <w:szCs w:val="18"/>
              </w:rPr>
            </w:pPr>
          </w:p>
        </w:tc>
        <w:tc>
          <w:tcPr>
            <w:tcW w:w="2132" w:type="dxa"/>
            <w:tcBorders>
              <w:top w:val="nil"/>
              <w:left w:val="nil"/>
              <w:bottom w:val="nil"/>
              <w:right w:val="nil"/>
            </w:tcBorders>
            <w:shd w:val="clear" w:color="000000" w:fill="D9D9D9" w:themeFill="background1" w:themeFillShade="D9"/>
            <w:noWrap/>
            <w:vAlign w:val="center"/>
            <w:hideMark/>
          </w:tcPr>
          <w:p w14:paraId="4CA5AFA1" w14:textId="77777777" w:rsidR="00AA2A63" w:rsidRDefault="00AA2A63" w:rsidP="00E13038">
            <w:pPr>
              <w:rPr>
                <w:rFonts w:ascii="Calibri" w:hAnsi="Calibri" w:cs="Arial"/>
                <w:b/>
                <w:bCs/>
                <w:sz w:val="18"/>
                <w:szCs w:val="18"/>
              </w:rPr>
            </w:pPr>
            <w:r>
              <w:rPr>
                <w:rFonts w:ascii="Calibri" w:hAnsi="Calibri" w:cs="Arial"/>
                <w:b/>
                <w:bCs/>
                <w:sz w:val="18"/>
                <w:szCs w:val="18"/>
              </w:rPr>
              <w:t> </w:t>
            </w:r>
          </w:p>
        </w:tc>
        <w:tc>
          <w:tcPr>
            <w:tcW w:w="2152" w:type="dxa"/>
            <w:tcBorders>
              <w:top w:val="nil"/>
              <w:left w:val="nil"/>
              <w:bottom w:val="nil"/>
              <w:right w:val="nil"/>
            </w:tcBorders>
            <w:shd w:val="clear" w:color="auto" w:fill="auto"/>
            <w:noWrap/>
            <w:vAlign w:val="center"/>
            <w:hideMark/>
          </w:tcPr>
          <w:p w14:paraId="0B4F9460" w14:textId="77777777" w:rsidR="00AA2A63" w:rsidRDefault="00AA2A63" w:rsidP="00E13038">
            <w:pPr>
              <w:rPr>
                <w:rFonts w:ascii="Calibri" w:hAnsi="Calibri" w:cs="Arial"/>
                <w:b/>
                <w:bCs/>
                <w:sz w:val="18"/>
                <w:szCs w:val="18"/>
              </w:rPr>
            </w:pPr>
          </w:p>
        </w:tc>
      </w:tr>
      <w:tr w:rsidR="00AA2A63" w14:paraId="3A700CFA"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0628698E" w14:textId="77777777" w:rsidR="00AA2A63" w:rsidRDefault="00AA2A63" w:rsidP="00E13038">
            <w:pPr>
              <w:rPr>
                <w:rFonts w:ascii="Calibri" w:hAnsi="Calibri" w:cs="Arial"/>
                <w:sz w:val="18"/>
                <w:szCs w:val="18"/>
              </w:rPr>
            </w:pPr>
            <w:r>
              <w:rPr>
                <w:rFonts w:ascii="Calibri" w:hAnsi="Calibri" w:cs="Arial"/>
                <w:sz w:val="18"/>
                <w:szCs w:val="18"/>
              </w:rPr>
              <w:t>Koszty ogólne segmentów</w:t>
            </w:r>
          </w:p>
        </w:tc>
        <w:tc>
          <w:tcPr>
            <w:tcW w:w="2132" w:type="dxa"/>
            <w:tcBorders>
              <w:top w:val="nil"/>
              <w:left w:val="nil"/>
              <w:bottom w:val="nil"/>
              <w:right w:val="nil"/>
            </w:tcBorders>
            <w:shd w:val="clear" w:color="000000" w:fill="D9D9D9" w:themeFill="background1" w:themeFillShade="D9"/>
            <w:noWrap/>
            <w:vAlign w:val="center"/>
            <w:hideMark/>
          </w:tcPr>
          <w:p w14:paraId="5766114D" w14:textId="77777777" w:rsidR="00AA2A63" w:rsidRDefault="00AA2A63" w:rsidP="00E13038">
            <w:pPr>
              <w:jc w:val="right"/>
              <w:rPr>
                <w:rFonts w:ascii="Calibri" w:hAnsi="Calibri" w:cs="Arial"/>
                <w:sz w:val="18"/>
                <w:szCs w:val="18"/>
              </w:rPr>
            </w:pPr>
            <w:r>
              <w:rPr>
                <w:rFonts w:ascii="Calibri" w:hAnsi="Calibri" w:cs="Arial"/>
                <w:sz w:val="18"/>
                <w:szCs w:val="18"/>
              </w:rPr>
              <w:t>307</w:t>
            </w:r>
          </w:p>
        </w:tc>
        <w:tc>
          <w:tcPr>
            <w:tcW w:w="2152" w:type="dxa"/>
            <w:tcBorders>
              <w:top w:val="nil"/>
              <w:left w:val="nil"/>
              <w:bottom w:val="nil"/>
              <w:right w:val="nil"/>
            </w:tcBorders>
            <w:shd w:val="clear" w:color="auto" w:fill="auto"/>
            <w:noWrap/>
            <w:vAlign w:val="center"/>
            <w:hideMark/>
          </w:tcPr>
          <w:p w14:paraId="01B290F7" w14:textId="77777777" w:rsidR="00AA2A63" w:rsidRDefault="00AA2A63" w:rsidP="00E13038">
            <w:pPr>
              <w:jc w:val="right"/>
              <w:rPr>
                <w:rFonts w:ascii="Calibri" w:hAnsi="Calibri" w:cs="Arial"/>
                <w:sz w:val="18"/>
                <w:szCs w:val="18"/>
              </w:rPr>
            </w:pPr>
            <w:r>
              <w:rPr>
                <w:rFonts w:ascii="Calibri" w:hAnsi="Calibri" w:cs="Arial"/>
                <w:sz w:val="18"/>
                <w:szCs w:val="18"/>
              </w:rPr>
              <w:t>315</w:t>
            </w:r>
          </w:p>
        </w:tc>
      </w:tr>
      <w:tr w:rsidR="00AA2A63" w14:paraId="1EA527B0"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77AEA3F8" w14:textId="77777777" w:rsidR="00AA2A63" w:rsidRDefault="00AA2A63" w:rsidP="00E13038">
            <w:pPr>
              <w:rPr>
                <w:rFonts w:ascii="Calibri" w:hAnsi="Calibri" w:cs="Arial"/>
                <w:sz w:val="18"/>
                <w:szCs w:val="18"/>
              </w:rPr>
            </w:pPr>
            <w:r>
              <w:rPr>
                <w:rFonts w:ascii="Calibri" w:hAnsi="Calibri" w:cs="Arial"/>
                <w:sz w:val="18"/>
                <w:szCs w:val="18"/>
              </w:rPr>
              <w:t>Pozostałe przychody operacyjne</w:t>
            </w:r>
          </w:p>
        </w:tc>
        <w:tc>
          <w:tcPr>
            <w:tcW w:w="2132" w:type="dxa"/>
            <w:tcBorders>
              <w:top w:val="nil"/>
              <w:left w:val="nil"/>
              <w:bottom w:val="nil"/>
              <w:right w:val="nil"/>
            </w:tcBorders>
            <w:shd w:val="clear" w:color="000000" w:fill="D9D9D9" w:themeFill="background1" w:themeFillShade="D9"/>
            <w:noWrap/>
            <w:vAlign w:val="center"/>
            <w:hideMark/>
          </w:tcPr>
          <w:p w14:paraId="01D54713" w14:textId="77777777" w:rsidR="00AA2A63" w:rsidRDefault="00AA2A63" w:rsidP="00E13038">
            <w:pPr>
              <w:jc w:val="right"/>
              <w:rPr>
                <w:rFonts w:ascii="Calibri" w:hAnsi="Calibri" w:cs="Arial"/>
                <w:sz w:val="18"/>
                <w:szCs w:val="18"/>
              </w:rPr>
            </w:pPr>
            <w:r>
              <w:rPr>
                <w:rFonts w:ascii="Calibri" w:hAnsi="Calibri" w:cs="Arial"/>
                <w:sz w:val="18"/>
                <w:szCs w:val="18"/>
              </w:rPr>
              <w:t>42</w:t>
            </w:r>
          </w:p>
        </w:tc>
        <w:tc>
          <w:tcPr>
            <w:tcW w:w="2152" w:type="dxa"/>
            <w:tcBorders>
              <w:top w:val="nil"/>
              <w:left w:val="nil"/>
              <w:bottom w:val="nil"/>
              <w:right w:val="nil"/>
            </w:tcBorders>
            <w:shd w:val="clear" w:color="auto" w:fill="auto"/>
            <w:noWrap/>
            <w:vAlign w:val="center"/>
            <w:hideMark/>
          </w:tcPr>
          <w:p w14:paraId="6E145F9E" w14:textId="77777777" w:rsidR="00AA2A63" w:rsidRDefault="00AA2A63" w:rsidP="00E13038">
            <w:pPr>
              <w:jc w:val="right"/>
              <w:rPr>
                <w:rFonts w:ascii="Calibri" w:hAnsi="Calibri" w:cs="Arial"/>
                <w:sz w:val="18"/>
                <w:szCs w:val="18"/>
              </w:rPr>
            </w:pPr>
            <w:r>
              <w:rPr>
                <w:rFonts w:ascii="Calibri" w:hAnsi="Calibri" w:cs="Arial"/>
                <w:sz w:val="18"/>
                <w:szCs w:val="18"/>
              </w:rPr>
              <w:t>26</w:t>
            </w:r>
          </w:p>
        </w:tc>
      </w:tr>
      <w:tr w:rsidR="00AA2A63" w14:paraId="4F0B53F7"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40F05C16" w14:textId="77777777" w:rsidR="00AA2A63" w:rsidRDefault="00AA2A63" w:rsidP="00E13038">
            <w:pPr>
              <w:rPr>
                <w:rFonts w:ascii="Calibri" w:hAnsi="Calibri" w:cs="Arial"/>
                <w:sz w:val="18"/>
                <w:szCs w:val="18"/>
              </w:rPr>
            </w:pPr>
            <w:r>
              <w:rPr>
                <w:rFonts w:ascii="Calibri" w:hAnsi="Calibri" w:cs="Arial"/>
                <w:sz w:val="18"/>
                <w:szCs w:val="18"/>
              </w:rPr>
              <w:t>Pozostałe koszty operacyjne</w:t>
            </w:r>
          </w:p>
        </w:tc>
        <w:tc>
          <w:tcPr>
            <w:tcW w:w="2132" w:type="dxa"/>
            <w:tcBorders>
              <w:top w:val="nil"/>
              <w:left w:val="nil"/>
              <w:bottom w:val="nil"/>
              <w:right w:val="nil"/>
            </w:tcBorders>
            <w:shd w:val="clear" w:color="000000" w:fill="D9D9D9" w:themeFill="background1" w:themeFillShade="D9"/>
            <w:noWrap/>
            <w:vAlign w:val="center"/>
            <w:hideMark/>
          </w:tcPr>
          <w:p w14:paraId="600986F7" w14:textId="77777777" w:rsidR="00AA2A63" w:rsidRDefault="00AA2A63" w:rsidP="00E13038">
            <w:pPr>
              <w:jc w:val="right"/>
              <w:rPr>
                <w:rFonts w:ascii="Calibri" w:hAnsi="Calibri" w:cs="Arial"/>
                <w:sz w:val="18"/>
                <w:szCs w:val="18"/>
              </w:rPr>
            </w:pPr>
            <w:r>
              <w:rPr>
                <w:rFonts w:ascii="Calibri" w:hAnsi="Calibri" w:cs="Arial"/>
                <w:sz w:val="18"/>
                <w:szCs w:val="18"/>
              </w:rPr>
              <w:t>24</w:t>
            </w:r>
          </w:p>
        </w:tc>
        <w:tc>
          <w:tcPr>
            <w:tcW w:w="2152" w:type="dxa"/>
            <w:tcBorders>
              <w:top w:val="nil"/>
              <w:left w:val="nil"/>
              <w:bottom w:val="nil"/>
              <w:right w:val="nil"/>
            </w:tcBorders>
            <w:shd w:val="clear" w:color="auto" w:fill="auto"/>
            <w:noWrap/>
            <w:vAlign w:val="center"/>
            <w:hideMark/>
          </w:tcPr>
          <w:p w14:paraId="688B9CCD" w14:textId="77777777" w:rsidR="00AA2A63" w:rsidRDefault="00AA2A63" w:rsidP="00E13038">
            <w:pPr>
              <w:jc w:val="right"/>
              <w:rPr>
                <w:rFonts w:ascii="Calibri" w:hAnsi="Calibri" w:cs="Arial"/>
                <w:sz w:val="18"/>
                <w:szCs w:val="18"/>
              </w:rPr>
            </w:pPr>
            <w:r>
              <w:rPr>
                <w:rFonts w:ascii="Calibri" w:hAnsi="Calibri" w:cs="Arial"/>
                <w:sz w:val="18"/>
                <w:szCs w:val="18"/>
              </w:rPr>
              <w:t>78</w:t>
            </w:r>
          </w:p>
        </w:tc>
      </w:tr>
      <w:tr w:rsidR="00AA2A63" w14:paraId="1C278B1E" w14:textId="77777777" w:rsidTr="00AA2A63">
        <w:trPr>
          <w:trHeight w:val="240"/>
          <w:jc w:val="center"/>
        </w:trPr>
        <w:tc>
          <w:tcPr>
            <w:tcW w:w="5387" w:type="dxa"/>
            <w:tcBorders>
              <w:top w:val="nil"/>
              <w:left w:val="nil"/>
              <w:bottom w:val="nil"/>
              <w:right w:val="nil"/>
            </w:tcBorders>
            <w:shd w:val="clear" w:color="auto" w:fill="auto"/>
            <w:noWrap/>
            <w:vAlign w:val="center"/>
            <w:hideMark/>
          </w:tcPr>
          <w:p w14:paraId="00A10F5D" w14:textId="77777777" w:rsidR="00AA2A63" w:rsidRDefault="00AA2A63" w:rsidP="00E13038">
            <w:pPr>
              <w:rPr>
                <w:rFonts w:ascii="Calibri" w:hAnsi="Calibri" w:cs="Arial"/>
                <w:sz w:val="18"/>
                <w:szCs w:val="18"/>
              </w:rPr>
            </w:pPr>
            <w:r>
              <w:rPr>
                <w:rFonts w:ascii="Calibri" w:hAnsi="Calibri" w:cs="Arial"/>
                <w:sz w:val="18"/>
                <w:szCs w:val="18"/>
              </w:rPr>
              <w:t>Wynik na działalności finansowej</w:t>
            </w:r>
          </w:p>
        </w:tc>
        <w:tc>
          <w:tcPr>
            <w:tcW w:w="2132" w:type="dxa"/>
            <w:tcBorders>
              <w:top w:val="nil"/>
              <w:left w:val="nil"/>
              <w:bottom w:val="nil"/>
              <w:right w:val="nil"/>
            </w:tcBorders>
            <w:shd w:val="clear" w:color="000000" w:fill="D9D9D9" w:themeFill="background1" w:themeFillShade="D9"/>
            <w:noWrap/>
            <w:vAlign w:val="center"/>
            <w:hideMark/>
          </w:tcPr>
          <w:p w14:paraId="3DD71417" w14:textId="77777777" w:rsidR="00AA2A63" w:rsidRDefault="00AA2A63" w:rsidP="00E13038">
            <w:pPr>
              <w:jc w:val="right"/>
              <w:rPr>
                <w:rFonts w:ascii="Calibri" w:hAnsi="Calibri" w:cs="Arial"/>
                <w:sz w:val="18"/>
                <w:szCs w:val="18"/>
              </w:rPr>
            </w:pPr>
            <w:r>
              <w:rPr>
                <w:rFonts w:ascii="Calibri" w:hAnsi="Calibri" w:cs="Arial"/>
                <w:sz w:val="18"/>
                <w:szCs w:val="18"/>
              </w:rPr>
              <w:t>-73</w:t>
            </w:r>
          </w:p>
        </w:tc>
        <w:tc>
          <w:tcPr>
            <w:tcW w:w="2152" w:type="dxa"/>
            <w:tcBorders>
              <w:top w:val="nil"/>
              <w:left w:val="nil"/>
              <w:bottom w:val="nil"/>
              <w:right w:val="nil"/>
            </w:tcBorders>
            <w:shd w:val="clear" w:color="auto" w:fill="auto"/>
            <w:noWrap/>
            <w:vAlign w:val="center"/>
            <w:hideMark/>
          </w:tcPr>
          <w:p w14:paraId="7F2A7DC3" w14:textId="77777777" w:rsidR="00AA2A63" w:rsidRDefault="00AA2A63" w:rsidP="00E13038">
            <w:pPr>
              <w:jc w:val="right"/>
              <w:rPr>
                <w:rFonts w:ascii="Calibri" w:hAnsi="Calibri" w:cs="Arial"/>
                <w:sz w:val="18"/>
                <w:szCs w:val="18"/>
              </w:rPr>
            </w:pPr>
            <w:r>
              <w:rPr>
                <w:rFonts w:ascii="Calibri" w:hAnsi="Calibri" w:cs="Arial"/>
                <w:sz w:val="18"/>
                <w:szCs w:val="18"/>
              </w:rPr>
              <w:t>-66</w:t>
            </w:r>
          </w:p>
        </w:tc>
      </w:tr>
      <w:tr w:rsidR="00AA2A63" w14:paraId="74CCE7F7" w14:textId="77777777" w:rsidTr="00AA2A63">
        <w:trPr>
          <w:trHeight w:val="330"/>
          <w:jc w:val="center"/>
        </w:trPr>
        <w:tc>
          <w:tcPr>
            <w:tcW w:w="5387" w:type="dxa"/>
            <w:tcBorders>
              <w:top w:val="nil"/>
              <w:left w:val="nil"/>
              <w:bottom w:val="nil"/>
              <w:right w:val="nil"/>
            </w:tcBorders>
            <w:shd w:val="clear" w:color="auto" w:fill="auto"/>
            <w:noWrap/>
            <w:vAlign w:val="center"/>
            <w:hideMark/>
          </w:tcPr>
          <w:p w14:paraId="3410B951" w14:textId="77777777" w:rsidR="00AA2A63" w:rsidRDefault="00AA2A63" w:rsidP="00E13038">
            <w:pPr>
              <w:rPr>
                <w:rFonts w:ascii="Calibri" w:hAnsi="Calibri" w:cs="Arial"/>
                <w:b/>
                <w:bCs/>
                <w:sz w:val="18"/>
                <w:szCs w:val="18"/>
              </w:rPr>
            </w:pPr>
            <w:r>
              <w:rPr>
                <w:rFonts w:ascii="Calibri" w:hAnsi="Calibri" w:cs="Arial"/>
                <w:b/>
                <w:bCs/>
                <w:sz w:val="18"/>
                <w:szCs w:val="18"/>
              </w:rPr>
              <w:t>Zysk przed opodatkowaniem</w:t>
            </w:r>
          </w:p>
        </w:tc>
        <w:tc>
          <w:tcPr>
            <w:tcW w:w="213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0A233D8" w14:textId="77777777" w:rsidR="00AA2A63" w:rsidRDefault="00AA2A63" w:rsidP="00E13038">
            <w:pPr>
              <w:jc w:val="right"/>
              <w:rPr>
                <w:rFonts w:ascii="Calibri" w:hAnsi="Calibri" w:cs="Arial"/>
                <w:b/>
                <w:bCs/>
                <w:sz w:val="18"/>
                <w:szCs w:val="18"/>
              </w:rPr>
            </w:pPr>
            <w:r>
              <w:rPr>
                <w:rFonts w:ascii="Calibri" w:hAnsi="Calibri" w:cs="Arial"/>
                <w:b/>
                <w:bCs/>
                <w:sz w:val="18"/>
                <w:szCs w:val="18"/>
              </w:rPr>
              <w:t>118</w:t>
            </w:r>
          </w:p>
        </w:tc>
        <w:tc>
          <w:tcPr>
            <w:tcW w:w="2152" w:type="dxa"/>
            <w:tcBorders>
              <w:top w:val="single" w:sz="4" w:space="0" w:color="auto"/>
              <w:left w:val="nil"/>
              <w:bottom w:val="double" w:sz="6" w:space="0" w:color="auto"/>
              <w:right w:val="nil"/>
            </w:tcBorders>
            <w:shd w:val="clear" w:color="auto" w:fill="auto"/>
            <w:noWrap/>
            <w:vAlign w:val="center"/>
            <w:hideMark/>
          </w:tcPr>
          <w:p w14:paraId="69AB89A8" w14:textId="77777777" w:rsidR="00AA2A63" w:rsidRDefault="00AA2A63" w:rsidP="00E13038">
            <w:pPr>
              <w:jc w:val="right"/>
              <w:rPr>
                <w:rFonts w:ascii="Calibri" w:hAnsi="Calibri" w:cs="Arial"/>
                <w:b/>
                <w:bCs/>
                <w:sz w:val="18"/>
                <w:szCs w:val="18"/>
              </w:rPr>
            </w:pPr>
            <w:r>
              <w:rPr>
                <w:rFonts w:ascii="Calibri" w:hAnsi="Calibri" w:cs="Arial"/>
                <w:b/>
                <w:bCs/>
                <w:sz w:val="18"/>
                <w:szCs w:val="18"/>
              </w:rPr>
              <w:t>55</w:t>
            </w:r>
          </w:p>
        </w:tc>
      </w:tr>
      <w:tr w:rsidR="00AA2A63" w14:paraId="3FB496CE" w14:textId="77777777" w:rsidTr="00AA2A63">
        <w:trPr>
          <w:trHeight w:val="315"/>
          <w:jc w:val="center"/>
        </w:trPr>
        <w:tc>
          <w:tcPr>
            <w:tcW w:w="5387" w:type="dxa"/>
            <w:tcBorders>
              <w:top w:val="nil"/>
              <w:left w:val="nil"/>
              <w:bottom w:val="nil"/>
              <w:right w:val="nil"/>
            </w:tcBorders>
            <w:shd w:val="clear" w:color="auto" w:fill="auto"/>
            <w:noWrap/>
            <w:vAlign w:val="center"/>
            <w:hideMark/>
          </w:tcPr>
          <w:p w14:paraId="73EBF6A6" w14:textId="77777777" w:rsidR="00AA2A63" w:rsidRDefault="00AA2A63" w:rsidP="00E13038">
            <w:pPr>
              <w:rPr>
                <w:rFonts w:ascii="Calibri" w:hAnsi="Calibri" w:cs="Arial"/>
                <w:sz w:val="18"/>
                <w:szCs w:val="18"/>
              </w:rPr>
            </w:pPr>
            <w:r>
              <w:rPr>
                <w:rFonts w:ascii="Calibri" w:hAnsi="Calibri" w:cs="Arial"/>
                <w:sz w:val="18"/>
                <w:szCs w:val="18"/>
              </w:rPr>
              <w:t>Podatek dochodowy</w:t>
            </w:r>
          </w:p>
        </w:tc>
        <w:tc>
          <w:tcPr>
            <w:tcW w:w="2132" w:type="dxa"/>
            <w:tcBorders>
              <w:top w:val="nil"/>
              <w:left w:val="nil"/>
              <w:bottom w:val="nil"/>
              <w:right w:val="nil"/>
            </w:tcBorders>
            <w:shd w:val="clear" w:color="000000" w:fill="D9D9D9" w:themeFill="background1" w:themeFillShade="D9"/>
            <w:noWrap/>
            <w:vAlign w:val="center"/>
            <w:hideMark/>
          </w:tcPr>
          <w:p w14:paraId="3E622B53" w14:textId="77777777" w:rsidR="00AA2A63" w:rsidRDefault="00AA2A63" w:rsidP="00E13038">
            <w:pPr>
              <w:jc w:val="right"/>
              <w:rPr>
                <w:rFonts w:ascii="Calibri" w:hAnsi="Calibri" w:cs="Arial"/>
                <w:sz w:val="18"/>
                <w:szCs w:val="18"/>
              </w:rPr>
            </w:pPr>
            <w:r>
              <w:rPr>
                <w:rFonts w:ascii="Calibri" w:hAnsi="Calibri" w:cs="Arial"/>
                <w:sz w:val="18"/>
                <w:szCs w:val="18"/>
              </w:rPr>
              <w:t>76</w:t>
            </w:r>
          </w:p>
        </w:tc>
        <w:tc>
          <w:tcPr>
            <w:tcW w:w="2152" w:type="dxa"/>
            <w:tcBorders>
              <w:top w:val="nil"/>
              <w:left w:val="nil"/>
              <w:bottom w:val="nil"/>
              <w:right w:val="nil"/>
            </w:tcBorders>
            <w:shd w:val="clear" w:color="auto" w:fill="auto"/>
            <w:noWrap/>
            <w:vAlign w:val="center"/>
            <w:hideMark/>
          </w:tcPr>
          <w:p w14:paraId="5724F414" w14:textId="77777777" w:rsidR="00AA2A63" w:rsidRDefault="00AA2A63" w:rsidP="00E13038">
            <w:pPr>
              <w:jc w:val="right"/>
              <w:rPr>
                <w:rFonts w:ascii="Calibri" w:hAnsi="Calibri" w:cs="Arial"/>
                <w:sz w:val="18"/>
                <w:szCs w:val="18"/>
              </w:rPr>
            </w:pPr>
            <w:r>
              <w:rPr>
                <w:rFonts w:ascii="Calibri" w:hAnsi="Calibri" w:cs="Arial"/>
                <w:sz w:val="18"/>
                <w:szCs w:val="18"/>
              </w:rPr>
              <w:t>-13</w:t>
            </w:r>
          </w:p>
        </w:tc>
      </w:tr>
      <w:tr w:rsidR="00AA2A63" w14:paraId="5B64DE4E" w14:textId="77777777" w:rsidTr="00AA2A63">
        <w:trPr>
          <w:trHeight w:val="330"/>
          <w:jc w:val="center"/>
        </w:trPr>
        <w:tc>
          <w:tcPr>
            <w:tcW w:w="5387" w:type="dxa"/>
            <w:tcBorders>
              <w:top w:val="nil"/>
              <w:left w:val="nil"/>
              <w:bottom w:val="nil"/>
              <w:right w:val="nil"/>
            </w:tcBorders>
            <w:shd w:val="clear" w:color="auto" w:fill="auto"/>
            <w:noWrap/>
            <w:vAlign w:val="center"/>
            <w:hideMark/>
          </w:tcPr>
          <w:p w14:paraId="0E0A3A20" w14:textId="77777777" w:rsidR="00AA2A63" w:rsidRDefault="00AA2A63" w:rsidP="00E13038">
            <w:pPr>
              <w:rPr>
                <w:rFonts w:ascii="Calibri" w:hAnsi="Calibri" w:cs="Arial"/>
                <w:b/>
                <w:bCs/>
                <w:sz w:val="18"/>
                <w:szCs w:val="18"/>
              </w:rPr>
            </w:pPr>
            <w:r>
              <w:rPr>
                <w:rFonts w:ascii="Calibri" w:hAnsi="Calibri" w:cs="Arial"/>
                <w:b/>
                <w:bCs/>
                <w:sz w:val="18"/>
                <w:szCs w:val="18"/>
              </w:rPr>
              <w:t>Zysk netto</w:t>
            </w:r>
          </w:p>
        </w:tc>
        <w:tc>
          <w:tcPr>
            <w:tcW w:w="213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39649692" w14:textId="77777777" w:rsidR="00AA2A63" w:rsidRDefault="00AA2A63" w:rsidP="00E13038">
            <w:pPr>
              <w:jc w:val="right"/>
              <w:rPr>
                <w:rFonts w:ascii="Calibri" w:hAnsi="Calibri" w:cs="Arial"/>
                <w:b/>
                <w:bCs/>
                <w:sz w:val="18"/>
                <w:szCs w:val="18"/>
              </w:rPr>
            </w:pPr>
            <w:r>
              <w:rPr>
                <w:rFonts w:ascii="Calibri" w:hAnsi="Calibri" w:cs="Arial"/>
                <w:b/>
                <w:bCs/>
                <w:sz w:val="18"/>
                <w:szCs w:val="18"/>
              </w:rPr>
              <w:t>42</w:t>
            </w:r>
          </w:p>
        </w:tc>
        <w:tc>
          <w:tcPr>
            <w:tcW w:w="2152" w:type="dxa"/>
            <w:tcBorders>
              <w:top w:val="single" w:sz="4" w:space="0" w:color="auto"/>
              <w:left w:val="nil"/>
              <w:bottom w:val="double" w:sz="6" w:space="0" w:color="auto"/>
              <w:right w:val="nil"/>
            </w:tcBorders>
            <w:shd w:val="clear" w:color="auto" w:fill="auto"/>
            <w:noWrap/>
            <w:vAlign w:val="center"/>
            <w:hideMark/>
          </w:tcPr>
          <w:p w14:paraId="62F13AAD" w14:textId="77777777" w:rsidR="00AA2A63" w:rsidRDefault="00AA2A63" w:rsidP="00E13038">
            <w:pPr>
              <w:jc w:val="right"/>
              <w:rPr>
                <w:rFonts w:ascii="Calibri" w:hAnsi="Calibri" w:cs="Arial"/>
                <w:b/>
                <w:bCs/>
                <w:sz w:val="18"/>
                <w:szCs w:val="18"/>
              </w:rPr>
            </w:pPr>
            <w:r>
              <w:rPr>
                <w:rFonts w:ascii="Calibri" w:hAnsi="Calibri" w:cs="Arial"/>
                <w:b/>
                <w:bCs/>
                <w:sz w:val="18"/>
                <w:szCs w:val="18"/>
              </w:rPr>
              <w:t>68</w:t>
            </w:r>
          </w:p>
        </w:tc>
      </w:tr>
    </w:tbl>
    <w:p w14:paraId="47B13FE9" w14:textId="77777777" w:rsidR="00577CDB" w:rsidRPr="00AA2A63" w:rsidRDefault="001702FD" w:rsidP="00D25BE4">
      <w:pPr>
        <w:widowControl w:val="0"/>
        <w:tabs>
          <w:tab w:val="left" w:pos="540"/>
        </w:tabs>
        <w:spacing w:line="360" w:lineRule="auto"/>
        <w:jc w:val="both"/>
        <w:rPr>
          <w:rFonts w:ascii="Calibri" w:hAnsi="Calibri" w:cs="Calibri"/>
          <w:color w:val="FF0000"/>
          <w:sz w:val="28"/>
          <w:szCs w:val="28"/>
        </w:rPr>
      </w:pPr>
      <w:r w:rsidRPr="00360EFC">
        <w:rPr>
          <w:rFonts w:ascii="Calibri" w:hAnsi="Calibri" w:cs="Calibri"/>
          <w:color w:val="FF0000"/>
          <w:sz w:val="22"/>
          <w:szCs w:val="22"/>
        </w:rPr>
        <w:tab/>
      </w:r>
    </w:p>
    <w:p w14:paraId="75EDA4DC" w14:textId="02C38166" w:rsidR="00AA2A63" w:rsidRPr="00AA2A63" w:rsidRDefault="00577CDB" w:rsidP="00AE6517">
      <w:pPr>
        <w:widowControl w:val="0"/>
        <w:spacing w:line="360" w:lineRule="auto"/>
        <w:ind w:firstLine="567"/>
        <w:jc w:val="both"/>
        <w:rPr>
          <w:rFonts w:ascii="Calibri" w:hAnsi="Calibri" w:cs="Calibri"/>
          <w:sz w:val="22"/>
          <w:szCs w:val="22"/>
        </w:rPr>
      </w:pPr>
      <w:r w:rsidRPr="00360EFC">
        <w:rPr>
          <w:rFonts w:ascii="Calibri" w:hAnsi="Calibri" w:cs="Calibri"/>
          <w:color w:val="FF0000"/>
          <w:sz w:val="22"/>
          <w:szCs w:val="22"/>
        </w:rPr>
        <w:tab/>
      </w:r>
      <w:r w:rsidR="00AA2A63" w:rsidRPr="00AA2A63">
        <w:rPr>
          <w:rFonts w:ascii="Calibri" w:hAnsi="Calibri" w:cs="Calibri"/>
          <w:sz w:val="22"/>
          <w:szCs w:val="22"/>
        </w:rPr>
        <w:t>W pierwszym półroczu 2016 roku Spółka MD-</w:t>
      </w:r>
      <w:proofErr w:type="spellStart"/>
      <w:r w:rsidR="00AA2A63" w:rsidRPr="00AA2A63">
        <w:rPr>
          <w:rFonts w:ascii="Calibri" w:hAnsi="Calibri" w:cs="Calibri"/>
          <w:sz w:val="22"/>
          <w:szCs w:val="22"/>
        </w:rPr>
        <w:t>proeco</w:t>
      </w:r>
      <w:proofErr w:type="spellEnd"/>
      <w:r w:rsidR="00AA2A63" w:rsidRPr="00AA2A63">
        <w:rPr>
          <w:rFonts w:ascii="Calibri" w:hAnsi="Calibri" w:cs="Calibri"/>
          <w:sz w:val="22"/>
          <w:szCs w:val="22"/>
        </w:rPr>
        <w:t xml:space="preserve"> uzyskała wzrost przychodów ze sprzedaży o 17% do wysokości 2.354 tys. zł, w porównaniu do 2.008 tys. zł w analogicznym okresie 2015 roku. Spółka za pierwsze sześć miesięcy 2016 roku uzyskała dodatni wynik na sprzedaży w kwocie 480 tys. zł w porównaniu do  kwoty 488 tys. za I półrocze 2015 roku.</w:t>
      </w:r>
      <w:r w:rsidR="00AA2A63" w:rsidRPr="00AA2A63">
        <w:rPr>
          <w:rFonts w:ascii="Calibri" w:hAnsi="Calibri" w:cs="Calibri"/>
          <w:color w:val="7030A0"/>
          <w:sz w:val="22"/>
          <w:szCs w:val="22"/>
        </w:rPr>
        <w:t xml:space="preserve"> </w:t>
      </w:r>
      <w:r w:rsidR="00AA2A63" w:rsidRPr="00AA2A63">
        <w:rPr>
          <w:rFonts w:ascii="Calibri" w:hAnsi="Calibri" w:cs="Calibri"/>
          <w:sz w:val="22"/>
          <w:szCs w:val="22"/>
        </w:rPr>
        <w:t xml:space="preserve">Po sześciu miesiącach 2016 roku koszty działalności operacyjnej Spółki wyniosły 2.181 tys. zł, w tym koszty sprzedanych produktów, towarów i materiałów w kwocie 1.874 tys. zł, zaś koszty zarządu w wysokości 307 tys. zł. Porównując analogiczny okres roku 2015, koszty działalności operacyjnej w bieżącym okresie wzrosły o 19% tj. o 346 tys. zł, w tym koszty sprzedanych produktów, towarów i materiałów wzrosły </w:t>
      </w:r>
      <w:r w:rsidR="001F4E2B">
        <w:rPr>
          <w:rFonts w:ascii="Calibri" w:hAnsi="Calibri" w:cs="Calibri"/>
          <w:sz w:val="22"/>
          <w:szCs w:val="22"/>
        </w:rPr>
        <w:br/>
      </w:r>
      <w:r w:rsidR="00AA2A63" w:rsidRPr="00AA2A63">
        <w:rPr>
          <w:rFonts w:ascii="Calibri" w:hAnsi="Calibri" w:cs="Calibri"/>
          <w:sz w:val="22"/>
          <w:szCs w:val="22"/>
        </w:rPr>
        <w:t>o 23%, zaś koszty zarządu spadły o 3% (kwota spadku 8 tys. zł).</w:t>
      </w:r>
    </w:p>
    <w:p w14:paraId="38DA763F" w14:textId="77777777" w:rsidR="00AA2A63" w:rsidRPr="00AA2A63" w:rsidRDefault="00AA2A63" w:rsidP="00AE6517">
      <w:pPr>
        <w:widowControl w:val="0"/>
        <w:spacing w:line="360" w:lineRule="auto"/>
        <w:ind w:firstLine="567"/>
        <w:jc w:val="both"/>
        <w:rPr>
          <w:rFonts w:ascii="Calibri" w:hAnsi="Calibri" w:cs="Calibri"/>
          <w:sz w:val="22"/>
          <w:szCs w:val="22"/>
        </w:rPr>
      </w:pPr>
      <w:r w:rsidRPr="00AA2A63">
        <w:rPr>
          <w:rFonts w:ascii="Calibri" w:hAnsi="Calibri" w:cs="Calibri"/>
          <w:sz w:val="22"/>
          <w:szCs w:val="22"/>
        </w:rPr>
        <w:t>Na działalności operacyjnej za I półrocze 2016 roku Spółka uzyskała dodatni wynik finansowy  w wysokości 191 tys. zł, w porównaniu do zysku w wysokości 121 tys. zł w poprzednim roku</w:t>
      </w:r>
      <w:r w:rsidRPr="00AA2A63">
        <w:rPr>
          <w:rFonts w:ascii="Calibri" w:hAnsi="Calibri" w:cs="Calibri"/>
          <w:color w:val="7030A0"/>
          <w:sz w:val="22"/>
          <w:szCs w:val="22"/>
        </w:rPr>
        <w:t xml:space="preserve">. </w:t>
      </w:r>
      <w:r w:rsidRPr="00AA2A63">
        <w:rPr>
          <w:rFonts w:ascii="Calibri" w:hAnsi="Calibri" w:cs="Calibri"/>
          <w:sz w:val="22"/>
          <w:szCs w:val="22"/>
        </w:rPr>
        <w:t xml:space="preserve">Zysk </w:t>
      </w:r>
      <w:r w:rsidR="00AE6517">
        <w:rPr>
          <w:rFonts w:ascii="Calibri" w:hAnsi="Calibri" w:cs="Calibri"/>
          <w:sz w:val="22"/>
          <w:szCs w:val="22"/>
        </w:rPr>
        <w:br/>
      </w:r>
      <w:r w:rsidRPr="00AA2A63">
        <w:rPr>
          <w:rFonts w:ascii="Calibri" w:hAnsi="Calibri" w:cs="Calibri"/>
          <w:sz w:val="22"/>
          <w:szCs w:val="22"/>
        </w:rPr>
        <w:t>na tym poziomie został wypracowany dzięki sprzedaży złomu pozyskanego przy pracach remontowych i inwestycyjnych infrastruktury Spółki.</w:t>
      </w:r>
    </w:p>
    <w:p w14:paraId="2FF71F23" w14:textId="77777777" w:rsidR="00AA2A63" w:rsidRPr="00AA2A63" w:rsidRDefault="00AA2A63" w:rsidP="00AE6517">
      <w:pPr>
        <w:widowControl w:val="0"/>
        <w:spacing w:line="360" w:lineRule="auto"/>
        <w:ind w:firstLine="567"/>
        <w:jc w:val="both"/>
        <w:rPr>
          <w:rFonts w:ascii="Calibri" w:hAnsi="Calibri" w:cs="Calibri"/>
          <w:color w:val="7030A0"/>
          <w:sz w:val="22"/>
          <w:szCs w:val="22"/>
        </w:rPr>
      </w:pPr>
      <w:r w:rsidRPr="00AA2A63">
        <w:rPr>
          <w:rFonts w:ascii="Calibri" w:hAnsi="Calibri" w:cs="Calibri"/>
          <w:sz w:val="22"/>
          <w:szCs w:val="22"/>
        </w:rPr>
        <w:t>Na działalności finansowej Spółka MD-</w:t>
      </w:r>
      <w:proofErr w:type="spellStart"/>
      <w:r w:rsidRPr="00AA2A63">
        <w:rPr>
          <w:rFonts w:ascii="Calibri" w:hAnsi="Calibri" w:cs="Calibri"/>
          <w:sz w:val="22"/>
          <w:szCs w:val="22"/>
        </w:rPr>
        <w:t>proeco</w:t>
      </w:r>
      <w:proofErr w:type="spellEnd"/>
      <w:r w:rsidRPr="00AA2A63">
        <w:rPr>
          <w:rFonts w:ascii="Calibri" w:hAnsi="Calibri" w:cs="Calibri"/>
          <w:sz w:val="22"/>
          <w:szCs w:val="22"/>
        </w:rPr>
        <w:t xml:space="preserve">, w konsekwencji nadwyżki kosztów nad przychodami, poniosła stratę w wysokości 73 tys. zł. Porównując do danych za I półrocze 2015 roku, koszty finansowe wzrosły o kwotę 7 tys. zł.  </w:t>
      </w:r>
      <w:r w:rsidRPr="00AA2A63">
        <w:rPr>
          <w:rFonts w:ascii="Calibri" w:hAnsi="Calibri" w:cs="Calibri"/>
          <w:sz w:val="22"/>
          <w:szCs w:val="22"/>
        </w:rPr>
        <w:tab/>
      </w:r>
    </w:p>
    <w:p w14:paraId="367249CC" w14:textId="77777777" w:rsidR="00AA2A63" w:rsidRDefault="00AA2A63" w:rsidP="00AE6517">
      <w:pPr>
        <w:widowControl w:val="0"/>
        <w:spacing w:line="360" w:lineRule="auto"/>
        <w:ind w:firstLine="567"/>
        <w:jc w:val="both"/>
        <w:rPr>
          <w:rFonts w:ascii="Calibri" w:hAnsi="Calibri" w:cs="Calibri"/>
          <w:sz w:val="22"/>
          <w:szCs w:val="22"/>
        </w:rPr>
      </w:pPr>
      <w:r w:rsidRPr="00AA2A63">
        <w:rPr>
          <w:rFonts w:ascii="Calibri" w:hAnsi="Calibri" w:cs="Calibri"/>
          <w:sz w:val="22"/>
          <w:szCs w:val="22"/>
        </w:rPr>
        <w:t>W ramach kosztów rodzajowych MD-</w:t>
      </w:r>
      <w:proofErr w:type="spellStart"/>
      <w:r w:rsidRPr="00AA2A63">
        <w:rPr>
          <w:rFonts w:ascii="Calibri" w:hAnsi="Calibri" w:cs="Calibri"/>
          <w:sz w:val="22"/>
          <w:szCs w:val="22"/>
        </w:rPr>
        <w:t>proeco</w:t>
      </w:r>
      <w:proofErr w:type="spellEnd"/>
      <w:r w:rsidRPr="00AA2A63">
        <w:rPr>
          <w:rFonts w:ascii="Calibri" w:hAnsi="Calibri" w:cs="Calibri"/>
          <w:sz w:val="22"/>
          <w:szCs w:val="22"/>
        </w:rPr>
        <w:t xml:space="preserve"> Sp. z o.o. zanotowała wzrost kosztów w wysokości 437 tys. zł tj. o 25% w porównaniu do analogicznego okresu ubiegłego.  Zmiany wystąpiły również  </w:t>
      </w:r>
      <w:r w:rsidR="00AE6517">
        <w:rPr>
          <w:rFonts w:ascii="Calibri" w:hAnsi="Calibri" w:cs="Calibri"/>
          <w:sz w:val="22"/>
          <w:szCs w:val="22"/>
        </w:rPr>
        <w:br/>
      </w:r>
      <w:r w:rsidRPr="00AA2A63">
        <w:rPr>
          <w:rFonts w:ascii="Calibri" w:hAnsi="Calibri" w:cs="Calibri"/>
          <w:sz w:val="22"/>
          <w:szCs w:val="22"/>
        </w:rPr>
        <w:t>w strukturze tych kosztów i tak w porównaniu do analogicznego okresu roku ubiegłego nastąpił:</w:t>
      </w:r>
    </w:p>
    <w:p w14:paraId="00F83D48" w14:textId="77777777" w:rsidR="00AA2A63" w:rsidRPr="00AA2A63" w:rsidRDefault="00AA2A63" w:rsidP="00D73705">
      <w:pPr>
        <w:widowControl w:val="0"/>
        <w:numPr>
          <w:ilvl w:val="0"/>
          <w:numId w:val="15"/>
        </w:numPr>
        <w:spacing w:line="360" w:lineRule="auto"/>
        <w:ind w:left="1134" w:hanging="567"/>
        <w:jc w:val="both"/>
        <w:rPr>
          <w:rFonts w:ascii="Calibri" w:hAnsi="Calibri" w:cs="Calibri"/>
          <w:sz w:val="22"/>
          <w:szCs w:val="22"/>
        </w:rPr>
      </w:pPr>
      <w:r w:rsidRPr="00AA2A63">
        <w:rPr>
          <w:rFonts w:ascii="Calibri" w:hAnsi="Calibri" w:cs="Calibri"/>
          <w:sz w:val="22"/>
          <w:szCs w:val="22"/>
        </w:rPr>
        <w:lastRenderedPageBreak/>
        <w:t>wzrost kosztów amortyzacji o 1% w porównaniu do analogicznego okresu roku ubiegłego, jest on wynikiem zwiększenia nakładów na środki trwałe (głównie za sprawą leasingu),</w:t>
      </w:r>
    </w:p>
    <w:p w14:paraId="4E53B551" w14:textId="77777777" w:rsidR="00AA2A63" w:rsidRPr="00AA2A63" w:rsidRDefault="00AA2A63" w:rsidP="00D73705">
      <w:pPr>
        <w:widowControl w:val="0"/>
        <w:numPr>
          <w:ilvl w:val="0"/>
          <w:numId w:val="15"/>
        </w:numPr>
        <w:spacing w:line="360" w:lineRule="auto"/>
        <w:ind w:left="1134" w:hanging="567"/>
        <w:jc w:val="both"/>
        <w:rPr>
          <w:rFonts w:ascii="Calibri" w:hAnsi="Calibri" w:cs="Calibri"/>
          <w:sz w:val="22"/>
          <w:szCs w:val="22"/>
        </w:rPr>
      </w:pPr>
      <w:r w:rsidRPr="00AA2A63">
        <w:rPr>
          <w:rFonts w:ascii="Calibri" w:hAnsi="Calibri" w:cs="Calibri"/>
          <w:sz w:val="22"/>
          <w:szCs w:val="22"/>
        </w:rPr>
        <w:t xml:space="preserve">wzrost kosztów  zużycia materiałów i energii poniesionych kosztów w I półroczu 2016 r. </w:t>
      </w:r>
      <w:r w:rsidR="00006FF5">
        <w:rPr>
          <w:rFonts w:ascii="Calibri" w:hAnsi="Calibri" w:cs="Calibri"/>
          <w:sz w:val="22"/>
          <w:szCs w:val="22"/>
        </w:rPr>
        <w:br/>
      </w:r>
      <w:r w:rsidRPr="00AA2A63">
        <w:rPr>
          <w:rFonts w:ascii="Calibri" w:hAnsi="Calibri" w:cs="Calibri"/>
          <w:sz w:val="22"/>
          <w:szCs w:val="22"/>
        </w:rPr>
        <w:t>w porównaniu do I półrocza 2015 r. o 95% , głównie za sprawą zwiększonego obciążenia za energię cieplną ( wzrost w porównaniu do tego samego okresu w roku ubiegłym o 472 tys. zł);</w:t>
      </w:r>
    </w:p>
    <w:p w14:paraId="7C5FCD2C" w14:textId="77777777" w:rsidR="00AA2A63" w:rsidRPr="00AA2A63" w:rsidRDefault="00AA2A63" w:rsidP="00D73705">
      <w:pPr>
        <w:widowControl w:val="0"/>
        <w:numPr>
          <w:ilvl w:val="0"/>
          <w:numId w:val="15"/>
        </w:numPr>
        <w:spacing w:line="360" w:lineRule="auto"/>
        <w:ind w:left="1134" w:hanging="567"/>
        <w:jc w:val="both"/>
        <w:rPr>
          <w:rFonts w:ascii="Calibri" w:hAnsi="Calibri" w:cs="Calibri"/>
          <w:sz w:val="22"/>
          <w:szCs w:val="22"/>
        </w:rPr>
      </w:pPr>
      <w:r w:rsidRPr="00AA2A63">
        <w:rPr>
          <w:rFonts w:ascii="Calibri" w:hAnsi="Calibri" w:cs="Calibri"/>
          <w:sz w:val="22"/>
          <w:szCs w:val="22"/>
        </w:rPr>
        <w:t xml:space="preserve">wzrost kosztów usług obcych o 17%, wynikający z prowadzonych pac remontowych maszyn i </w:t>
      </w:r>
      <w:r w:rsidR="00E15EC9">
        <w:rPr>
          <w:rFonts w:ascii="Calibri" w:hAnsi="Calibri" w:cs="Calibri"/>
          <w:sz w:val="22"/>
          <w:szCs w:val="22"/>
        </w:rPr>
        <w:t>?</w:t>
      </w:r>
      <w:r w:rsidRPr="00AA2A63">
        <w:rPr>
          <w:rFonts w:ascii="Calibri" w:hAnsi="Calibri" w:cs="Calibri"/>
          <w:sz w:val="22"/>
          <w:szCs w:val="22"/>
        </w:rPr>
        <w:t>urządzeń technicznych oraz korzystania z usług podwykonawców w zakresie gromadzenia odpadów,</w:t>
      </w:r>
    </w:p>
    <w:p w14:paraId="024F1A1B" w14:textId="77777777" w:rsidR="00AA2A63" w:rsidRPr="00AA2A63" w:rsidRDefault="00AA2A63" w:rsidP="00D73705">
      <w:pPr>
        <w:widowControl w:val="0"/>
        <w:numPr>
          <w:ilvl w:val="0"/>
          <w:numId w:val="15"/>
        </w:numPr>
        <w:spacing w:line="360" w:lineRule="auto"/>
        <w:ind w:left="1134" w:hanging="567"/>
        <w:jc w:val="both"/>
        <w:rPr>
          <w:rFonts w:ascii="Calibri" w:hAnsi="Calibri" w:cs="Calibri"/>
          <w:sz w:val="22"/>
          <w:szCs w:val="22"/>
        </w:rPr>
      </w:pPr>
      <w:r w:rsidRPr="00AA2A63">
        <w:rPr>
          <w:rFonts w:ascii="Calibri" w:hAnsi="Calibri" w:cs="Calibri"/>
          <w:sz w:val="22"/>
          <w:szCs w:val="22"/>
        </w:rPr>
        <w:t xml:space="preserve">wzrost w ramach podatków i opłat o 5%, spowodowany wzrostem stawek  podatku od nieruchomości, </w:t>
      </w:r>
    </w:p>
    <w:p w14:paraId="2FA940DF" w14:textId="77777777" w:rsidR="00AA2A63" w:rsidRPr="00AA2A63" w:rsidRDefault="00AA2A63" w:rsidP="00D73705">
      <w:pPr>
        <w:widowControl w:val="0"/>
        <w:numPr>
          <w:ilvl w:val="0"/>
          <w:numId w:val="15"/>
        </w:numPr>
        <w:spacing w:line="360" w:lineRule="auto"/>
        <w:ind w:left="1134" w:hanging="567"/>
        <w:jc w:val="both"/>
        <w:rPr>
          <w:rFonts w:ascii="Calibri" w:hAnsi="Calibri" w:cs="Calibri"/>
          <w:sz w:val="22"/>
          <w:szCs w:val="22"/>
        </w:rPr>
      </w:pPr>
      <w:r w:rsidRPr="00AA2A63">
        <w:rPr>
          <w:rFonts w:ascii="Calibri" w:hAnsi="Calibri" w:cs="Calibri"/>
          <w:sz w:val="22"/>
          <w:szCs w:val="22"/>
        </w:rPr>
        <w:t>k</w:t>
      </w:r>
      <w:r w:rsidR="006E3C96">
        <w:rPr>
          <w:rFonts w:ascii="Calibri" w:hAnsi="Calibri" w:cs="Calibri"/>
          <w:sz w:val="22"/>
          <w:szCs w:val="22"/>
        </w:rPr>
        <w:t>oszty świadczeń pracowniczych (wynagrodzeń z narzutami</w:t>
      </w:r>
      <w:r w:rsidRPr="00AA2A63">
        <w:rPr>
          <w:rFonts w:ascii="Calibri" w:hAnsi="Calibri" w:cs="Calibri"/>
          <w:sz w:val="22"/>
          <w:szCs w:val="22"/>
        </w:rPr>
        <w:t>), pozostały na niezmienionym poziomie w porównaniu do analogicznego okresu roku ubiegłego,</w:t>
      </w:r>
    </w:p>
    <w:p w14:paraId="0B2A744C" w14:textId="77777777" w:rsidR="00AA2A63" w:rsidRDefault="00AA2A63" w:rsidP="00D73705">
      <w:pPr>
        <w:widowControl w:val="0"/>
        <w:numPr>
          <w:ilvl w:val="0"/>
          <w:numId w:val="15"/>
        </w:numPr>
        <w:spacing w:line="360" w:lineRule="auto"/>
        <w:ind w:left="1134" w:hanging="567"/>
        <w:jc w:val="both"/>
        <w:rPr>
          <w:rFonts w:ascii="Calibri" w:hAnsi="Calibri" w:cs="Calibri"/>
          <w:sz w:val="22"/>
          <w:szCs w:val="22"/>
        </w:rPr>
      </w:pPr>
      <w:r w:rsidRPr="00AA2A63">
        <w:rPr>
          <w:rFonts w:ascii="Calibri" w:hAnsi="Calibri" w:cs="Calibri"/>
          <w:sz w:val="22"/>
          <w:szCs w:val="22"/>
        </w:rPr>
        <w:t xml:space="preserve">wzrost pozostałych kosztów o 1%. </w:t>
      </w:r>
    </w:p>
    <w:p w14:paraId="76BC4473" w14:textId="77777777" w:rsidR="00AE6517" w:rsidRPr="00AA2A63" w:rsidRDefault="00AE6517" w:rsidP="00AE6517">
      <w:pPr>
        <w:widowControl w:val="0"/>
        <w:spacing w:line="360" w:lineRule="auto"/>
        <w:ind w:left="1134"/>
        <w:jc w:val="both"/>
        <w:rPr>
          <w:rFonts w:ascii="Calibri" w:hAnsi="Calibri" w:cs="Calibri"/>
          <w:sz w:val="22"/>
          <w:szCs w:val="22"/>
        </w:rPr>
      </w:pPr>
    </w:p>
    <w:p w14:paraId="2F9ADC80" w14:textId="77777777" w:rsidR="00AA2A63" w:rsidRPr="00AA2A63" w:rsidRDefault="00AA2A63" w:rsidP="00AE6517">
      <w:pPr>
        <w:widowControl w:val="0"/>
        <w:spacing w:line="360" w:lineRule="auto"/>
        <w:ind w:left="142" w:firstLine="425"/>
        <w:jc w:val="both"/>
        <w:rPr>
          <w:rFonts w:ascii="Calibri" w:hAnsi="Calibri" w:cs="Calibri"/>
          <w:sz w:val="22"/>
          <w:szCs w:val="22"/>
        </w:rPr>
      </w:pPr>
      <w:r w:rsidRPr="00AA2A63">
        <w:rPr>
          <w:rFonts w:ascii="Calibri" w:hAnsi="Calibri" w:cs="Calibri"/>
          <w:sz w:val="22"/>
          <w:szCs w:val="22"/>
        </w:rPr>
        <w:t xml:space="preserve"> W konsekwencji wyżej opisanych czynników, w pierwszym półroczu 2016 roku Spółka </w:t>
      </w:r>
      <w:r w:rsidR="00AE6517">
        <w:rPr>
          <w:rFonts w:ascii="Calibri" w:hAnsi="Calibri" w:cs="Calibri"/>
          <w:sz w:val="22"/>
          <w:szCs w:val="22"/>
        </w:rPr>
        <w:br/>
      </w:r>
      <w:r w:rsidRPr="00AA2A63">
        <w:rPr>
          <w:rFonts w:ascii="Calibri" w:hAnsi="Calibri" w:cs="Calibri"/>
          <w:sz w:val="22"/>
          <w:szCs w:val="22"/>
        </w:rPr>
        <w:t>MD-</w:t>
      </w:r>
      <w:proofErr w:type="spellStart"/>
      <w:r w:rsidRPr="00AA2A63">
        <w:rPr>
          <w:rFonts w:ascii="Calibri" w:hAnsi="Calibri" w:cs="Calibri"/>
          <w:sz w:val="22"/>
          <w:szCs w:val="22"/>
        </w:rPr>
        <w:t>proeco</w:t>
      </w:r>
      <w:proofErr w:type="spellEnd"/>
      <w:r w:rsidR="00AE6517">
        <w:rPr>
          <w:rFonts w:ascii="Calibri" w:hAnsi="Calibri" w:cs="Calibri"/>
          <w:sz w:val="22"/>
          <w:szCs w:val="22"/>
        </w:rPr>
        <w:t xml:space="preserve"> Sp. z o.o.</w:t>
      </w:r>
      <w:r w:rsidRPr="00AA2A63">
        <w:rPr>
          <w:rFonts w:ascii="Calibri" w:hAnsi="Calibri" w:cs="Calibri"/>
          <w:sz w:val="22"/>
          <w:szCs w:val="22"/>
        </w:rPr>
        <w:t xml:space="preserve"> uzyskała zysk netto w wysokości 42 tys. zł, w porównaniu do zysku netto </w:t>
      </w:r>
      <w:r w:rsidRPr="00AA2A63">
        <w:rPr>
          <w:rFonts w:ascii="Calibri" w:hAnsi="Calibri" w:cs="Calibri"/>
          <w:sz w:val="22"/>
          <w:szCs w:val="22"/>
        </w:rPr>
        <w:br/>
        <w:t>w kwocie 68 tys. zł w analogicznym okresie roku ubiegłego.</w:t>
      </w:r>
    </w:p>
    <w:p w14:paraId="6309E38E" w14:textId="77777777" w:rsidR="00D25BE4" w:rsidRPr="00360EFC" w:rsidRDefault="00D25BE4">
      <w:pPr>
        <w:rPr>
          <w:rFonts w:asciiTheme="minorHAnsi" w:hAnsiTheme="minorHAnsi"/>
          <w:color w:val="FF0000"/>
          <w:spacing w:val="-2"/>
          <w:sz w:val="28"/>
          <w:szCs w:val="28"/>
        </w:rPr>
      </w:pPr>
    </w:p>
    <w:p w14:paraId="0D6B9C40" w14:textId="77777777" w:rsidR="00D25BE4" w:rsidRPr="00AE6517" w:rsidRDefault="00D25BE4" w:rsidP="00B41C6B">
      <w:pPr>
        <w:tabs>
          <w:tab w:val="left" w:pos="567"/>
        </w:tabs>
        <w:spacing w:line="360" w:lineRule="auto"/>
        <w:jc w:val="both"/>
        <w:rPr>
          <w:rFonts w:ascii="Calibri" w:hAnsi="Calibri" w:cs="Arial"/>
          <w:u w:val="single"/>
        </w:rPr>
      </w:pPr>
      <w:r w:rsidRPr="00AE6517">
        <w:rPr>
          <w:rFonts w:ascii="Calibri" w:hAnsi="Calibri" w:cs="Arial"/>
          <w:u w:val="single"/>
        </w:rPr>
        <w:t>Dane finansowe jednostkowe dotyczące Spółki zależnej – Zakład Budowy Aparatury Chemicznej ZBACH Sp. z o.o.</w:t>
      </w:r>
    </w:p>
    <w:p w14:paraId="7455F8AC" w14:textId="77777777" w:rsidR="00B41C6B" w:rsidRPr="00870569" w:rsidRDefault="00B41C6B">
      <w:pPr>
        <w:rPr>
          <w:rFonts w:asciiTheme="minorHAnsi" w:hAnsiTheme="minorHAnsi"/>
          <w:color w:val="FF0000"/>
          <w:spacing w:val="-2"/>
        </w:rPr>
      </w:pPr>
    </w:p>
    <w:p w14:paraId="2131CBE2" w14:textId="77777777" w:rsidR="00870569" w:rsidRPr="00870569" w:rsidRDefault="00870569" w:rsidP="00870569">
      <w:pPr>
        <w:tabs>
          <w:tab w:val="left" w:pos="540"/>
        </w:tabs>
        <w:spacing w:line="360" w:lineRule="auto"/>
        <w:jc w:val="both"/>
        <w:rPr>
          <w:rFonts w:ascii="Calibri" w:hAnsi="Calibri"/>
          <w:sz w:val="22"/>
          <w:szCs w:val="22"/>
        </w:rPr>
      </w:pPr>
      <w:r>
        <w:rPr>
          <w:rFonts w:ascii="Calibri" w:hAnsi="Calibri"/>
          <w:sz w:val="22"/>
          <w:szCs w:val="22"/>
        </w:rPr>
        <w:tab/>
      </w:r>
      <w:r w:rsidRPr="00870569">
        <w:rPr>
          <w:rFonts w:ascii="Calibri" w:hAnsi="Calibri"/>
          <w:sz w:val="22"/>
          <w:szCs w:val="22"/>
        </w:rPr>
        <w:t xml:space="preserve">W pierwszym półroczu 2016 roku Spółka Zakład Budowy Aparatury Chemicznej ZBACH </w:t>
      </w:r>
      <w:r>
        <w:rPr>
          <w:rFonts w:ascii="Calibri" w:hAnsi="Calibri"/>
          <w:sz w:val="22"/>
          <w:szCs w:val="22"/>
        </w:rPr>
        <w:br/>
      </w:r>
      <w:r w:rsidRPr="00870569">
        <w:rPr>
          <w:rFonts w:ascii="Calibri" w:hAnsi="Calibri"/>
          <w:sz w:val="22"/>
          <w:szCs w:val="22"/>
        </w:rPr>
        <w:t>Sp</w:t>
      </w:r>
      <w:r>
        <w:rPr>
          <w:rFonts w:ascii="Calibri" w:hAnsi="Calibri"/>
          <w:sz w:val="22"/>
          <w:szCs w:val="22"/>
        </w:rPr>
        <w:t>.</w:t>
      </w:r>
      <w:r w:rsidRPr="00870569">
        <w:rPr>
          <w:rFonts w:ascii="Calibri" w:hAnsi="Calibri"/>
          <w:sz w:val="22"/>
          <w:szCs w:val="22"/>
        </w:rPr>
        <w:t xml:space="preserve"> z o.o.  odnotowała wzrost przychodów netto ze sprzedaży produktów o 28%, do wysokości </w:t>
      </w:r>
      <w:r>
        <w:rPr>
          <w:rFonts w:ascii="Calibri" w:hAnsi="Calibri"/>
          <w:sz w:val="22"/>
          <w:szCs w:val="22"/>
        </w:rPr>
        <w:br/>
      </w:r>
      <w:r w:rsidRPr="00870569">
        <w:rPr>
          <w:rFonts w:ascii="Calibri" w:hAnsi="Calibri"/>
          <w:sz w:val="22"/>
          <w:szCs w:val="22"/>
        </w:rPr>
        <w:t>10 797 tys. zł, w porównaniu do 8 403 tys. zł w analogicznym okresie 2015 roku.</w:t>
      </w:r>
      <w:r w:rsidRPr="00870569">
        <w:rPr>
          <w:rFonts w:ascii="Calibri" w:hAnsi="Calibri"/>
          <w:color w:val="FF0000"/>
          <w:sz w:val="22"/>
          <w:szCs w:val="22"/>
        </w:rPr>
        <w:t xml:space="preserve"> </w:t>
      </w:r>
      <w:r w:rsidRPr="00870569">
        <w:rPr>
          <w:rFonts w:ascii="Calibri" w:hAnsi="Calibri"/>
          <w:sz w:val="22"/>
          <w:szCs w:val="22"/>
        </w:rPr>
        <w:t>Analizując strukturę sprzedaży za I półrocze 2016 roku, wzrost przychodów w łącznej</w:t>
      </w:r>
      <w:r w:rsidRPr="00870569">
        <w:rPr>
          <w:rFonts w:ascii="Calibri" w:hAnsi="Calibri"/>
          <w:color w:val="FF0000"/>
          <w:sz w:val="22"/>
          <w:szCs w:val="22"/>
        </w:rPr>
        <w:t xml:space="preserve"> </w:t>
      </w:r>
      <w:r w:rsidRPr="00870569">
        <w:rPr>
          <w:rFonts w:ascii="Calibri" w:hAnsi="Calibri"/>
          <w:sz w:val="22"/>
          <w:szCs w:val="22"/>
        </w:rPr>
        <w:t xml:space="preserve">wartości 2 394 tys. zł odnotowano we wszystkich segmentach działalności, natomiast w obszarze przychodów ze sprzedaży materiałów nastąpił spadek  o 29 tys. zł.   </w:t>
      </w:r>
    </w:p>
    <w:p w14:paraId="0E675813" w14:textId="77777777" w:rsidR="00870569" w:rsidRPr="00870569" w:rsidRDefault="00870569" w:rsidP="00870569">
      <w:pPr>
        <w:tabs>
          <w:tab w:val="left" w:pos="540"/>
        </w:tabs>
        <w:spacing w:line="360" w:lineRule="auto"/>
        <w:jc w:val="both"/>
        <w:rPr>
          <w:rFonts w:ascii="Calibri" w:hAnsi="Calibri" w:cs="Arial"/>
          <w:sz w:val="22"/>
          <w:szCs w:val="22"/>
        </w:rPr>
      </w:pPr>
      <w:r w:rsidRPr="00870569">
        <w:rPr>
          <w:rFonts w:ascii="Calibri" w:hAnsi="Calibri"/>
          <w:sz w:val="22"/>
          <w:szCs w:val="22"/>
        </w:rPr>
        <w:tab/>
      </w:r>
      <w:r w:rsidRPr="00870569">
        <w:rPr>
          <w:rFonts w:ascii="Calibri" w:hAnsi="Calibri" w:cs="Arial"/>
          <w:sz w:val="22"/>
          <w:szCs w:val="22"/>
        </w:rPr>
        <w:t xml:space="preserve">Po sześciu miesiącach 2016 roku koszty sprzedanych produktów, towarów i materiałów  Spółki </w:t>
      </w:r>
      <w:r w:rsidRPr="00870569">
        <w:rPr>
          <w:rFonts w:ascii="Calibri" w:hAnsi="Calibri"/>
          <w:sz w:val="22"/>
          <w:szCs w:val="22"/>
        </w:rPr>
        <w:t>Zakład Budowy Aparatury Chemicznej ZBACH Sp</w:t>
      </w:r>
      <w:r>
        <w:rPr>
          <w:rFonts w:ascii="Calibri" w:hAnsi="Calibri"/>
          <w:sz w:val="22"/>
          <w:szCs w:val="22"/>
        </w:rPr>
        <w:t>.</w:t>
      </w:r>
      <w:r w:rsidRPr="00870569">
        <w:rPr>
          <w:rFonts w:ascii="Calibri" w:hAnsi="Calibri"/>
          <w:sz w:val="22"/>
          <w:szCs w:val="22"/>
        </w:rPr>
        <w:t xml:space="preserve"> z o.o. </w:t>
      </w:r>
      <w:r w:rsidRPr="00870569">
        <w:rPr>
          <w:rFonts w:ascii="Calibri" w:hAnsi="Calibri" w:cs="Arial"/>
          <w:sz w:val="22"/>
          <w:szCs w:val="22"/>
        </w:rPr>
        <w:t>wyniosły 9 397 tys. zł. W porównaniu do analogicznych danych za pierwsze półrocze 2015 roku wartość w/w</w:t>
      </w:r>
      <w:r w:rsidRPr="00870569">
        <w:rPr>
          <w:rFonts w:ascii="Calibri" w:hAnsi="Calibri" w:cs="Arial"/>
          <w:color w:val="FF0000"/>
          <w:sz w:val="22"/>
          <w:szCs w:val="22"/>
        </w:rPr>
        <w:t xml:space="preserve"> </w:t>
      </w:r>
      <w:r w:rsidRPr="00870569">
        <w:rPr>
          <w:rFonts w:ascii="Calibri" w:hAnsi="Calibri" w:cs="Arial"/>
          <w:sz w:val="22"/>
          <w:szCs w:val="22"/>
        </w:rPr>
        <w:t xml:space="preserve">kosztów wzrosła o kwotę </w:t>
      </w:r>
      <w:r>
        <w:rPr>
          <w:rFonts w:ascii="Calibri" w:hAnsi="Calibri" w:cs="Arial"/>
          <w:sz w:val="22"/>
          <w:szCs w:val="22"/>
        </w:rPr>
        <w:br/>
      </w:r>
      <w:r w:rsidRPr="00870569">
        <w:rPr>
          <w:rFonts w:ascii="Calibri" w:hAnsi="Calibri" w:cs="Arial"/>
          <w:sz w:val="22"/>
          <w:szCs w:val="22"/>
        </w:rPr>
        <w:t xml:space="preserve">2 358 tys. zł, to jest o 34%. Zmniejszeniu uległy pozostałe koszty operacyjne o kwotę 39 tys. zł. Pozytywny aspekt widoczny jest także w kosztach ogólnego zarządu, w dalszym ciągu na wskutek </w:t>
      </w:r>
      <w:r w:rsidRPr="00870569">
        <w:rPr>
          <w:rFonts w:ascii="Calibri" w:hAnsi="Calibri" w:cs="Arial"/>
          <w:sz w:val="22"/>
          <w:szCs w:val="22"/>
        </w:rPr>
        <w:lastRenderedPageBreak/>
        <w:t xml:space="preserve">prowadzonej restrukturyzacji Spółki głównie ukierunkowanych na obszar kosztów stałych, ulegają one sukcesywnie zmniejszeniu. Porównując koszty zarządu wynoszące w I półroczu 2016 roku </w:t>
      </w:r>
      <w:r w:rsidRPr="00870569">
        <w:rPr>
          <w:rFonts w:ascii="Calibri" w:hAnsi="Calibri" w:cs="Arial"/>
          <w:sz w:val="22"/>
          <w:szCs w:val="22"/>
        </w:rPr>
        <w:br/>
        <w:t xml:space="preserve">w kwocie 1 056 tys. zł, w zestawieniu do analogicznego okresu 2015 roku, gdzie koszty zarządu wyniosły 1 205 tys. zł   spadek ten wyniósł  149 tys. zł. to jest 12%. </w:t>
      </w:r>
    </w:p>
    <w:p w14:paraId="2DAA8282" w14:textId="77777777" w:rsidR="00870569" w:rsidRPr="00870569" w:rsidRDefault="00870569" w:rsidP="00870569">
      <w:pPr>
        <w:tabs>
          <w:tab w:val="left" w:pos="0"/>
          <w:tab w:val="left" w:pos="540"/>
        </w:tabs>
        <w:spacing w:line="360" w:lineRule="auto"/>
        <w:jc w:val="both"/>
        <w:rPr>
          <w:rFonts w:ascii="Calibri" w:hAnsi="Calibri" w:cs="Arial"/>
          <w:sz w:val="22"/>
          <w:szCs w:val="22"/>
        </w:rPr>
      </w:pPr>
      <w:r w:rsidRPr="00870569">
        <w:rPr>
          <w:rFonts w:ascii="Calibri" w:hAnsi="Calibri" w:cs="Arial"/>
          <w:sz w:val="22"/>
          <w:szCs w:val="22"/>
        </w:rPr>
        <w:tab/>
        <w:t xml:space="preserve">W ramach kosztów rodzajowych </w:t>
      </w:r>
      <w:r w:rsidRPr="00870569">
        <w:rPr>
          <w:rFonts w:ascii="Calibri" w:hAnsi="Calibri"/>
          <w:sz w:val="22"/>
          <w:szCs w:val="22"/>
        </w:rPr>
        <w:t xml:space="preserve">Spółka Zakład Budowy Aparatury Chemicznej ZBACH </w:t>
      </w:r>
      <w:r>
        <w:rPr>
          <w:rFonts w:ascii="Calibri" w:hAnsi="Calibri"/>
          <w:sz w:val="22"/>
          <w:szCs w:val="22"/>
        </w:rPr>
        <w:br/>
      </w:r>
      <w:r w:rsidRPr="00870569">
        <w:rPr>
          <w:rFonts w:ascii="Calibri" w:hAnsi="Calibri"/>
          <w:sz w:val="22"/>
          <w:szCs w:val="22"/>
        </w:rPr>
        <w:t>Sp</w:t>
      </w:r>
      <w:r>
        <w:rPr>
          <w:rFonts w:ascii="Calibri" w:hAnsi="Calibri"/>
          <w:sz w:val="22"/>
          <w:szCs w:val="22"/>
        </w:rPr>
        <w:t>.</w:t>
      </w:r>
      <w:r w:rsidRPr="00870569">
        <w:rPr>
          <w:rFonts w:ascii="Calibri" w:hAnsi="Calibri"/>
          <w:sz w:val="22"/>
          <w:szCs w:val="22"/>
        </w:rPr>
        <w:t xml:space="preserve"> z o. o. od</w:t>
      </w:r>
      <w:r w:rsidRPr="00870569">
        <w:rPr>
          <w:rFonts w:ascii="Calibri" w:hAnsi="Calibri" w:cs="Arial"/>
          <w:sz w:val="22"/>
          <w:szCs w:val="22"/>
        </w:rPr>
        <w:t>notowała ogólny wzrost tych kosztów w porównaniu do analogicznego okresu roku ubiegłego o 5%, wynikający ze zmian w następujących pozycjach kosztów:</w:t>
      </w:r>
    </w:p>
    <w:p w14:paraId="015D7226" w14:textId="77777777" w:rsidR="00870569" w:rsidRPr="00870569" w:rsidRDefault="00870569" w:rsidP="00870569">
      <w:pPr>
        <w:tabs>
          <w:tab w:val="left" w:pos="0"/>
          <w:tab w:val="left" w:pos="540"/>
        </w:tabs>
        <w:spacing w:line="360" w:lineRule="auto"/>
        <w:jc w:val="both"/>
        <w:rPr>
          <w:rFonts w:ascii="Calibri" w:hAnsi="Calibri" w:cs="Arial"/>
          <w:color w:val="FF0000"/>
          <w:sz w:val="10"/>
          <w:szCs w:val="10"/>
        </w:rPr>
      </w:pPr>
    </w:p>
    <w:p w14:paraId="78F0C2C4" w14:textId="77777777" w:rsidR="00870569" w:rsidRPr="00870569" w:rsidRDefault="00870569" w:rsidP="00870569">
      <w:pPr>
        <w:widowControl w:val="0"/>
        <w:numPr>
          <w:ilvl w:val="0"/>
          <w:numId w:val="1"/>
        </w:numPr>
        <w:spacing w:line="360" w:lineRule="auto"/>
        <w:ind w:left="1134" w:hanging="567"/>
        <w:jc w:val="both"/>
        <w:rPr>
          <w:rFonts w:ascii="Calibri" w:hAnsi="Calibri" w:cs="Arial"/>
          <w:sz w:val="22"/>
          <w:szCs w:val="22"/>
        </w:rPr>
      </w:pPr>
      <w:r w:rsidRPr="00870569">
        <w:rPr>
          <w:rFonts w:ascii="Calibri" w:hAnsi="Calibri" w:cs="Arial"/>
          <w:sz w:val="22"/>
          <w:szCs w:val="22"/>
        </w:rPr>
        <w:t xml:space="preserve">wzrost kosztów zużycia materiałów i energii o 21% spowodowany głównie przez </w:t>
      </w:r>
      <w:r>
        <w:rPr>
          <w:rFonts w:ascii="Calibri" w:hAnsi="Calibri" w:cs="Arial"/>
          <w:sz w:val="22"/>
          <w:szCs w:val="22"/>
        </w:rPr>
        <w:br/>
      </w:r>
      <w:r w:rsidRPr="00870569">
        <w:rPr>
          <w:rFonts w:ascii="Calibri" w:hAnsi="Calibri" w:cs="Arial"/>
          <w:sz w:val="22"/>
          <w:szCs w:val="22"/>
        </w:rPr>
        <w:t>zakup specjalistycznych rur na wykonanie kondensatora wysokociśnienio</w:t>
      </w:r>
      <w:r>
        <w:rPr>
          <w:rFonts w:ascii="Calibri" w:hAnsi="Calibri" w:cs="Arial"/>
          <w:sz w:val="22"/>
          <w:szCs w:val="22"/>
        </w:rPr>
        <w:t xml:space="preserve">wego </w:t>
      </w:r>
      <w:r>
        <w:rPr>
          <w:rFonts w:ascii="Calibri" w:hAnsi="Calibri" w:cs="Arial"/>
          <w:sz w:val="22"/>
          <w:szCs w:val="22"/>
        </w:rPr>
        <w:br/>
        <w:t>E-10 dla grupy Azoty S.A.,</w:t>
      </w:r>
    </w:p>
    <w:p w14:paraId="476CC46D" w14:textId="77777777" w:rsidR="00870569" w:rsidRPr="00870569" w:rsidRDefault="00870569" w:rsidP="00870569">
      <w:pPr>
        <w:widowControl w:val="0"/>
        <w:numPr>
          <w:ilvl w:val="0"/>
          <w:numId w:val="1"/>
        </w:numPr>
        <w:spacing w:line="360" w:lineRule="auto"/>
        <w:ind w:left="1134" w:hanging="567"/>
        <w:jc w:val="both"/>
        <w:rPr>
          <w:rFonts w:ascii="Calibri" w:hAnsi="Calibri" w:cs="Arial"/>
          <w:sz w:val="22"/>
          <w:szCs w:val="22"/>
        </w:rPr>
      </w:pPr>
      <w:r w:rsidRPr="00870569">
        <w:rPr>
          <w:rFonts w:ascii="Calibri" w:hAnsi="Calibri" w:cs="Arial"/>
          <w:sz w:val="22"/>
          <w:szCs w:val="22"/>
        </w:rPr>
        <w:t>spadek kosztów usług obcych o 14%, wynikający z obniżenia ilości realizacji zleceń</w:t>
      </w:r>
      <w:r>
        <w:rPr>
          <w:rFonts w:ascii="Calibri" w:hAnsi="Calibri" w:cs="Arial"/>
          <w:sz w:val="22"/>
          <w:szCs w:val="22"/>
        </w:rPr>
        <w:t xml:space="preserve"> </w:t>
      </w:r>
      <w:r>
        <w:rPr>
          <w:rFonts w:ascii="Calibri" w:hAnsi="Calibri" w:cs="Arial"/>
          <w:sz w:val="22"/>
          <w:szCs w:val="22"/>
        </w:rPr>
        <w:br/>
        <w:t>w kooperacji z podwykonawcami,</w:t>
      </w:r>
    </w:p>
    <w:p w14:paraId="32B86C48" w14:textId="77777777" w:rsidR="00870569" w:rsidRPr="00870569" w:rsidRDefault="00870569" w:rsidP="00870569">
      <w:pPr>
        <w:widowControl w:val="0"/>
        <w:numPr>
          <w:ilvl w:val="0"/>
          <w:numId w:val="1"/>
        </w:numPr>
        <w:spacing w:line="360" w:lineRule="auto"/>
        <w:ind w:left="1134" w:hanging="567"/>
        <w:jc w:val="both"/>
        <w:rPr>
          <w:rFonts w:ascii="Calibri" w:hAnsi="Calibri" w:cs="Arial"/>
          <w:sz w:val="22"/>
          <w:szCs w:val="22"/>
        </w:rPr>
      </w:pPr>
      <w:r w:rsidRPr="00870569">
        <w:rPr>
          <w:rFonts w:ascii="Calibri" w:hAnsi="Calibri" w:cs="Arial"/>
          <w:sz w:val="22"/>
          <w:szCs w:val="22"/>
        </w:rPr>
        <w:t>spadek kosztów amortyzacji o 37%, wynikający z wydłużenia okresów użytkowania środków trwałych od 01.01.2016 roku</w:t>
      </w:r>
      <w:r>
        <w:rPr>
          <w:rFonts w:ascii="Calibri" w:hAnsi="Calibri" w:cs="Arial"/>
          <w:sz w:val="22"/>
          <w:szCs w:val="22"/>
        </w:rPr>
        <w:t>,</w:t>
      </w:r>
    </w:p>
    <w:p w14:paraId="681EC219" w14:textId="77777777" w:rsidR="00870569" w:rsidRPr="00870569" w:rsidRDefault="00870569" w:rsidP="00870569">
      <w:pPr>
        <w:widowControl w:val="0"/>
        <w:numPr>
          <w:ilvl w:val="0"/>
          <w:numId w:val="1"/>
        </w:numPr>
        <w:spacing w:line="360" w:lineRule="auto"/>
        <w:ind w:left="1134" w:hanging="567"/>
        <w:jc w:val="both"/>
        <w:rPr>
          <w:rFonts w:ascii="Calibri" w:hAnsi="Calibri" w:cs="Arial"/>
          <w:sz w:val="22"/>
          <w:szCs w:val="22"/>
        </w:rPr>
      </w:pPr>
      <w:r w:rsidRPr="00870569">
        <w:rPr>
          <w:rFonts w:ascii="Calibri" w:hAnsi="Calibri" w:cs="Arial"/>
          <w:sz w:val="22"/>
          <w:szCs w:val="22"/>
        </w:rPr>
        <w:t>wzrost kosztów podatków  i opłat  o 4%</w:t>
      </w:r>
      <w:r>
        <w:rPr>
          <w:rFonts w:ascii="Calibri" w:hAnsi="Calibri" w:cs="Arial"/>
          <w:sz w:val="22"/>
          <w:szCs w:val="22"/>
        </w:rPr>
        <w:t>,</w:t>
      </w:r>
    </w:p>
    <w:p w14:paraId="7F091EE8" w14:textId="77777777" w:rsidR="00870569" w:rsidRPr="00870569" w:rsidRDefault="00870569" w:rsidP="00870569">
      <w:pPr>
        <w:widowControl w:val="0"/>
        <w:numPr>
          <w:ilvl w:val="0"/>
          <w:numId w:val="1"/>
        </w:numPr>
        <w:spacing w:line="360" w:lineRule="auto"/>
        <w:ind w:left="1134" w:hanging="567"/>
        <w:jc w:val="both"/>
        <w:rPr>
          <w:rFonts w:ascii="Calibri" w:hAnsi="Calibri" w:cs="Arial"/>
          <w:sz w:val="22"/>
          <w:szCs w:val="22"/>
        </w:rPr>
      </w:pPr>
      <w:r w:rsidRPr="00870569">
        <w:rPr>
          <w:rFonts w:ascii="Calibri" w:hAnsi="Calibri" w:cs="Arial"/>
          <w:sz w:val="22"/>
          <w:szCs w:val="22"/>
        </w:rPr>
        <w:t xml:space="preserve">wzrost pozostałych kosztów rodzajowych o </w:t>
      </w:r>
      <w:r>
        <w:rPr>
          <w:rFonts w:ascii="Calibri" w:hAnsi="Calibri" w:cs="Arial"/>
          <w:sz w:val="22"/>
          <w:szCs w:val="22"/>
        </w:rPr>
        <w:t>11%,</w:t>
      </w:r>
    </w:p>
    <w:p w14:paraId="1BF3A4B7" w14:textId="77777777" w:rsidR="00870569" w:rsidRDefault="00870569" w:rsidP="00870569">
      <w:pPr>
        <w:widowControl w:val="0"/>
        <w:numPr>
          <w:ilvl w:val="0"/>
          <w:numId w:val="1"/>
        </w:numPr>
        <w:spacing w:line="360" w:lineRule="auto"/>
        <w:ind w:left="1134" w:hanging="567"/>
        <w:jc w:val="both"/>
        <w:rPr>
          <w:rFonts w:ascii="Calibri" w:hAnsi="Calibri" w:cs="Arial"/>
          <w:sz w:val="22"/>
          <w:szCs w:val="22"/>
        </w:rPr>
      </w:pPr>
      <w:r>
        <w:rPr>
          <w:rFonts w:ascii="Calibri" w:hAnsi="Calibri" w:cs="Arial"/>
          <w:sz w:val="22"/>
          <w:szCs w:val="22"/>
        </w:rPr>
        <w:t>k</w:t>
      </w:r>
      <w:r w:rsidRPr="00870569">
        <w:rPr>
          <w:rFonts w:ascii="Calibri" w:hAnsi="Calibri" w:cs="Arial"/>
          <w:sz w:val="22"/>
          <w:szCs w:val="22"/>
        </w:rPr>
        <w:t>oszty świadczeń pracowniczych nie uległy zmianie w porównaniu do analogicznego okresu.</w:t>
      </w:r>
    </w:p>
    <w:p w14:paraId="6D02D2D3" w14:textId="77777777" w:rsidR="00870569" w:rsidRPr="00E13038" w:rsidRDefault="00870569" w:rsidP="00870569">
      <w:pPr>
        <w:widowControl w:val="0"/>
        <w:spacing w:line="360" w:lineRule="auto"/>
        <w:ind w:left="1134"/>
        <w:jc w:val="both"/>
        <w:rPr>
          <w:rFonts w:ascii="Calibri" w:hAnsi="Calibri" w:cs="Arial"/>
          <w:sz w:val="10"/>
          <w:szCs w:val="10"/>
        </w:rPr>
      </w:pPr>
    </w:p>
    <w:p w14:paraId="205EDA65" w14:textId="77777777" w:rsidR="00870569" w:rsidRPr="00870569" w:rsidRDefault="00870569" w:rsidP="00870569">
      <w:pPr>
        <w:widowControl w:val="0"/>
        <w:tabs>
          <w:tab w:val="left" w:pos="540"/>
        </w:tabs>
        <w:spacing w:line="360" w:lineRule="auto"/>
        <w:ind w:firstLine="567"/>
        <w:jc w:val="both"/>
        <w:rPr>
          <w:rFonts w:ascii="Calibri" w:hAnsi="Calibri" w:cs="Arial"/>
          <w:color w:val="FF0000"/>
          <w:sz w:val="22"/>
          <w:szCs w:val="22"/>
        </w:rPr>
      </w:pPr>
      <w:r w:rsidRPr="00870569">
        <w:rPr>
          <w:rFonts w:ascii="Calibri" w:hAnsi="Calibri" w:cs="Arial"/>
          <w:sz w:val="22"/>
          <w:szCs w:val="22"/>
        </w:rPr>
        <w:t xml:space="preserve">W konsekwencji wyżej opisanych czynników, w pierwszym półroczu 2016 roku Spółka </w:t>
      </w:r>
      <w:r>
        <w:rPr>
          <w:rFonts w:ascii="Calibri" w:hAnsi="Calibri" w:cs="Arial"/>
          <w:sz w:val="22"/>
          <w:szCs w:val="22"/>
        </w:rPr>
        <w:br/>
      </w:r>
      <w:r w:rsidRPr="00870569">
        <w:rPr>
          <w:rFonts w:ascii="Calibri" w:hAnsi="Calibri" w:cs="Arial"/>
          <w:sz w:val="22"/>
          <w:szCs w:val="22"/>
        </w:rPr>
        <w:t xml:space="preserve">uzyskała zysk netto w wysokości 121 tys. zł i w porównaniu do analogicznego okresu 2015 roku zysk netto pozostał na tym samym poziomie. Zysk na pozostałej działalności operacyjnej wynosi </w:t>
      </w:r>
      <w:r w:rsidRPr="00870569">
        <w:rPr>
          <w:rFonts w:ascii="Calibri" w:hAnsi="Calibri" w:cs="Arial"/>
          <w:sz w:val="22"/>
          <w:szCs w:val="22"/>
        </w:rPr>
        <w:br/>
        <w:t>340 tys. zł. Wynik ten jest wyższy o 154 tys. zł wyniku zanotowanego w analogicznym okresie</w:t>
      </w:r>
      <w:r w:rsidRPr="00870569">
        <w:rPr>
          <w:rFonts w:ascii="Calibri" w:hAnsi="Calibri" w:cs="Arial"/>
          <w:color w:val="FF0000"/>
          <w:sz w:val="22"/>
          <w:szCs w:val="22"/>
        </w:rPr>
        <w:t xml:space="preserve"> </w:t>
      </w:r>
      <w:r w:rsidRPr="00870569">
        <w:rPr>
          <w:rFonts w:ascii="Calibri" w:hAnsi="Calibri" w:cs="Arial"/>
          <w:sz w:val="22"/>
          <w:szCs w:val="22"/>
        </w:rPr>
        <w:t>2015 roku, która wynosił 186 tys. zł. Wynik na działalności finansowej wyniósł -185 tys. zł. Strata ta jest wyższa o 68 tys. zł, to jest o 58%, w porównaniu do danych za I półrocze 2015</w:t>
      </w:r>
      <w:r w:rsidRPr="00870569">
        <w:rPr>
          <w:rFonts w:ascii="Calibri" w:hAnsi="Calibri" w:cs="Arial"/>
          <w:color w:val="FF0000"/>
          <w:sz w:val="22"/>
          <w:szCs w:val="22"/>
        </w:rPr>
        <w:t xml:space="preserve"> </w:t>
      </w:r>
      <w:r w:rsidRPr="00870569">
        <w:rPr>
          <w:rFonts w:ascii="Calibri" w:hAnsi="Calibri" w:cs="Arial"/>
          <w:sz w:val="22"/>
          <w:szCs w:val="22"/>
        </w:rPr>
        <w:t xml:space="preserve">roku. Spowodowana jest ona przez rosnące koszty związane z obsługą zaciągniętych kredytów bankowych i pożyczki. </w:t>
      </w:r>
    </w:p>
    <w:p w14:paraId="71ED2456" w14:textId="77777777" w:rsidR="00870569" w:rsidRPr="00E13038" w:rsidRDefault="00870569" w:rsidP="00870569">
      <w:pPr>
        <w:widowControl w:val="0"/>
        <w:tabs>
          <w:tab w:val="left" w:pos="540"/>
        </w:tabs>
        <w:ind w:left="567"/>
        <w:jc w:val="both"/>
        <w:rPr>
          <w:rFonts w:ascii="Calibri" w:hAnsi="Calibri" w:cs="Arial"/>
          <w:b/>
          <w:color w:val="FF0000"/>
          <w:sz w:val="10"/>
          <w:szCs w:val="10"/>
        </w:rPr>
      </w:pPr>
    </w:p>
    <w:p w14:paraId="3197FAAB" w14:textId="2147D14A" w:rsidR="001F4E2B" w:rsidRDefault="001F4E2B">
      <w:pPr>
        <w:rPr>
          <w:rFonts w:ascii="Calibri" w:hAnsi="Calibri" w:cs="Arial"/>
          <w:b/>
          <w:sz w:val="16"/>
          <w:szCs w:val="16"/>
        </w:rPr>
      </w:pPr>
      <w:r>
        <w:rPr>
          <w:rFonts w:ascii="Calibri" w:hAnsi="Calibri" w:cs="Arial"/>
          <w:b/>
          <w:sz w:val="16"/>
          <w:szCs w:val="16"/>
        </w:rPr>
        <w:br w:type="page"/>
      </w:r>
    </w:p>
    <w:p w14:paraId="2E783CAD" w14:textId="77777777" w:rsidR="00870569" w:rsidRPr="00F358E0" w:rsidRDefault="00870569" w:rsidP="00870569">
      <w:pPr>
        <w:widowControl w:val="0"/>
        <w:tabs>
          <w:tab w:val="left" w:pos="540"/>
        </w:tabs>
        <w:ind w:left="567"/>
        <w:jc w:val="both"/>
        <w:rPr>
          <w:rFonts w:ascii="Calibri" w:hAnsi="Calibri" w:cs="Arial"/>
          <w:b/>
        </w:rPr>
      </w:pPr>
      <w:r w:rsidRPr="00F358E0">
        <w:rPr>
          <w:rFonts w:ascii="Calibri" w:hAnsi="Calibri" w:cs="Arial"/>
          <w:b/>
        </w:rPr>
        <w:lastRenderedPageBreak/>
        <w:t>Segmenty działalności</w:t>
      </w:r>
    </w:p>
    <w:p w14:paraId="55BC886C" w14:textId="77777777" w:rsidR="00870569" w:rsidRPr="006E4409" w:rsidRDefault="00870569" w:rsidP="00870569">
      <w:pPr>
        <w:widowControl w:val="0"/>
        <w:tabs>
          <w:tab w:val="left" w:pos="540"/>
        </w:tabs>
        <w:ind w:left="567"/>
        <w:jc w:val="both"/>
        <w:rPr>
          <w:rFonts w:ascii="Calibri" w:hAnsi="Calibri" w:cs="Arial"/>
          <w:b/>
          <w:color w:val="FF0000"/>
        </w:rPr>
      </w:pPr>
    </w:p>
    <w:tbl>
      <w:tblPr>
        <w:tblW w:w="8940" w:type="dxa"/>
        <w:jc w:val="center"/>
        <w:tblCellMar>
          <w:left w:w="70" w:type="dxa"/>
          <w:right w:w="70" w:type="dxa"/>
        </w:tblCellMar>
        <w:tblLook w:val="04A0" w:firstRow="1" w:lastRow="0" w:firstColumn="1" w:lastColumn="0" w:noHBand="0" w:noVBand="1"/>
      </w:tblPr>
      <w:tblGrid>
        <w:gridCol w:w="4776"/>
        <w:gridCol w:w="2072"/>
        <w:gridCol w:w="2092"/>
      </w:tblGrid>
      <w:tr w:rsidR="00870569" w:rsidRPr="00C40321" w14:paraId="38AEAD42"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3CCA6D54" w14:textId="77777777" w:rsidR="00870569" w:rsidRPr="00C40321" w:rsidRDefault="00870569" w:rsidP="00E13038">
            <w:pPr>
              <w:rPr>
                <w:rFonts w:ascii="Calibri" w:hAnsi="Calibri" w:cs="Arial"/>
                <w:b/>
                <w:bCs/>
                <w:sz w:val="18"/>
                <w:szCs w:val="18"/>
              </w:rPr>
            </w:pPr>
          </w:p>
        </w:tc>
        <w:tc>
          <w:tcPr>
            <w:tcW w:w="4164" w:type="dxa"/>
            <w:gridSpan w:val="2"/>
            <w:tcBorders>
              <w:top w:val="nil"/>
              <w:left w:val="nil"/>
              <w:bottom w:val="nil"/>
              <w:right w:val="nil"/>
            </w:tcBorders>
            <w:shd w:val="clear" w:color="auto" w:fill="auto"/>
            <w:vAlign w:val="center"/>
            <w:hideMark/>
          </w:tcPr>
          <w:p w14:paraId="3CD0FE0A" w14:textId="77777777" w:rsidR="00870569" w:rsidRPr="00C40321" w:rsidRDefault="00870569" w:rsidP="00E13038">
            <w:pPr>
              <w:jc w:val="center"/>
              <w:rPr>
                <w:rFonts w:ascii="Calibri" w:hAnsi="Calibri" w:cs="Arial"/>
                <w:b/>
                <w:bCs/>
                <w:sz w:val="18"/>
                <w:szCs w:val="18"/>
              </w:rPr>
            </w:pPr>
            <w:r w:rsidRPr="00C40321">
              <w:rPr>
                <w:rFonts w:ascii="Calibri" w:hAnsi="Calibri" w:cs="Arial"/>
                <w:b/>
                <w:bCs/>
                <w:sz w:val="18"/>
                <w:szCs w:val="18"/>
              </w:rPr>
              <w:t>okres sprawozdawczy</w:t>
            </w:r>
          </w:p>
        </w:tc>
      </w:tr>
      <w:tr w:rsidR="00870569" w:rsidRPr="00C40321" w14:paraId="7048FB60"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20399ED6" w14:textId="77777777" w:rsidR="00870569" w:rsidRPr="00C40321" w:rsidRDefault="00870569" w:rsidP="00E13038">
            <w:pPr>
              <w:rPr>
                <w:rFonts w:ascii="Calibri" w:hAnsi="Calibri" w:cs="Arial"/>
                <w:b/>
                <w:bCs/>
                <w:sz w:val="18"/>
                <w:szCs w:val="18"/>
              </w:rPr>
            </w:pPr>
          </w:p>
        </w:tc>
        <w:tc>
          <w:tcPr>
            <w:tcW w:w="2072" w:type="dxa"/>
            <w:tcBorders>
              <w:top w:val="nil"/>
              <w:left w:val="nil"/>
              <w:bottom w:val="nil"/>
              <w:right w:val="nil"/>
            </w:tcBorders>
            <w:shd w:val="clear" w:color="000000" w:fill="D9D9D9" w:themeFill="background1" w:themeFillShade="D9"/>
            <w:vAlign w:val="center"/>
            <w:hideMark/>
          </w:tcPr>
          <w:p w14:paraId="5D8F33C2" w14:textId="77777777" w:rsidR="00870569" w:rsidRPr="00C40321" w:rsidRDefault="00870569" w:rsidP="00E13038">
            <w:pPr>
              <w:jc w:val="center"/>
              <w:rPr>
                <w:rFonts w:ascii="Calibri" w:hAnsi="Calibri" w:cs="Arial"/>
                <w:b/>
                <w:bCs/>
                <w:sz w:val="18"/>
                <w:szCs w:val="18"/>
              </w:rPr>
            </w:pPr>
            <w:r w:rsidRPr="00C40321">
              <w:rPr>
                <w:rFonts w:ascii="Calibri" w:hAnsi="Calibri" w:cs="Arial"/>
                <w:b/>
                <w:bCs/>
                <w:sz w:val="18"/>
                <w:szCs w:val="18"/>
              </w:rPr>
              <w:t xml:space="preserve">za 6 miesięcy </w:t>
            </w:r>
          </w:p>
        </w:tc>
        <w:tc>
          <w:tcPr>
            <w:tcW w:w="2092" w:type="dxa"/>
            <w:tcBorders>
              <w:top w:val="nil"/>
              <w:left w:val="nil"/>
              <w:bottom w:val="nil"/>
              <w:right w:val="nil"/>
            </w:tcBorders>
            <w:shd w:val="clear" w:color="auto" w:fill="auto"/>
            <w:vAlign w:val="center"/>
            <w:hideMark/>
          </w:tcPr>
          <w:p w14:paraId="59C18645" w14:textId="77777777" w:rsidR="00870569" w:rsidRPr="00C40321" w:rsidRDefault="00870569" w:rsidP="00E13038">
            <w:pPr>
              <w:jc w:val="center"/>
              <w:rPr>
                <w:rFonts w:ascii="Calibri" w:hAnsi="Calibri" w:cs="Arial"/>
                <w:b/>
                <w:bCs/>
                <w:sz w:val="18"/>
                <w:szCs w:val="18"/>
              </w:rPr>
            </w:pPr>
            <w:r w:rsidRPr="00C40321">
              <w:rPr>
                <w:rFonts w:ascii="Calibri" w:hAnsi="Calibri" w:cs="Arial"/>
                <w:b/>
                <w:bCs/>
                <w:sz w:val="18"/>
                <w:szCs w:val="18"/>
              </w:rPr>
              <w:t xml:space="preserve">za 6 miesięcy </w:t>
            </w:r>
          </w:p>
        </w:tc>
      </w:tr>
      <w:tr w:rsidR="00870569" w:rsidRPr="00C40321" w14:paraId="61CE261A" w14:textId="77777777" w:rsidTr="00870569">
        <w:trPr>
          <w:trHeight w:val="300"/>
          <w:jc w:val="center"/>
        </w:trPr>
        <w:tc>
          <w:tcPr>
            <w:tcW w:w="4776" w:type="dxa"/>
            <w:tcBorders>
              <w:top w:val="nil"/>
              <w:left w:val="nil"/>
              <w:bottom w:val="nil"/>
              <w:right w:val="nil"/>
            </w:tcBorders>
            <w:shd w:val="clear" w:color="auto" w:fill="auto"/>
            <w:noWrap/>
            <w:vAlign w:val="center"/>
            <w:hideMark/>
          </w:tcPr>
          <w:p w14:paraId="3AE08ACF" w14:textId="77777777" w:rsidR="00870569" w:rsidRPr="00C40321" w:rsidRDefault="00870569" w:rsidP="00E13038">
            <w:pPr>
              <w:rPr>
                <w:rFonts w:ascii="Calibri" w:hAnsi="Calibri" w:cs="Arial"/>
                <w:b/>
                <w:bCs/>
                <w:sz w:val="18"/>
                <w:szCs w:val="18"/>
              </w:rPr>
            </w:pPr>
          </w:p>
        </w:tc>
        <w:tc>
          <w:tcPr>
            <w:tcW w:w="2072" w:type="dxa"/>
            <w:tcBorders>
              <w:top w:val="nil"/>
              <w:left w:val="nil"/>
              <w:bottom w:val="nil"/>
              <w:right w:val="nil"/>
            </w:tcBorders>
            <w:shd w:val="clear" w:color="000000" w:fill="D9D9D9" w:themeFill="background1" w:themeFillShade="D9"/>
            <w:vAlign w:val="center"/>
            <w:hideMark/>
          </w:tcPr>
          <w:p w14:paraId="533A07A2" w14:textId="77777777" w:rsidR="00870569" w:rsidRPr="00C40321" w:rsidRDefault="00870569" w:rsidP="00E13038">
            <w:pPr>
              <w:jc w:val="center"/>
              <w:rPr>
                <w:rFonts w:ascii="Calibri" w:hAnsi="Calibri" w:cs="Arial"/>
                <w:b/>
                <w:bCs/>
                <w:sz w:val="18"/>
                <w:szCs w:val="18"/>
              </w:rPr>
            </w:pPr>
            <w:r w:rsidRPr="00C40321">
              <w:rPr>
                <w:rFonts w:ascii="Calibri" w:hAnsi="Calibri" w:cs="Arial"/>
                <w:b/>
                <w:bCs/>
                <w:sz w:val="18"/>
                <w:szCs w:val="18"/>
              </w:rPr>
              <w:t>od 01.01.2016</w:t>
            </w:r>
          </w:p>
        </w:tc>
        <w:tc>
          <w:tcPr>
            <w:tcW w:w="2092" w:type="dxa"/>
            <w:tcBorders>
              <w:top w:val="nil"/>
              <w:left w:val="nil"/>
              <w:bottom w:val="nil"/>
              <w:right w:val="nil"/>
            </w:tcBorders>
            <w:shd w:val="clear" w:color="auto" w:fill="auto"/>
            <w:vAlign w:val="center"/>
            <w:hideMark/>
          </w:tcPr>
          <w:p w14:paraId="7443A2EC" w14:textId="77777777" w:rsidR="00870569" w:rsidRPr="00C40321" w:rsidRDefault="00870569" w:rsidP="00E13038">
            <w:pPr>
              <w:jc w:val="center"/>
              <w:rPr>
                <w:rFonts w:ascii="Calibri" w:hAnsi="Calibri" w:cs="Arial"/>
                <w:b/>
                <w:bCs/>
                <w:sz w:val="18"/>
                <w:szCs w:val="18"/>
              </w:rPr>
            </w:pPr>
            <w:r w:rsidRPr="00C40321">
              <w:rPr>
                <w:rFonts w:ascii="Calibri" w:hAnsi="Calibri" w:cs="Arial"/>
                <w:b/>
                <w:bCs/>
                <w:sz w:val="18"/>
                <w:szCs w:val="18"/>
              </w:rPr>
              <w:t>od 01.01.2015</w:t>
            </w:r>
          </w:p>
        </w:tc>
      </w:tr>
      <w:tr w:rsidR="00870569" w:rsidRPr="00C40321" w14:paraId="41F5A004" w14:textId="77777777" w:rsidTr="00870569">
        <w:trPr>
          <w:trHeight w:val="300"/>
          <w:jc w:val="center"/>
        </w:trPr>
        <w:tc>
          <w:tcPr>
            <w:tcW w:w="4776" w:type="dxa"/>
            <w:tcBorders>
              <w:top w:val="nil"/>
              <w:left w:val="nil"/>
              <w:bottom w:val="nil"/>
              <w:right w:val="nil"/>
            </w:tcBorders>
            <w:shd w:val="clear" w:color="auto" w:fill="auto"/>
            <w:noWrap/>
            <w:vAlign w:val="center"/>
            <w:hideMark/>
          </w:tcPr>
          <w:p w14:paraId="3C98A2B7" w14:textId="77777777" w:rsidR="00870569" w:rsidRPr="00C40321" w:rsidRDefault="00870569" w:rsidP="00E13038">
            <w:pPr>
              <w:rPr>
                <w:rFonts w:ascii="Calibri" w:hAnsi="Calibri" w:cs="Arial"/>
                <w:sz w:val="18"/>
                <w:szCs w:val="18"/>
              </w:rPr>
            </w:pPr>
          </w:p>
        </w:tc>
        <w:tc>
          <w:tcPr>
            <w:tcW w:w="2072" w:type="dxa"/>
            <w:tcBorders>
              <w:top w:val="nil"/>
              <w:left w:val="nil"/>
              <w:bottom w:val="nil"/>
              <w:right w:val="nil"/>
            </w:tcBorders>
            <w:shd w:val="clear" w:color="000000" w:fill="D9D9D9" w:themeFill="background1" w:themeFillShade="D9"/>
            <w:vAlign w:val="center"/>
            <w:hideMark/>
          </w:tcPr>
          <w:p w14:paraId="46A71634" w14:textId="77777777" w:rsidR="00870569" w:rsidRPr="00C40321" w:rsidRDefault="00870569" w:rsidP="00E13038">
            <w:pPr>
              <w:jc w:val="center"/>
              <w:rPr>
                <w:rFonts w:ascii="Calibri" w:hAnsi="Calibri" w:cs="Arial"/>
                <w:b/>
                <w:bCs/>
                <w:color w:val="000000"/>
                <w:sz w:val="18"/>
                <w:szCs w:val="18"/>
              </w:rPr>
            </w:pPr>
            <w:r w:rsidRPr="00C40321">
              <w:rPr>
                <w:rFonts w:ascii="Calibri" w:hAnsi="Calibri" w:cs="Arial"/>
                <w:b/>
                <w:bCs/>
                <w:color w:val="000000"/>
                <w:sz w:val="18"/>
                <w:szCs w:val="18"/>
              </w:rPr>
              <w:t>do 30.06.2016</w:t>
            </w:r>
          </w:p>
        </w:tc>
        <w:tc>
          <w:tcPr>
            <w:tcW w:w="2092" w:type="dxa"/>
            <w:tcBorders>
              <w:top w:val="nil"/>
              <w:left w:val="nil"/>
              <w:bottom w:val="nil"/>
              <w:right w:val="nil"/>
            </w:tcBorders>
            <w:shd w:val="clear" w:color="auto" w:fill="auto"/>
            <w:vAlign w:val="center"/>
            <w:hideMark/>
          </w:tcPr>
          <w:p w14:paraId="130BACEC" w14:textId="77777777" w:rsidR="00870569" w:rsidRPr="00C40321" w:rsidRDefault="00870569" w:rsidP="00E13038">
            <w:pPr>
              <w:jc w:val="center"/>
              <w:rPr>
                <w:rFonts w:ascii="Calibri" w:hAnsi="Calibri" w:cs="Arial"/>
                <w:b/>
                <w:bCs/>
                <w:color w:val="000000"/>
                <w:sz w:val="18"/>
                <w:szCs w:val="18"/>
              </w:rPr>
            </w:pPr>
            <w:r w:rsidRPr="00C40321">
              <w:rPr>
                <w:rFonts w:ascii="Calibri" w:hAnsi="Calibri" w:cs="Arial"/>
                <w:b/>
                <w:bCs/>
                <w:color w:val="000000"/>
                <w:sz w:val="18"/>
                <w:szCs w:val="18"/>
              </w:rPr>
              <w:t>do 30.06.2015</w:t>
            </w:r>
          </w:p>
        </w:tc>
      </w:tr>
      <w:tr w:rsidR="00870569" w:rsidRPr="00C40321" w14:paraId="17107B7B" w14:textId="77777777" w:rsidTr="00870569">
        <w:trPr>
          <w:trHeight w:val="300"/>
          <w:jc w:val="center"/>
        </w:trPr>
        <w:tc>
          <w:tcPr>
            <w:tcW w:w="4776" w:type="dxa"/>
            <w:tcBorders>
              <w:top w:val="nil"/>
              <w:left w:val="nil"/>
              <w:bottom w:val="nil"/>
              <w:right w:val="nil"/>
            </w:tcBorders>
            <w:shd w:val="clear" w:color="auto" w:fill="auto"/>
            <w:noWrap/>
            <w:vAlign w:val="center"/>
            <w:hideMark/>
          </w:tcPr>
          <w:p w14:paraId="0708A1D5" w14:textId="77777777" w:rsidR="00870569" w:rsidRPr="00C40321" w:rsidRDefault="00870569" w:rsidP="00E13038">
            <w:pPr>
              <w:rPr>
                <w:rFonts w:ascii="Calibri" w:hAnsi="Calibri" w:cs="Arial"/>
                <w:sz w:val="18"/>
                <w:szCs w:val="18"/>
              </w:rPr>
            </w:pPr>
          </w:p>
        </w:tc>
        <w:tc>
          <w:tcPr>
            <w:tcW w:w="2072" w:type="dxa"/>
            <w:tcBorders>
              <w:top w:val="single" w:sz="4" w:space="0" w:color="auto"/>
              <w:left w:val="nil"/>
              <w:bottom w:val="nil"/>
              <w:right w:val="nil"/>
            </w:tcBorders>
            <w:shd w:val="clear" w:color="000000" w:fill="D9D9D9" w:themeFill="background1" w:themeFillShade="D9"/>
            <w:vAlign w:val="center"/>
            <w:hideMark/>
          </w:tcPr>
          <w:p w14:paraId="71351CD3" w14:textId="77777777" w:rsidR="00870569" w:rsidRPr="00C40321" w:rsidRDefault="00870569" w:rsidP="00E13038">
            <w:pPr>
              <w:jc w:val="center"/>
              <w:rPr>
                <w:rFonts w:ascii="Calibri" w:hAnsi="Calibri" w:cs="Arial"/>
                <w:b/>
                <w:bCs/>
                <w:color w:val="000000"/>
                <w:sz w:val="18"/>
                <w:szCs w:val="18"/>
              </w:rPr>
            </w:pPr>
            <w:r w:rsidRPr="00C40321">
              <w:rPr>
                <w:rFonts w:ascii="Calibri" w:hAnsi="Calibri" w:cs="Arial"/>
                <w:b/>
                <w:bCs/>
                <w:color w:val="000000"/>
                <w:sz w:val="18"/>
                <w:szCs w:val="18"/>
              </w:rPr>
              <w:t>(niebadany)</w:t>
            </w:r>
          </w:p>
        </w:tc>
        <w:tc>
          <w:tcPr>
            <w:tcW w:w="2092" w:type="dxa"/>
            <w:tcBorders>
              <w:top w:val="single" w:sz="4" w:space="0" w:color="auto"/>
              <w:left w:val="nil"/>
              <w:bottom w:val="nil"/>
              <w:right w:val="nil"/>
            </w:tcBorders>
            <w:shd w:val="clear" w:color="auto" w:fill="auto"/>
            <w:vAlign w:val="center"/>
            <w:hideMark/>
          </w:tcPr>
          <w:p w14:paraId="1D9FD08D" w14:textId="77777777" w:rsidR="00870569" w:rsidRPr="00C40321" w:rsidRDefault="00870569" w:rsidP="00E13038">
            <w:pPr>
              <w:jc w:val="center"/>
              <w:rPr>
                <w:rFonts w:ascii="Calibri" w:hAnsi="Calibri" w:cs="Arial"/>
                <w:b/>
                <w:bCs/>
                <w:color w:val="000000"/>
                <w:sz w:val="18"/>
                <w:szCs w:val="18"/>
              </w:rPr>
            </w:pPr>
            <w:r w:rsidRPr="00C40321">
              <w:rPr>
                <w:rFonts w:ascii="Calibri" w:hAnsi="Calibri" w:cs="Arial"/>
                <w:b/>
                <w:bCs/>
                <w:color w:val="000000"/>
                <w:sz w:val="18"/>
                <w:szCs w:val="18"/>
              </w:rPr>
              <w:t>(niebadany)</w:t>
            </w:r>
          </w:p>
        </w:tc>
      </w:tr>
      <w:tr w:rsidR="00870569" w:rsidRPr="00C40321" w14:paraId="241D29E2" w14:textId="77777777" w:rsidTr="00870569">
        <w:trPr>
          <w:trHeight w:val="225"/>
          <w:jc w:val="center"/>
        </w:trPr>
        <w:tc>
          <w:tcPr>
            <w:tcW w:w="4776" w:type="dxa"/>
            <w:tcBorders>
              <w:top w:val="nil"/>
              <w:left w:val="nil"/>
              <w:bottom w:val="nil"/>
              <w:right w:val="nil"/>
            </w:tcBorders>
            <w:shd w:val="clear" w:color="auto" w:fill="auto"/>
            <w:noWrap/>
            <w:vAlign w:val="center"/>
            <w:hideMark/>
          </w:tcPr>
          <w:p w14:paraId="6E5DD162" w14:textId="77777777" w:rsidR="00870569" w:rsidRPr="00C40321" w:rsidRDefault="00870569" w:rsidP="00E13038">
            <w:pPr>
              <w:rPr>
                <w:rFonts w:ascii="Calibri" w:hAnsi="Calibri" w:cs="Arial"/>
                <w:sz w:val="18"/>
                <w:szCs w:val="18"/>
              </w:rPr>
            </w:pPr>
          </w:p>
        </w:tc>
        <w:tc>
          <w:tcPr>
            <w:tcW w:w="2072" w:type="dxa"/>
            <w:tcBorders>
              <w:top w:val="nil"/>
              <w:left w:val="nil"/>
              <w:bottom w:val="single" w:sz="4" w:space="0" w:color="auto"/>
              <w:right w:val="nil"/>
            </w:tcBorders>
            <w:shd w:val="clear" w:color="000000" w:fill="D9D9D9" w:themeFill="background1" w:themeFillShade="D9"/>
            <w:vAlign w:val="center"/>
            <w:hideMark/>
          </w:tcPr>
          <w:p w14:paraId="2036832E" w14:textId="77777777" w:rsidR="00870569" w:rsidRPr="00C40321" w:rsidRDefault="00870569" w:rsidP="00E13038">
            <w:pPr>
              <w:jc w:val="center"/>
              <w:rPr>
                <w:rFonts w:ascii="Calibri" w:hAnsi="Calibri" w:cs="Arial"/>
                <w:b/>
                <w:bCs/>
                <w:sz w:val="18"/>
                <w:szCs w:val="18"/>
              </w:rPr>
            </w:pPr>
            <w:r w:rsidRPr="00C40321">
              <w:rPr>
                <w:rFonts w:ascii="Calibri" w:hAnsi="Calibri" w:cs="Arial"/>
                <w:b/>
                <w:bCs/>
                <w:sz w:val="18"/>
                <w:szCs w:val="18"/>
              </w:rPr>
              <w:t>tys. PLN</w:t>
            </w:r>
          </w:p>
        </w:tc>
        <w:tc>
          <w:tcPr>
            <w:tcW w:w="2092" w:type="dxa"/>
            <w:tcBorders>
              <w:top w:val="nil"/>
              <w:left w:val="nil"/>
              <w:bottom w:val="single" w:sz="4" w:space="0" w:color="auto"/>
              <w:right w:val="nil"/>
            </w:tcBorders>
            <w:shd w:val="clear" w:color="auto" w:fill="auto"/>
            <w:vAlign w:val="center"/>
            <w:hideMark/>
          </w:tcPr>
          <w:p w14:paraId="665348CF" w14:textId="77777777" w:rsidR="00870569" w:rsidRPr="00C40321" w:rsidRDefault="00870569" w:rsidP="00E13038">
            <w:pPr>
              <w:jc w:val="center"/>
              <w:rPr>
                <w:rFonts w:ascii="Calibri" w:hAnsi="Calibri" w:cs="Arial"/>
                <w:b/>
                <w:bCs/>
                <w:sz w:val="18"/>
                <w:szCs w:val="18"/>
              </w:rPr>
            </w:pPr>
            <w:r w:rsidRPr="00C40321">
              <w:rPr>
                <w:rFonts w:ascii="Calibri" w:hAnsi="Calibri" w:cs="Arial"/>
                <w:b/>
                <w:bCs/>
                <w:sz w:val="18"/>
                <w:szCs w:val="18"/>
              </w:rPr>
              <w:t>tys. PLN</w:t>
            </w:r>
          </w:p>
        </w:tc>
      </w:tr>
      <w:tr w:rsidR="00870569" w:rsidRPr="00C40321" w14:paraId="2A434672"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0DDC802C"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 xml:space="preserve">SEGMENT A </w:t>
            </w:r>
            <w:r>
              <w:rPr>
                <w:rFonts w:ascii="Calibri" w:hAnsi="Calibri" w:cs="Arial"/>
                <w:b/>
                <w:bCs/>
                <w:sz w:val="18"/>
                <w:szCs w:val="18"/>
              </w:rPr>
              <w:t>–</w:t>
            </w:r>
            <w:r w:rsidRPr="00C40321">
              <w:rPr>
                <w:rFonts w:ascii="Calibri" w:hAnsi="Calibri" w:cs="Arial"/>
                <w:b/>
                <w:bCs/>
                <w:sz w:val="18"/>
                <w:szCs w:val="18"/>
              </w:rPr>
              <w:t xml:space="preserve"> </w:t>
            </w:r>
            <w:r>
              <w:rPr>
                <w:rFonts w:ascii="Calibri" w:hAnsi="Calibri" w:cs="Arial"/>
                <w:b/>
                <w:bCs/>
                <w:sz w:val="18"/>
                <w:szCs w:val="18"/>
              </w:rPr>
              <w:t>ROBOTY BUDOWLANO-MONTAŻOWE</w:t>
            </w:r>
          </w:p>
        </w:tc>
        <w:tc>
          <w:tcPr>
            <w:tcW w:w="2072" w:type="dxa"/>
            <w:tcBorders>
              <w:top w:val="nil"/>
              <w:left w:val="nil"/>
              <w:bottom w:val="nil"/>
              <w:right w:val="nil"/>
            </w:tcBorders>
            <w:shd w:val="clear" w:color="000000" w:fill="D9D9D9" w:themeFill="background1" w:themeFillShade="D9"/>
            <w:noWrap/>
            <w:vAlign w:val="center"/>
            <w:hideMark/>
          </w:tcPr>
          <w:p w14:paraId="5F2DCCE2"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 </w:t>
            </w:r>
          </w:p>
        </w:tc>
        <w:tc>
          <w:tcPr>
            <w:tcW w:w="2092" w:type="dxa"/>
            <w:tcBorders>
              <w:top w:val="nil"/>
              <w:left w:val="nil"/>
              <w:bottom w:val="nil"/>
              <w:right w:val="nil"/>
            </w:tcBorders>
            <w:shd w:val="clear" w:color="auto" w:fill="auto"/>
            <w:noWrap/>
            <w:vAlign w:val="center"/>
            <w:hideMark/>
          </w:tcPr>
          <w:p w14:paraId="7B19DD14" w14:textId="77777777" w:rsidR="00870569" w:rsidRPr="00C40321" w:rsidRDefault="00870569" w:rsidP="00E13038">
            <w:pPr>
              <w:jc w:val="right"/>
              <w:rPr>
                <w:rFonts w:ascii="Calibri" w:hAnsi="Calibri" w:cs="Arial"/>
                <w:sz w:val="18"/>
                <w:szCs w:val="18"/>
              </w:rPr>
            </w:pPr>
          </w:p>
        </w:tc>
      </w:tr>
      <w:tr w:rsidR="00870569" w:rsidRPr="00C40321" w14:paraId="0B79C986"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71F258C1" w14:textId="77777777" w:rsidR="00870569" w:rsidRPr="00C40321" w:rsidRDefault="00870569" w:rsidP="00E13038">
            <w:pPr>
              <w:rPr>
                <w:rFonts w:ascii="Calibri" w:hAnsi="Calibri" w:cs="Arial"/>
                <w:sz w:val="18"/>
                <w:szCs w:val="18"/>
              </w:rPr>
            </w:pPr>
            <w:r w:rsidRPr="00C40321">
              <w:rPr>
                <w:rFonts w:ascii="Calibri" w:hAnsi="Calibri" w:cs="Arial"/>
                <w:sz w:val="18"/>
                <w:szCs w:val="18"/>
              </w:rPr>
              <w:t>Przychody ze sprzedaży</w:t>
            </w:r>
          </w:p>
        </w:tc>
        <w:tc>
          <w:tcPr>
            <w:tcW w:w="2072" w:type="dxa"/>
            <w:tcBorders>
              <w:top w:val="nil"/>
              <w:left w:val="nil"/>
              <w:bottom w:val="nil"/>
              <w:right w:val="nil"/>
            </w:tcBorders>
            <w:shd w:val="clear" w:color="000000" w:fill="D9D9D9" w:themeFill="background1" w:themeFillShade="D9"/>
            <w:noWrap/>
            <w:vAlign w:val="center"/>
            <w:hideMark/>
          </w:tcPr>
          <w:p w14:paraId="7943E00B"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9 776</w:t>
            </w:r>
          </w:p>
        </w:tc>
        <w:tc>
          <w:tcPr>
            <w:tcW w:w="2092" w:type="dxa"/>
            <w:tcBorders>
              <w:top w:val="nil"/>
              <w:left w:val="nil"/>
              <w:bottom w:val="nil"/>
              <w:right w:val="nil"/>
            </w:tcBorders>
            <w:shd w:val="clear" w:color="auto" w:fill="auto"/>
            <w:noWrap/>
            <w:vAlign w:val="center"/>
            <w:hideMark/>
          </w:tcPr>
          <w:p w14:paraId="3BF6F09F"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7 739</w:t>
            </w:r>
          </w:p>
        </w:tc>
      </w:tr>
      <w:tr w:rsidR="00870569" w:rsidRPr="00C40321" w14:paraId="06D9B88A"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5A34D146" w14:textId="77777777" w:rsidR="00870569" w:rsidRPr="00C40321" w:rsidRDefault="00870569" w:rsidP="00E13038">
            <w:pPr>
              <w:rPr>
                <w:rFonts w:ascii="Calibri" w:hAnsi="Calibri" w:cs="Arial"/>
                <w:sz w:val="18"/>
                <w:szCs w:val="18"/>
              </w:rPr>
            </w:pPr>
            <w:r w:rsidRPr="00C40321">
              <w:rPr>
                <w:rFonts w:ascii="Calibri" w:hAnsi="Calibri" w:cs="Arial"/>
                <w:sz w:val="18"/>
                <w:szCs w:val="18"/>
              </w:rPr>
              <w:t>Koszt własny sprzedaży</w:t>
            </w:r>
          </w:p>
        </w:tc>
        <w:tc>
          <w:tcPr>
            <w:tcW w:w="2072" w:type="dxa"/>
            <w:tcBorders>
              <w:top w:val="nil"/>
              <w:left w:val="nil"/>
              <w:bottom w:val="nil"/>
              <w:right w:val="nil"/>
            </w:tcBorders>
            <w:shd w:val="clear" w:color="000000" w:fill="D9D9D9" w:themeFill="background1" w:themeFillShade="D9"/>
            <w:noWrap/>
            <w:vAlign w:val="center"/>
            <w:hideMark/>
          </w:tcPr>
          <w:p w14:paraId="374D6217"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8 547</w:t>
            </w:r>
          </w:p>
        </w:tc>
        <w:tc>
          <w:tcPr>
            <w:tcW w:w="2092" w:type="dxa"/>
            <w:tcBorders>
              <w:top w:val="nil"/>
              <w:left w:val="nil"/>
              <w:bottom w:val="nil"/>
              <w:right w:val="nil"/>
            </w:tcBorders>
            <w:shd w:val="clear" w:color="auto" w:fill="auto"/>
            <w:noWrap/>
            <w:vAlign w:val="center"/>
            <w:hideMark/>
          </w:tcPr>
          <w:p w14:paraId="2EB8E945"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6 410</w:t>
            </w:r>
          </w:p>
        </w:tc>
      </w:tr>
      <w:tr w:rsidR="00870569" w:rsidRPr="00C40321" w14:paraId="27F28076" w14:textId="77777777" w:rsidTr="00870569">
        <w:trPr>
          <w:trHeight w:val="255"/>
          <w:jc w:val="center"/>
        </w:trPr>
        <w:tc>
          <w:tcPr>
            <w:tcW w:w="4776" w:type="dxa"/>
            <w:tcBorders>
              <w:top w:val="nil"/>
              <w:left w:val="nil"/>
              <w:bottom w:val="nil"/>
              <w:right w:val="nil"/>
            </w:tcBorders>
            <w:shd w:val="clear" w:color="auto" w:fill="auto"/>
            <w:noWrap/>
            <w:vAlign w:val="center"/>
            <w:hideMark/>
          </w:tcPr>
          <w:p w14:paraId="698929A6"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Wynik na działalności segmentu</w:t>
            </w:r>
          </w:p>
        </w:tc>
        <w:tc>
          <w:tcPr>
            <w:tcW w:w="207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4E0FA2E4"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1 229</w:t>
            </w:r>
          </w:p>
        </w:tc>
        <w:tc>
          <w:tcPr>
            <w:tcW w:w="2092" w:type="dxa"/>
            <w:tcBorders>
              <w:top w:val="single" w:sz="4" w:space="0" w:color="auto"/>
              <w:left w:val="nil"/>
              <w:bottom w:val="double" w:sz="6" w:space="0" w:color="auto"/>
              <w:right w:val="nil"/>
            </w:tcBorders>
            <w:shd w:val="clear" w:color="auto" w:fill="auto"/>
            <w:noWrap/>
            <w:vAlign w:val="center"/>
            <w:hideMark/>
          </w:tcPr>
          <w:p w14:paraId="48E8D9A6"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1 329</w:t>
            </w:r>
          </w:p>
        </w:tc>
      </w:tr>
      <w:tr w:rsidR="00870569" w:rsidRPr="00C40321" w14:paraId="30EE2A95"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1D36E977"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SEGMENT B - REMONT URZĄDZEŃ I APARATURY</w:t>
            </w:r>
          </w:p>
        </w:tc>
        <w:tc>
          <w:tcPr>
            <w:tcW w:w="2072" w:type="dxa"/>
            <w:tcBorders>
              <w:top w:val="nil"/>
              <w:left w:val="nil"/>
              <w:bottom w:val="nil"/>
              <w:right w:val="nil"/>
            </w:tcBorders>
            <w:shd w:val="clear" w:color="000000" w:fill="D9D9D9" w:themeFill="background1" w:themeFillShade="D9"/>
            <w:noWrap/>
            <w:vAlign w:val="center"/>
            <w:hideMark/>
          </w:tcPr>
          <w:p w14:paraId="5EA72F5A"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 </w:t>
            </w:r>
          </w:p>
        </w:tc>
        <w:tc>
          <w:tcPr>
            <w:tcW w:w="2092" w:type="dxa"/>
            <w:tcBorders>
              <w:top w:val="nil"/>
              <w:left w:val="nil"/>
              <w:bottom w:val="nil"/>
              <w:right w:val="nil"/>
            </w:tcBorders>
            <w:shd w:val="clear" w:color="auto" w:fill="auto"/>
            <w:noWrap/>
            <w:vAlign w:val="center"/>
            <w:hideMark/>
          </w:tcPr>
          <w:p w14:paraId="4ED08794" w14:textId="77777777" w:rsidR="00870569" w:rsidRPr="00C40321" w:rsidRDefault="00870569" w:rsidP="00E13038">
            <w:pPr>
              <w:jc w:val="right"/>
              <w:rPr>
                <w:rFonts w:ascii="Calibri" w:hAnsi="Calibri" w:cs="Arial"/>
                <w:sz w:val="18"/>
                <w:szCs w:val="18"/>
              </w:rPr>
            </w:pPr>
          </w:p>
        </w:tc>
      </w:tr>
      <w:tr w:rsidR="00870569" w:rsidRPr="00C40321" w14:paraId="4E1B1252"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3BE46C99" w14:textId="77777777" w:rsidR="00870569" w:rsidRPr="00C40321" w:rsidRDefault="00870569" w:rsidP="00E13038">
            <w:pPr>
              <w:rPr>
                <w:rFonts w:ascii="Calibri" w:hAnsi="Calibri" w:cs="Arial"/>
                <w:sz w:val="18"/>
                <w:szCs w:val="18"/>
              </w:rPr>
            </w:pPr>
            <w:r w:rsidRPr="00C40321">
              <w:rPr>
                <w:rFonts w:ascii="Calibri" w:hAnsi="Calibri" w:cs="Arial"/>
                <w:sz w:val="18"/>
                <w:szCs w:val="18"/>
              </w:rPr>
              <w:t>Przychody ze sprzedaży</w:t>
            </w:r>
          </w:p>
        </w:tc>
        <w:tc>
          <w:tcPr>
            <w:tcW w:w="2072" w:type="dxa"/>
            <w:tcBorders>
              <w:top w:val="nil"/>
              <w:left w:val="nil"/>
              <w:bottom w:val="nil"/>
              <w:right w:val="nil"/>
            </w:tcBorders>
            <w:shd w:val="clear" w:color="000000" w:fill="D9D9D9" w:themeFill="background1" w:themeFillShade="D9"/>
            <w:noWrap/>
            <w:vAlign w:val="center"/>
            <w:hideMark/>
          </w:tcPr>
          <w:p w14:paraId="4526F496"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822</w:t>
            </w:r>
          </w:p>
        </w:tc>
        <w:tc>
          <w:tcPr>
            <w:tcW w:w="2092" w:type="dxa"/>
            <w:tcBorders>
              <w:top w:val="nil"/>
              <w:left w:val="nil"/>
              <w:bottom w:val="nil"/>
              <w:right w:val="nil"/>
            </w:tcBorders>
            <w:shd w:val="clear" w:color="auto" w:fill="auto"/>
            <w:noWrap/>
            <w:vAlign w:val="center"/>
            <w:hideMark/>
          </w:tcPr>
          <w:p w14:paraId="0281F184"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437</w:t>
            </w:r>
          </w:p>
        </w:tc>
      </w:tr>
      <w:tr w:rsidR="00870569" w:rsidRPr="00C40321" w14:paraId="02EA7BA6"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7F9AA490" w14:textId="77777777" w:rsidR="00870569" w:rsidRPr="00C40321" w:rsidRDefault="00870569" w:rsidP="00E13038">
            <w:pPr>
              <w:rPr>
                <w:rFonts w:ascii="Calibri" w:hAnsi="Calibri" w:cs="Arial"/>
                <w:sz w:val="18"/>
                <w:szCs w:val="18"/>
              </w:rPr>
            </w:pPr>
            <w:r w:rsidRPr="00C40321">
              <w:rPr>
                <w:rFonts w:ascii="Calibri" w:hAnsi="Calibri" w:cs="Arial"/>
                <w:sz w:val="18"/>
                <w:szCs w:val="18"/>
              </w:rPr>
              <w:t>Koszt własny sprzedaży</w:t>
            </w:r>
          </w:p>
        </w:tc>
        <w:tc>
          <w:tcPr>
            <w:tcW w:w="2072" w:type="dxa"/>
            <w:tcBorders>
              <w:top w:val="nil"/>
              <w:left w:val="nil"/>
              <w:bottom w:val="nil"/>
              <w:right w:val="nil"/>
            </w:tcBorders>
            <w:shd w:val="clear" w:color="000000" w:fill="D9D9D9" w:themeFill="background1" w:themeFillShade="D9"/>
            <w:noWrap/>
            <w:vAlign w:val="center"/>
            <w:hideMark/>
          </w:tcPr>
          <w:p w14:paraId="6AA811CF"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662</w:t>
            </w:r>
          </w:p>
        </w:tc>
        <w:tc>
          <w:tcPr>
            <w:tcW w:w="2092" w:type="dxa"/>
            <w:tcBorders>
              <w:top w:val="nil"/>
              <w:left w:val="nil"/>
              <w:bottom w:val="nil"/>
              <w:right w:val="nil"/>
            </w:tcBorders>
            <w:shd w:val="clear" w:color="auto" w:fill="auto"/>
            <w:noWrap/>
            <w:vAlign w:val="center"/>
            <w:hideMark/>
          </w:tcPr>
          <w:p w14:paraId="4CC028CF"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395</w:t>
            </w:r>
          </w:p>
        </w:tc>
      </w:tr>
      <w:tr w:rsidR="00870569" w:rsidRPr="00C40321" w14:paraId="49A42681"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789638BD"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Wynik na działalności segmentu</w:t>
            </w:r>
          </w:p>
        </w:tc>
        <w:tc>
          <w:tcPr>
            <w:tcW w:w="207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360B95A9"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160</w:t>
            </w:r>
          </w:p>
        </w:tc>
        <w:tc>
          <w:tcPr>
            <w:tcW w:w="2092" w:type="dxa"/>
            <w:tcBorders>
              <w:top w:val="single" w:sz="4" w:space="0" w:color="auto"/>
              <w:left w:val="nil"/>
              <w:bottom w:val="double" w:sz="6" w:space="0" w:color="auto"/>
              <w:right w:val="nil"/>
            </w:tcBorders>
            <w:shd w:val="clear" w:color="auto" w:fill="auto"/>
            <w:noWrap/>
            <w:vAlign w:val="center"/>
            <w:hideMark/>
          </w:tcPr>
          <w:p w14:paraId="75794DA2"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42</w:t>
            </w:r>
          </w:p>
        </w:tc>
      </w:tr>
      <w:tr w:rsidR="00870569" w:rsidRPr="00C40321" w14:paraId="5E04199B"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3965F702" w14:textId="77777777" w:rsidR="000A3917" w:rsidRDefault="000A3917" w:rsidP="00E13038">
            <w:pPr>
              <w:rPr>
                <w:rFonts w:ascii="Calibri" w:hAnsi="Calibri" w:cs="Arial"/>
                <w:b/>
                <w:bCs/>
                <w:sz w:val="18"/>
                <w:szCs w:val="18"/>
              </w:rPr>
            </w:pPr>
          </w:p>
          <w:p w14:paraId="17C1E0E5"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SEGMENT C - WYRÓB DENNIC</w:t>
            </w:r>
          </w:p>
        </w:tc>
        <w:tc>
          <w:tcPr>
            <w:tcW w:w="2072" w:type="dxa"/>
            <w:tcBorders>
              <w:top w:val="nil"/>
              <w:left w:val="nil"/>
              <w:bottom w:val="nil"/>
              <w:right w:val="nil"/>
            </w:tcBorders>
            <w:shd w:val="clear" w:color="000000" w:fill="D9D9D9" w:themeFill="background1" w:themeFillShade="D9"/>
            <w:noWrap/>
            <w:vAlign w:val="center"/>
            <w:hideMark/>
          </w:tcPr>
          <w:p w14:paraId="03DD6A84"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 </w:t>
            </w:r>
          </w:p>
        </w:tc>
        <w:tc>
          <w:tcPr>
            <w:tcW w:w="2092" w:type="dxa"/>
            <w:tcBorders>
              <w:top w:val="nil"/>
              <w:left w:val="nil"/>
              <w:bottom w:val="nil"/>
              <w:right w:val="nil"/>
            </w:tcBorders>
            <w:shd w:val="clear" w:color="auto" w:fill="auto"/>
            <w:noWrap/>
            <w:vAlign w:val="center"/>
            <w:hideMark/>
          </w:tcPr>
          <w:p w14:paraId="604BFBB4" w14:textId="77777777" w:rsidR="00870569" w:rsidRPr="00C40321" w:rsidRDefault="00870569" w:rsidP="00E13038">
            <w:pPr>
              <w:jc w:val="right"/>
              <w:rPr>
                <w:rFonts w:ascii="Calibri" w:hAnsi="Calibri" w:cs="Arial"/>
                <w:sz w:val="18"/>
                <w:szCs w:val="18"/>
              </w:rPr>
            </w:pPr>
          </w:p>
        </w:tc>
      </w:tr>
      <w:tr w:rsidR="00870569" w:rsidRPr="00C40321" w14:paraId="7F6658FD"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5E573AC1" w14:textId="77777777" w:rsidR="00870569" w:rsidRPr="00C40321" w:rsidRDefault="00870569" w:rsidP="00E13038">
            <w:pPr>
              <w:rPr>
                <w:rFonts w:ascii="Calibri" w:hAnsi="Calibri" w:cs="Arial"/>
                <w:sz w:val="18"/>
                <w:szCs w:val="18"/>
              </w:rPr>
            </w:pPr>
            <w:r w:rsidRPr="00C40321">
              <w:rPr>
                <w:rFonts w:ascii="Calibri" w:hAnsi="Calibri" w:cs="Arial"/>
                <w:sz w:val="18"/>
                <w:szCs w:val="18"/>
              </w:rPr>
              <w:t>Przychody ze sprzedaży</w:t>
            </w:r>
          </w:p>
        </w:tc>
        <w:tc>
          <w:tcPr>
            <w:tcW w:w="2072" w:type="dxa"/>
            <w:tcBorders>
              <w:top w:val="nil"/>
              <w:left w:val="nil"/>
              <w:bottom w:val="nil"/>
              <w:right w:val="nil"/>
            </w:tcBorders>
            <w:shd w:val="clear" w:color="000000" w:fill="D9D9D9" w:themeFill="background1" w:themeFillShade="D9"/>
            <w:noWrap/>
            <w:vAlign w:val="center"/>
            <w:hideMark/>
          </w:tcPr>
          <w:p w14:paraId="5375EA16"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108</w:t>
            </w:r>
          </w:p>
        </w:tc>
        <w:tc>
          <w:tcPr>
            <w:tcW w:w="2092" w:type="dxa"/>
            <w:tcBorders>
              <w:top w:val="nil"/>
              <w:left w:val="nil"/>
              <w:bottom w:val="nil"/>
              <w:right w:val="nil"/>
            </w:tcBorders>
            <w:shd w:val="clear" w:color="auto" w:fill="auto"/>
            <w:noWrap/>
            <w:vAlign w:val="center"/>
            <w:hideMark/>
          </w:tcPr>
          <w:p w14:paraId="6DA21E03"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107</w:t>
            </w:r>
          </w:p>
        </w:tc>
      </w:tr>
      <w:tr w:rsidR="00870569" w:rsidRPr="00C40321" w14:paraId="7EBFBE8B"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1470E483" w14:textId="77777777" w:rsidR="00870569" w:rsidRPr="00C40321" w:rsidRDefault="00870569" w:rsidP="00E13038">
            <w:pPr>
              <w:rPr>
                <w:rFonts w:ascii="Calibri" w:hAnsi="Calibri" w:cs="Arial"/>
                <w:sz w:val="18"/>
                <w:szCs w:val="18"/>
              </w:rPr>
            </w:pPr>
            <w:r w:rsidRPr="00C40321">
              <w:rPr>
                <w:rFonts w:ascii="Calibri" w:hAnsi="Calibri" w:cs="Arial"/>
                <w:sz w:val="18"/>
                <w:szCs w:val="18"/>
              </w:rPr>
              <w:t>Koszt własny sprzedaży</w:t>
            </w:r>
          </w:p>
        </w:tc>
        <w:tc>
          <w:tcPr>
            <w:tcW w:w="2072" w:type="dxa"/>
            <w:tcBorders>
              <w:top w:val="nil"/>
              <w:left w:val="nil"/>
              <w:bottom w:val="nil"/>
              <w:right w:val="nil"/>
            </w:tcBorders>
            <w:shd w:val="clear" w:color="000000" w:fill="D9D9D9" w:themeFill="background1" w:themeFillShade="D9"/>
            <w:noWrap/>
            <w:vAlign w:val="center"/>
            <w:hideMark/>
          </w:tcPr>
          <w:p w14:paraId="49FB4025"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99</w:t>
            </w:r>
          </w:p>
        </w:tc>
        <w:tc>
          <w:tcPr>
            <w:tcW w:w="2092" w:type="dxa"/>
            <w:tcBorders>
              <w:top w:val="nil"/>
              <w:left w:val="nil"/>
              <w:bottom w:val="nil"/>
              <w:right w:val="nil"/>
            </w:tcBorders>
            <w:shd w:val="clear" w:color="auto" w:fill="auto"/>
            <w:noWrap/>
            <w:vAlign w:val="center"/>
            <w:hideMark/>
          </w:tcPr>
          <w:p w14:paraId="46D89B04"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115</w:t>
            </w:r>
          </w:p>
        </w:tc>
      </w:tr>
      <w:tr w:rsidR="00870569" w:rsidRPr="00C40321" w14:paraId="6D840A7A" w14:textId="77777777" w:rsidTr="00870569">
        <w:trPr>
          <w:trHeight w:val="255"/>
          <w:jc w:val="center"/>
        </w:trPr>
        <w:tc>
          <w:tcPr>
            <w:tcW w:w="4776" w:type="dxa"/>
            <w:tcBorders>
              <w:top w:val="nil"/>
              <w:left w:val="nil"/>
              <w:bottom w:val="nil"/>
              <w:right w:val="nil"/>
            </w:tcBorders>
            <w:shd w:val="clear" w:color="auto" w:fill="auto"/>
            <w:noWrap/>
            <w:vAlign w:val="center"/>
            <w:hideMark/>
          </w:tcPr>
          <w:p w14:paraId="1CFDCF63"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Wynik na działalności segmentu</w:t>
            </w:r>
          </w:p>
        </w:tc>
        <w:tc>
          <w:tcPr>
            <w:tcW w:w="207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5009CA3A"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9</w:t>
            </w:r>
          </w:p>
        </w:tc>
        <w:tc>
          <w:tcPr>
            <w:tcW w:w="2092" w:type="dxa"/>
            <w:tcBorders>
              <w:top w:val="single" w:sz="4" w:space="0" w:color="auto"/>
              <w:left w:val="nil"/>
              <w:bottom w:val="double" w:sz="6" w:space="0" w:color="auto"/>
              <w:right w:val="nil"/>
            </w:tcBorders>
            <w:shd w:val="clear" w:color="auto" w:fill="auto"/>
            <w:noWrap/>
            <w:vAlign w:val="center"/>
            <w:hideMark/>
          </w:tcPr>
          <w:p w14:paraId="229FF4EE"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-8</w:t>
            </w:r>
          </w:p>
        </w:tc>
      </w:tr>
      <w:tr w:rsidR="00870569" w:rsidRPr="00C40321" w14:paraId="4F843B92"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7D92D71D" w14:textId="77777777" w:rsidR="00870569" w:rsidRPr="00C40321" w:rsidRDefault="00870569" w:rsidP="00E13038">
            <w:pPr>
              <w:rPr>
                <w:rFonts w:ascii="Calibri" w:hAnsi="Calibri" w:cs="Arial"/>
                <w:sz w:val="18"/>
                <w:szCs w:val="18"/>
              </w:rPr>
            </w:pPr>
            <w:r w:rsidRPr="00C40321">
              <w:rPr>
                <w:rFonts w:ascii="Calibri" w:hAnsi="Calibri" w:cs="Arial"/>
                <w:sz w:val="18"/>
                <w:szCs w:val="18"/>
              </w:rPr>
              <w:t>Przychody ze sprzedaży towarów i materiałów</w:t>
            </w:r>
          </w:p>
        </w:tc>
        <w:tc>
          <w:tcPr>
            <w:tcW w:w="2072" w:type="dxa"/>
            <w:tcBorders>
              <w:top w:val="nil"/>
              <w:left w:val="nil"/>
              <w:bottom w:val="nil"/>
              <w:right w:val="nil"/>
            </w:tcBorders>
            <w:shd w:val="clear" w:color="000000" w:fill="D9D9D9" w:themeFill="background1" w:themeFillShade="D9"/>
            <w:noWrap/>
            <w:vAlign w:val="center"/>
            <w:hideMark/>
          </w:tcPr>
          <w:p w14:paraId="055369DA"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91</w:t>
            </w:r>
          </w:p>
        </w:tc>
        <w:tc>
          <w:tcPr>
            <w:tcW w:w="2092" w:type="dxa"/>
            <w:tcBorders>
              <w:top w:val="nil"/>
              <w:left w:val="nil"/>
              <w:bottom w:val="nil"/>
              <w:right w:val="nil"/>
            </w:tcBorders>
            <w:shd w:val="clear" w:color="auto" w:fill="auto"/>
            <w:noWrap/>
            <w:vAlign w:val="center"/>
            <w:hideMark/>
          </w:tcPr>
          <w:p w14:paraId="6C107C7A"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120</w:t>
            </w:r>
          </w:p>
        </w:tc>
      </w:tr>
      <w:tr w:rsidR="00870569" w:rsidRPr="00C40321" w14:paraId="147FB4A1"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1EEE3592" w14:textId="77777777" w:rsidR="00870569" w:rsidRPr="00C40321" w:rsidRDefault="00870569" w:rsidP="00E13038">
            <w:pPr>
              <w:rPr>
                <w:rFonts w:ascii="Calibri" w:hAnsi="Calibri" w:cs="Arial"/>
                <w:sz w:val="18"/>
                <w:szCs w:val="18"/>
              </w:rPr>
            </w:pPr>
            <w:r w:rsidRPr="00C40321">
              <w:rPr>
                <w:rFonts w:ascii="Calibri" w:hAnsi="Calibri" w:cs="Arial"/>
                <w:sz w:val="18"/>
                <w:szCs w:val="18"/>
              </w:rPr>
              <w:t>Koszt własny sprzedaży towarów i materiałów</w:t>
            </w:r>
          </w:p>
        </w:tc>
        <w:tc>
          <w:tcPr>
            <w:tcW w:w="2072" w:type="dxa"/>
            <w:tcBorders>
              <w:top w:val="nil"/>
              <w:left w:val="nil"/>
              <w:bottom w:val="nil"/>
              <w:right w:val="nil"/>
            </w:tcBorders>
            <w:shd w:val="clear" w:color="000000" w:fill="D9D9D9" w:themeFill="background1" w:themeFillShade="D9"/>
            <w:noWrap/>
            <w:vAlign w:val="center"/>
            <w:hideMark/>
          </w:tcPr>
          <w:p w14:paraId="3389DA3D"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89</w:t>
            </w:r>
          </w:p>
        </w:tc>
        <w:tc>
          <w:tcPr>
            <w:tcW w:w="2092" w:type="dxa"/>
            <w:tcBorders>
              <w:top w:val="nil"/>
              <w:left w:val="nil"/>
              <w:bottom w:val="nil"/>
              <w:right w:val="nil"/>
            </w:tcBorders>
            <w:shd w:val="clear" w:color="auto" w:fill="auto"/>
            <w:noWrap/>
            <w:vAlign w:val="center"/>
            <w:hideMark/>
          </w:tcPr>
          <w:p w14:paraId="4A86127A"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118</w:t>
            </w:r>
          </w:p>
        </w:tc>
      </w:tr>
      <w:tr w:rsidR="00870569" w:rsidRPr="00C40321" w14:paraId="197382DF" w14:textId="77777777" w:rsidTr="00870569">
        <w:trPr>
          <w:trHeight w:val="255"/>
          <w:jc w:val="center"/>
        </w:trPr>
        <w:tc>
          <w:tcPr>
            <w:tcW w:w="4776" w:type="dxa"/>
            <w:tcBorders>
              <w:top w:val="nil"/>
              <w:left w:val="nil"/>
              <w:bottom w:val="nil"/>
              <w:right w:val="nil"/>
            </w:tcBorders>
            <w:shd w:val="clear" w:color="auto" w:fill="auto"/>
            <w:noWrap/>
            <w:vAlign w:val="center"/>
            <w:hideMark/>
          </w:tcPr>
          <w:p w14:paraId="024143F5"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Wynik na sprzedaży towarów i materiałów</w:t>
            </w:r>
          </w:p>
        </w:tc>
        <w:tc>
          <w:tcPr>
            <w:tcW w:w="207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1CD8BBB6"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2</w:t>
            </w:r>
          </w:p>
        </w:tc>
        <w:tc>
          <w:tcPr>
            <w:tcW w:w="2092" w:type="dxa"/>
            <w:tcBorders>
              <w:top w:val="single" w:sz="4" w:space="0" w:color="auto"/>
              <w:left w:val="nil"/>
              <w:bottom w:val="double" w:sz="6" w:space="0" w:color="auto"/>
              <w:right w:val="nil"/>
            </w:tcBorders>
            <w:shd w:val="clear" w:color="auto" w:fill="auto"/>
            <w:noWrap/>
            <w:vAlign w:val="center"/>
            <w:hideMark/>
          </w:tcPr>
          <w:p w14:paraId="41A60751"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2</w:t>
            </w:r>
          </w:p>
        </w:tc>
      </w:tr>
      <w:tr w:rsidR="00870569" w:rsidRPr="00C40321" w14:paraId="10C03785"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7F7073AF" w14:textId="77777777" w:rsidR="00870569" w:rsidRPr="00C40321" w:rsidRDefault="00870569" w:rsidP="00E13038">
            <w:pPr>
              <w:rPr>
                <w:rFonts w:ascii="Calibri" w:hAnsi="Calibri" w:cs="Arial"/>
                <w:sz w:val="18"/>
                <w:szCs w:val="18"/>
              </w:rPr>
            </w:pPr>
            <w:r w:rsidRPr="00C40321">
              <w:rPr>
                <w:rFonts w:ascii="Calibri" w:hAnsi="Calibri" w:cs="Arial"/>
                <w:sz w:val="18"/>
                <w:szCs w:val="18"/>
              </w:rPr>
              <w:t>Razem przychody</w:t>
            </w:r>
          </w:p>
        </w:tc>
        <w:tc>
          <w:tcPr>
            <w:tcW w:w="2072" w:type="dxa"/>
            <w:tcBorders>
              <w:top w:val="nil"/>
              <w:left w:val="nil"/>
              <w:bottom w:val="nil"/>
              <w:right w:val="nil"/>
            </w:tcBorders>
            <w:shd w:val="clear" w:color="000000" w:fill="D9D9D9" w:themeFill="background1" w:themeFillShade="D9"/>
            <w:noWrap/>
            <w:vAlign w:val="center"/>
            <w:hideMark/>
          </w:tcPr>
          <w:p w14:paraId="1812F624"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10 797</w:t>
            </w:r>
          </w:p>
        </w:tc>
        <w:tc>
          <w:tcPr>
            <w:tcW w:w="2092" w:type="dxa"/>
            <w:tcBorders>
              <w:top w:val="nil"/>
              <w:left w:val="nil"/>
              <w:bottom w:val="nil"/>
              <w:right w:val="nil"/>
            </w:tcBorders>
            <w:shd w:val="clear" w:color="auto" w:fill="auto"/>
            <w:noWrap/>
            <w:vAlign w:val="center"/>
            <w:hideMark/>
          </w:tcPr>
          <w:p w14:paraId="2A797668"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8 403</w:t>
            </w:r>
          </w:p>
        </w:tc>
      </w:tr>
      <w:tr w:rsidR="00870569" w:rsidRPr="00C40321" w14:paraId="749678A6"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391EA496" w14:textId="77777777" w:rsidR="00870569" w:rsidRPr="00C40321" w:rsidRDefault="00870569" w:rsidP="00E13038">
            <w:pPr>
              <w:rPr>
                <w:rFonts w:ascii="Calibri" w:hAnsi="Calibri" w:cs="Arial"/>
                <w:sz w:val="18"/>
                <w:szCs w:val="18"/>
              </w:rPr>
            </w:pPr>
            <w:r w:rsidRPr="00C40321">
              <w:rPr>
                <w:rFonts w:ascii="Calibri" w:hAnsi="Calibri" w:cs="Arial"/>
                <w:sz w:val="18"/>
                <w:szCs w:val="18"/>
              </w:rPr>
              <w:t>Razem koszty</w:t>
            </w:r>
          </w:p>
        </w:tc>
        <w:tc>
          <w:tcPr>
            <w:tcW w:w="2072" w:type="dxa"/>
            <w:tcBorders>
              <w:top w:val="nil"/>
              <w:left w:val="nil"/>
              <w:bottom w:val="nil"/>
              <w:right w:val="nil"/>
            </w:tcBorders>
            <w:shd w:val="clear" w:color="000000" w:fill="D9D9D9" w:themeFill="background1" w:themeFillShade="D9"/>
            <w:noWrap/>
            <w:vAlign w:val="center"/>
            <w:hideMark/>
          </w:tcPr>
          <w:p w14:paraId="679CDBF7"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9 397</w:t>
            </w:r>
          </w:p>
        </w:tc>
        <w:tc>
          <w:tcPr>
            <w:tcW w:w="2092" w:type="dxa"/>
            <w:tcBorders>
              <w:top w:val="nil"/>
              <w:left w:val="nil"/>
              <w:bottom w:val="nil"/>
              <w:right w:val="nil"/>
            </w:tcBorders>
            <w:shd w:val="clear" w:color="auto" w:fill="auto"/>
            <w:noWrap/>
            <w:vAlign w:val="center"/>
            <w:hideMark/>
          </w:tcPr>
          <w:p w14:paraId="07AF8BE5"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7 038</w:t>
            </w:r>
          </w:p>
        </w:tc>
      </w:tr>
      <w:tr w:rsidR="00870569" w:rsidRPr="00C40321" w14:paraId="50FA58F3" w14:textId="77777777" w:rsidTr="00870569">
        <w:trPr>
          <w:trHeight w:val="255"/>
          <w:jc w:val="center"/>
        </w:trPr>
        <w:tc>
          <w:tcPr>
            <w:tcW w:w="4776" w:type="dxa"/>
            <w:tcBorders>
              <w:top w:val="nil"/>
              <w:left w:val="nil"/>
              <w:bottom w:val="nil"/>
              <w:right w:val="nil"/>
            </w:tcBorders>
            <w:shd w:val="clear" w:color="auto" w:fill="auto"/>
            <w:noWrap/>
            <w:vAlign w:val="center"/>
            <w:hideMark/>
          </w:tcPr>
          <w:p w14:paraId="4B9F7BCE"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Razem wynik na sprzedaży</w:t>
            </w:r>
          </w:p>
        </w:tc>
        <w:tc>
          <w:tcPr>
            <w:tcW w:w="207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405D5F49"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1 400</w:t>
            </w:r>
          </w:p>
        </w:tc>
        <w:tc>
          <w:tcPr>
            <w:tcW w:w="2092" w:type="dxa"/>
            <w:tcBorders>
              <w:top w:val="single" w:sz="4" w:space="0" w:color="auto"/>
              <w:left w:val="nil"/>
              <w:bottom w:val="double" w:sz="6" w:space="0" w:color="auto"/>
              <w:right w:val="nil"/>
            </w:tcBorders>
            <w:shd w:val="clear" w:color="auto" w:fill="auto"/>
            <w:noWrap/>
            <w:vAlign w:val="center"/>
            <w:hideMark/>
          </w:tcPr>
          <w:p w14:paraId="591D3801"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1 365</w:t>
            </w:r>
          </w:p>
        </w:tc>
      </w:tr>
      <w:tr w:rsidR="00870569" w:rsidRPr="00C40321" w14:paraId="38FBA6D7"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2F335345" w14:textId="77777777" w:rsidR="00870569" w:rsidRPr="00C40321" w:rsidRDefault="00870569" w:rsidP="00E13038">
            <w:pPr>
              <w:rPr>
                <w:rFonts w:ascii="Calibri" w:hAnsi="Calibri" w:cs="Arial"/>
                <w:sz w:val="18"/>
                <w:szCs w:val="18"/>
              </w:rPr>
            </w:pPr>
            <w:r w:rsidRPr="00C40321">
              <w:rPr>
                <w:rFonts w:ascii="Calibri" w:hAnsi="Calibri" w:cs="Arial"/>
                <w:sz w:val="18"/>
                <w:szCs w:val="18"/>
              </w:rPr>
              <w:t>Koszty ogólne segmentów</w:t>
            </w:r>
          </w:p>
        </w:tc>
        <w:tc>
          <w:tcPr>
            <w:tcW w:w="2072" w:type="dxa"/>
            <w:tcBorders>
              <w:top w:val="nil"/>
              <w:left w:val="nil"/>
              <w:bottom w:val="nil"/>
              <w:right w:val="nil"/>
            </w:tcBorders>
            <w:shd w:val="clear" w:color="000000" w:fill="D9D9D9" w:themeFill="background1" w:themeFillShade="D9"/>
            <w:noWrap/>
            <w:vAlign w:val="center"/>
            <w:hideMark/>
          </w:tcPr>
          <w:p w14:paraId="5F0E549B"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1 056,27</w:t>
            </w:r>
          </w:p>
        </w:tc>
        <w:tc>
          <w:tcPr>
            <w:tcW w:w="2092" w:type="dxa"/>
            <w:tcBorders>
              <w:top w:val="nil"/>
              <w:left w:val="nil"/>
              <w:bottom w:val="nil"/>
              <w:right w:val="nil"/>
            </w:tcBorders>
            <w:shd w:val="clear" w:color="auto" w:fill="auto"/>
            <w:noWrap/>
            <w:vAlign w:val="center"/>
            <w:hideMark/>
          </w:tcPr>
          <w:p w14:paraId="43D0B6A5"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1 204,66</w:t>
            </w:r>
          </w:p>
        </w:tc>
      </w:tr>
      <w:tr w:rsidR="00870569" w:rsidRPr="00C40321" w14:paraId="7F9D171A"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293C6A36" w14:textId="77777777" w:rsidR="00870569" w:rsidRPr="00C40321" w:rsidRDefault="00870569" w:rsidP="00E13038">
            <w:pPr>
              <w:rPr>
                <w:rFonts w:ascii="Calibri" w:hAnsi="Calibri" w:cs="Arial"/>
                <w:sz w:val="18"/>
                <w:szCs w:val="18"/>
              </w:rPr>
            </w:pPr>
            <w:r w:rsidRPr="00C40321">
              <w:rPr>
                <w:rFonts w:ascii="Calibri" w:hAnsi="Calibri" w:cs="Arial"/>
                <w:sz w:val="18"/>
                <w:szCs w:val="18"/>
              </w:rPr>
              <w:t>Pozostałe przychody operacyjne</w:t>
            </w:r>
          </w:p>
        </w:tc>
        <w:tc>
          <w:tcPr>
            <w:tcW w:w="2072" w:type="dxa"/>
            <w:tcBorders>
              <w:top w:val="nil"/>
              <w:left w:val="nil"/>
              <w:bottom w:val="nil"/>
              <w:right w:val="nil"/>
            </w:tcBorders>
            <w:shd w:val="clear" w:color="000000" w:fill="D9D9D9" w:themeFill="background1" w:themeFillShade="D9"/>
            <w:noWrap/>
            <w:vAlign w:val="center"/>
            <w:hideMark/>
          </w:tcPr>
          <w:p w14:paraId="0DC366DF"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17,61</w:t>
            </w:r>
          </w:p>
        </w:tc>
        <w:tc>
          <w:tcPr>
            <w:tcW w:w="2092" w:type="dxa"/>
            <w:tcBorders>
              <w:top w:val="nil"/>
              <w:left w:val="nil"/>
              <w:bottom w:val="nil"/>
              <w:right w:val="nil"/>
            </w:tcBorders>
            <w:shd w:val="clear" w:color="auto" w:fill="auto"/>
            <w:noWrap/>
            <w:vAlign w:val="center"/>
            <w:hideMark/>
          </w:tcPr>
          <w:p w14:paraId="1C4E36E8"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86,19</w:t>
            </w:r>
          </w:p>
        </w:tc>
      </w:tr>
      <w:tr w:rsidR="00870569" w:rsidRPr="00C40321" w14:paraId="43E344B9"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488C42D2" w14:textId="77777777" w:rsidR="00870569" w:rsidRPr="00C40321" w:rsidRDefault="00870569" w:rsidP="00E13038">
            <w:pPr>
              <w:rPr>
                <w:rFonts w:ascii="Calibri" w:hAnsi="Calibri" w:cs="Arial"/>
                <w:sz w:val="18"/>
                <w:szCs w:val="18"/>
              </w:rPr>
            </w:pPr>
            <w:r w:rsidRPr="00C40321">
              <w:rPr>
                <w:rFonts w:ascii="Calibri" w:hAnsi="Calibri" w:cs="Arial"/>
                <w:sz w:val="18"/>
                <w:szCs w:val="18"/>
              </w:rPr>
              <w:t>Pozostałe koszty operacyjne</w:t>
            </w:r>
          </w:p>
        </w:tc>
        <w:tc>
          <w:tcPr>
            <w:tcW w:w="2072" w:type="dxa"/>
            <w:tcBorders>
              <w:top w:val="nil"/>
              <w:left w:val="nil"/>
              <w:bottom w:val="nil"/>
              <w:right w:val="nil"/>
            </w:tcBorders>
            <w:shd w:val="clear" w:color="000000" w:fill="D9D9D9" w:themeFill="background1" w:themeFillShade="D9"/>
            <w:noWrap/>
            <w:vAlign w:val="center"/>
            <w:hideMark/>
          </w:tcPr>
          <w:p w14:paraId="47EC4E3A"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21,19</w:t>
            </w:r>
          </w:p>
        </w:tc>
        <w:tc>
          <w:tcPr>
            <w:tcW w:w="2092" w:type="dxa"/>
            <w:tcBorders>
              <w:top w:val="nil"/>
              <w:left w:val="nil"/>
              <w:bottom w:val="nil"/>
              <w:right w:val="nil"/>
            </w:tcBorders>
            <w:shd w:val="clear" w:color="auto" w:fill="auto"/>
            <w:noWrap/>
            <w:vAlign w:val="center"/>
            <w:hideMark/>
          </w:tcPr>
          <w:p w14:paraId="4F81DC0A"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60,00</w:t>
            </w:r>
          </w:p>
        </w:tc>
      </w:tr>
      <w:tr w:rsidR="00870569" w:rsidRPr="00C40321" w14:paraId="7F2B5741" w14:textId="77777777" w:rsidTr="00870569">
        <w:trPr>
          <w:trHeight w:val="240"/>
          <w:jc w:val="center"/>
        </w:trPr>
        <w:tc>
          <w:tcPr>
            <w:tcW w:w="4776" w:type="dxa"/>
            <w:tcBorders>
              <w:top w:val="nil"/>
              <w:left w:val="nil"/>
              <w:bottom w:val="nil"/>
              <w:right w:val="nil"/>
            </w:tcBorders>
            <w:shd w:val="clear" w:color="auto" w:fill="auto"/>
            <w:noWrap/>
            <w:vAlign w:val="center"/>
            <w:hideMark/>
          </w:tcPr>
          <w:p w14:paraId="00D045ED" w14:textId="77777777" w:rsidR="00870569" w:rsidRPr="00C40321" w:rsidRDefault="00870569" w:rsidP="00E13038">
            <w:pPr>
              <w:rPr>
                <w:rFonts w:ascii="Calibri" w:hAnsi="Calibri" w:cs="Arial"/>
                <w:sz w:val="18"/>
                <w:szCs w:val="18"/>
              </w:rPr>
            </w:pPr>
            <w:r w:rsidRPr="00C40321">
              <w:rPr>
                <w:rFonts w:ascii="Calibri" w:hAnsi="Calibri" w:cs="Arial"/>
                <w:sz w:val="18"/>
                <w:szCs w:val="18"/>
              </w:rPr>
              <w:t>Wynik na działalności finansowej</w:t>
            </w:r>
          </w:p>
        </w:tc>
        <w:tc>
          <w:tcPr>
            <w:tcW w:w="2072" w:type="dxa"/>
            <w:tcBorders>
              <w:top w:val="nil"/>
              <w:left w:val="nil"/>
              <w:bottom w:val="nil"/>
              <w:right w:val="nil"/>
            </w:tcBorders>
            <w:shd w:val="clear" w:color="000000" w:fill="D9D9D9" w:themeFill="background1" w:themeFillShade="D9"/>
            <w:noWrap/>
            <w:vAlign w:val="center"/>
            <w:hideMark/>
          </w:tcPr>
          <w:p w14:paraId="51174AF8"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-185,38</w:t>
            </w:r>
          </w:p>
        </w:tc>
        <w:tc>
          <w:tcPr>
            <w:tcW w:w="2092" w:type="dxa"/>
            <w:tcBorders>
              <w:top w:val="nil"/>
              <w:left w:val="nil"/>
              <w:bottom w:val="nil"/>
              <w:right w:val="nil"/>
            </w:tcBorders>
            <w:shd w:val="clear" w:color="auto" w:fill="auto"/>
            <w:noWrap/>
            <w:vAlign w:val="center"/>
            <w:hideMark/>
          </w:tcPr>
          <w:p w14:paraId="05A3FCF1"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-117,63</w:t>
            </w:r>
          </w:p>
        </w:tc>
      </w:tr>
      <w:tr w:rsidR="00870569" w:rsidRPr="00C40321" w14:paraId="216EB4E5" w14:textId="77777777" w:rsidTr="00870569">
        <w:trPr>
          <w:trHeight w:val="330"/>
          <w:jc w:val="center"/>
        </w:trPr>
        <w:tc>
          <w:tcPr>
            <w:tcW w:w="4776" w:type="dxa"/>
            <w:tcBorders>
              <w:top w:val="nil"/>
              <w:left w:val="nil"/>
              <w:bottom w:val="nil"/>
              <w:right w:val="nil"/>
            </w:tcBorders>
            <w:shd w:val="clear" w:color="auto" w:fill="auto"/>
            <w:noWrap/>
            <w:vAlign w:val="center"/>
            <w:hideMark/>
          </w:tcPr>
          <w:p w14:paraId="3CBF512C"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Zysk przed opodatkowaniem</w:t>
            </w:r>
          </w:p>
        </w:tc>
        <w:tc>
          <w:tcPr>
            <w:tcW w:w="207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1299E8DE"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154,77</w:t>
            </w:r>
          </w:p>
        </w:tc>
        <w:tc>
          <w:tcPr>
            <w:tcW w:w="2092" w:type="dxa"/>
            <w:tcBorders>
              <w:top w:val="single" w:sz="4" w:space="0" w:color="auto"/>
              <w:left w:val="nil"/>
              <w:bottom w:val="double" w:sz="6" w:space="0" w:color="auto"/>
              <w:right w:val="nil"/>
            </w:tcBorders>
            <w:shd w:val="clear" w:color="auto" w:fill="auto"/>
            <w:noWrap/>
            <w:vAlign w:val="center"/>
            <w:hideMark/>
          </w:tcPr>
          <w:p w14:paraId="358744FF"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68,90</w:t>
            </w:r>
          </w:p>
        </w:tc>
      </w:tr>
      <w:tr w:rsidR="00870569" w:rsidRPr="00C40321" w14:paraId="5660CF8C" w14:textId="77777777" w:rsidTr="00870569">
        <w:trPr>
          <w:trHeight w:val="315"/>
          <w:jc w:val="center"/>
        </w:trPr>
        <w:tc>
          <w:tcPr>
            <w:tcW w:w="4776" w:type="dxa"/>
            <w:tcBorders>
              <w:top w:val="nil"/>
              <w:left w:val="nil"/>
              <w:bottom w:val="nil"/>
              <w:right w:val="nil"/>
            </w:tcBorders>
            <w:shd w:val="clear" w:color="auto" w:fill="auto"/>
            <w:noWrap/>
            <w:vAlign w:val="center"/>
            <w:hideMark/>
          </w:tcPr>
          <w:p w14:paraId="2F1E68E5" w14:textId="77777777" w:rsidR="00870569" w:rsidRPr="00C40321" w:rsidRDefault="00870569" w:rsidP="00E13038">
            <w:pPr>
              <w:rPr>
                <w:rFonts w:ascii="Calibri" w:hAnsi="Calibri" w:cs="Arial"/>
                <w:sz w:val="18"/>
                <w:szCs w:val="18"/>
              </w:rPr>
            </w:pPr>
            <w:r w:rsidRPr="00C40321">
              <w:rPr>
                <w:rFonts w:ascii="Calibri" w:hAnsi="Calibri" w:cs="Arial"/>
                <w:sz w:val="18"/>
                <w:szCs w:val="18"/>
              </w:rPr>
              <w:t>Podatek dochodowy</w:t>
            </w:r>
          </w:p>
        </w:tc>
        <w:tc>
          <w:tcPr>
            <w:tcW w:w="2072" w:type="dxa"/>
            <w:tcBorders>
              <w:top w:val="nil"/>
              <w:left w:val="nil"/>
              <w:bottom w:val="nil"/>
              <w:right w:val="nil"/>
            </w:tcBorders>
            <w:shd w:val="clear" w:color="000000" w:fill="D9D9D9" w:themeFill="background1" w:themeFillShade="D9"/>
            <w:noWrap/>
            <w:vAlign w:val="center"/>
            <w:hideMark/>
          </w:tcPr>
          <w:p w14:paraId="3CAAD968"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34,07</w:t>
            </w:r>
          </w:p>
        </w:tc>
        <w:tc>
          <w:tcPr>
            <w:tcW w:w="2092" w:type="dxa"/>
            <w:tcBorders>
              <w:top w:val="nil"/>
              <w:left w:val="nil"/>
              <w:bottom w:val="nil"/>
              <w:right w:val="nil"/>
            </w:tcBorders>
            <w:shd w:val="clear" w:color="auto" w:fill="auto"/>
            <w:noWrap/>
            <w:vAlign w:val="center"/>
            <w:hideMark/>
          </w:tcPr>
          <w:p w14:paraId="016337D0" w14:textId="77777777" w:rsidR="00870569" w:rsidRPr="00C40321" w:rsidRDefault="00870569" w:rsidP="00E13038">
            <w:pPr>
              <w:jc w:val="right"/>
              <w:rPr>
                <w:rFonts w:ascii="Calibri" w:hAnsi="Calibri" w:cs="Arial"/>
                <w:sz w:val="18"/>
                <w:szCs w:val="18"/>
              </w:rPr>
            </w:pPr>
            <w:r w:rsidRPr="00C40321">
              <w:rPr>
                <w:rFonts w:ascii="Calibri" w:hAnsi="Calibri" w:cs="Arial"/>
                <w:sz w:val="18"/>
                <w:szCs w:val="18"/>
              </w:rPr>
              <w:t>-52,68</w:t>
            </w:r>
          </w:p>
        </w:tc>
      </w:tr>
      <w:tr w:rsidR="00870569" w:rsidRPr="00C40321" w14:paraId="1B7FD87A" w14:textId="77777777" w:rsidTr="00870569">
        <w:trPr>
          <w:trHeight w:val="330"/>
          <w:jc w:val="center"/>
        </w:trPr>
        <w:tc>
          <w:tcPr>
            <w:tcW w:w="4776" w:type="dxa"/>
            <w:tcBorders>
              <w:top w:val="nil"/>
              <w:left w:val="nil"/>
              <w:bottom w:val="nil"/>
              <w:right w:val="nil"/>
            </w:tcBorders>
            <w:shd w:val="clear" w:color="auto" w:fill="auto"/>
            <w:noWrap/>
            <w:vAlign w:val="center"/>
            <w:hideMark/>
          </w:tcPr>
          <w:p w14:paraId="5B071569" w14:textId="77777777" w:rsidR="00870569" w:rsidRPr="00C40321" w:rsidRDefault="00870569" w:rsidP="00E13038">
            <w:pPr>
              <w:rPr>
                <w:rFonts w:ascii="Calibri" w:hAnsi="Calibri" w:cs="Arial"/>
                <w:b/>
                <w:bCs/>
                <w:sz w:val="18"/>
                <w:szCs w:val="18"/>
              </w:rPr>
            </w:pPr>
            <w:r w:rsidRPr="00C40321">
              <w:rPr>
                <w:rFonts w:ascii="Calibri" w:hAnsi="Calibri" w:cs="Arial"/>
                <w:b/>
                <w:bCs/>
                <w:sz w:val="18"/>
                <w:szCs w:val="18"/>
              </w:rPr>
              <w:t>Zysk netto</w:t>
            </w:r>
          </w:p>
        </w:tc>
        <w:tc>
          <w:tcPr>
            <w:tcW w:w="2072" w:type="dxa"/>
            <w:tcBorders>
              <w:top w:val="single" w:sz="4" w:space="0" w:color="auto"/>
              <w:left w:val="nil"/>
              <w:bottom w:val="double" w:sz="6" w:space="0" w:color="auto"/>
              <w:right w:val="nil"/>
            </w:tcBorders>
            <w:shd w:val="clear" w:color="000000" w:fill="D9D9D9" w:themeFill="background1" w:themeFillShade="D9"/>
            <w:noWrap/>
            <w:vAlign w:val="center"/>
            <w:hideMark/>
          </w:tcPr>
          <w:p w14:paraId="39CD437F"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120,70</w:t>
            </w:r>
          </w:p>
        </w:tc>
        <w:tc>
          <w:tcPr>
            <w:tcW w:w="2092" w:type="dxa"/>
            <w:tcBorders>
              <w:top w:val="single" w:sz="4" w:space="0" w:color="auto"/>
              <w:left w:val="nil"/>
              <w:bottom w:val="double" w:sz="6" w:space="0" w:color="auto"/>
              <w:right w:val="nil"/>
            </w:tcBorders>
            <w:shd w:val="clear" w:color="auto" w:fill="auto"/>
            <w:noWrap/>
            <w:vAlign w:val="center"/>
            <w:hideMark/>
          </w:tcPr>
          <w:p w14:paraId="12A33DA0" w14:textId="77777777" w:rsidR="00870569" w:rsidRPr="00C40321" w:rsidRDefault="00870569" w:rsidP="00E13038">
            <w:pPr>
              <w:jc w:val="right"/>
              <w:rPr>
                <w:rFonts w:ascii="Calibri" w:hAnsi="Calibri" w:cs="Arial"/>
                <w:b/>
                <w:bCs/>
                <w:sz w:val="18"/>
                <w:szCs w:val="18"/>
              </w:rPr>
            </w:pPr>
            <w:r w:rsidRPr="00C40321">
              <w:rPr>
                <w:rFonts w:ascii="Calibri" w:hAnsi="Calibri" w:cs="Arial"/>
                <w:b/>
                <w:bCs/>
                <w:sz w:val="18"/>
                <w:szCs w:val="18"/>
              </w:rPr>
              <w:t>121,58</w:t>
            </w:r>
          </w:p>
        </w:tc>
      </w:tr>
    </w:tbl>
    <w:p w14:paraId="150E57B0" w14:textId="77777777" w:rsidR="001F4E2B" w:rsidRPr="001F4E2B" w:rsidRDefault="001F4E2B" w:rsidP="00870569">
      <w:pPr>
        <w:pStyle w:val="wypunktowanie1sprawozdanie"/>
        <w:tabs>
          <w:tab w:val="left" w:pos="1134"/>
        </w:tabs>
        <w:spacing w:line="360" w:lineRule="auto"/>
        <w:ind w:firstLine="567"/>
        <w:rPr>
          <w:rFonts w:ascii="Calibri" w:hAnsi="Calibri"/>
          <w:b w:val="0"/>
          <w:sz w:val="2"/>
          <w:szCs w:val="2"/>
        </w:rPr>
      </w:pPr>
    </w:p>
    <w:p w14:paraId="12A08063" w14:textId="77777777" w:rsidR="00870569" w:rsidRPr="00870569" w:rsidRDefault="00870569" w:rsidP="00870569">
      <w:pPr>
        <w:pStyle w:val="wypunktowanie1sprawozdanie"/>
        <w:tabs>
          <w:tab w:val="left" w:pos="1134"/>
        </w:tabs>
        <w:spacing w:line="360" w:lineRule="auto"/>
        <w:ind w:firstLine="567"/>
        <w:rPr>
          <w:rFonts w:ascii="Calibri" w:hAnsi="Calibri"/>
          <w:b w:val="0"/>
          <w:sz w:val="22"/>
          <w:szCs w:val="22"/>
        </w:rPr>
      </w:pPr>
      <w:r w:rsidRPr="00870569">
        <w:rPr>
          <w:rFonts w:ascii="Calibri" w:hAnsi="Calibri"/>
          <w:b w:val="0"/>
          <w:sz w:val="22"/>
          <w:szCs w:val="22"/>
        </w:rPr>
        <w:t>Do czynników wywierających istotny wpływ na poziom wyniku z działalności operacyjnej, osiągniętego w I półroczu 2016 roku, w porównaniu z I półroczem 2015 roku, należy zaliczyć:</w:t>
      </w:r>
    </w:p>
    <w:p w14:paraId="326A150E" w14:textId="77777777" w:rsidR="00870569" w:rsidRPr="00870569" w:rsidRDefault="00870569" w:rsidP="00D73705">
      <w:pPr>
        <w:pStyle w:val="wypunktowanie1sprawozdanie"/>
        <w:numPr>
          <w:ilvl w:val="0"/>
          <w:numId w:val="4"/>
        </w:numPr>
        <w:tabs>
          <w:tab w:val="clear" w:pos="720"/>
        </w:tabs>
        <w:spacing w:after="0" w:line="360" w:lineRule="auto"/>
        <w:ind w:left="1134" w:hanging="567"/>
        <w:rPr>
          <w:rFonts w:ascii="Calibri" w:hAnsi="Calibri"/>
          <w:b w:val="0"/>
          <w:sz w:val="22"/>
          <w:szCs w:val="22"/>
        </w:rPr>
      </w:pPr>
      <w:r w:rsidRPr="00870569">
        <w:rPr>
          <w:rFonts w:ascii="Calibri" w:hAnsi="Calibri"/>
          <w:b w:val="0"/>
          <w:sz w:val="22"/>
          <w:szCs w:val="22"/>
        </w:rPr>
        <w:t xml:space="preserve">wzrost przychodów ze sprzedaży w segmencie Robót budowlano-montażowych </w:t>
      </w:r>
      <w:r>
        <w:rPr>
          <w:rFonts w:ascii="Calibri" w:hAnsi="Calibri"/>
          <w:b w:val="0"/>
          <w:sz w:val="22"/>
          <w:szCs w:val="22"/>
        </w:rPr>
        <w:br/>
      </w:r>
      <w:r w:rsidRPr="00870569">
        <w:rPr>
          <w:rFonts w:ascii="Calibri" w:hAnsi="Calibri"/>
          <w:b w:val="0"/>
          <w:sz w:val="22"/>
          <w:szCs w:val="22"/>
        </w:rPr>
        <w:t xml:space="preserve">o wartość 2 036 tys. zł, przy równoczesnym wzroście kosztów o kwotę 2 137 tys. zł; przychody tego segmentu stanowią 91% ogólnej wartości sprzedaży w 2016 roku </w:t>
      </w:r>
      <w:r>
        <w:rPr>
          <w:rFonts w:ascii="Calibri" w:hAnsi="Calibri"/>
          <w:b w:val="0"/>
          <w:sz w:val="22"/>
          <w:szCs w:val="22"/>
        </w:rPr>
        <w:br/>
      </w:r>
      <w:r w:rsidRPr="00870569">
        <w:rPr>
          <w:rFonts w:ascii="Calibri" w:hAnsi="Calibri"/>
          <w:b w:val="0"/>
          <w:sz w:val="22"/>
          <w:szCs w:val="22"/>
        </w:rPr>
        <w:t xml:space="preserve">i w porównaniu do analogicznych danych za 2015 rok udział tego segmentu </w:t>
      </w:r>
      <w:r>
        <w:rPr>
          <w:rFonts w:ascii="Calibri" w:hAnsi="Calibri"/>
          <w:b w:val="0"/>
          <w:sz w:val="22"/>
          <w:szCs w:val="22"/>
        </w:rPr>
        <w:br/>
      </w:r>
      <w:r w:rsidRPr="00870569">
        <w:rPr>
          <w:rFonts w:ascii="Calibri" w:hAnsi="Calibri"/>
          <w:b w:val="0"/>
          <w:sz w:val="22"/>
          <w:szCs w:val="22"/>
        </w:rPr>
        <w:t>w przychodach spadł o 1 %;</w:t>
      </w:r>
    </w:p>
    <w:p w14:paraId="2AB691AE" w14:textId="77777777" w:rsidR="00870569" w:rsidRPr="00870569" w:rsidRDefault="00870569"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870569">
        <w:rPr>
          <w:rFonts w:ascii="Calibri" w:hAnsi="Calibri"/>
          <w:b w:val="0"/>
          <w:sz w:val="22"/>
          <w:szCs w:val="22"/>
        </w:rPr>
        <w:t xml:space="preserve">spadek marży brutto w segmencie do 13%, w porównaniu do poprzedniego okresu spadek o 4%; </w:t>
      </w:r>
    </w:p>
    <w:p w14:paraId="38FF80A6" w14:textId="77777777" w:rsidR="00870569" w:rsidRPr="00870569" w:rsidRDefault="00870569"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870569">
        <w:rPr>
          <w:rFonts w:ascii="Calibri" w:hAnsi="Calibri"/>
          <w:b w:val="0"/>
          <w:sz w:val="22"/>
          <w:szCs w:val="22"/>
        </w:rPr>
        <w:lastRenderedPageBreak/>
        <w:t xml:space="preserve">wzrost przychodów ze sprzedaży w segmencie Remontów urządzeń i aparatury </w:t>
      </w:r>
      <w:r w:rsidRPr="00870569">
        <w:rPr>
          <w:rFonts w:ascii="Calibri" w:hAnsi="Calibri"/>
          <w:b w:val="0"/>
          <w:sz w:val="22"/>
          <w:szCs w:val="22"/>
        </w:rPr>
        <w:br/>
        <w:t>o 386 tys. zł w porównaniu do I półrocza 2015 roku,</w:t>
      </w:r>
      <w:r w:rsidRPr="00870569">
        <w:rPr>
          <w:rFonts w:ascii="Calibri" w:hAnsi="Calibri"/>
          <w:b w:val="0"/>
          <w:color w:val="FF0000"/>
          <w:sz w:val="22"/>
          <w:szCs w:val="22"/>
        </w:rPr>
        <w:t xml:space="preserve"> </w:t>
      </w:r>
      <w:r w:rsidRPr="00870569">
        <w:rPr>
          <w:rFonts w:ascii="Calibri" w:hAnsi="Calibri"/>
          <w:b w:val="0"/>
          <w:sz w:val="22"/>
          <w:szCs w:val="22"/>
        </w:rPr>
        <w:t xml:space="preserve">przychody tego segmentu </w:t>
      </w:r>
      <w:r>
        <w:rPr>
          <w:rFonts w:ascii="Calibri" w:hAnsi="Calibri"/>
          <w:b w:val="0"/>
          <w:sz w:val="22"/>
          <w:szCs w:val="22"/>
        </w:rPr>
        <w:br/>
      </w:r>
      <w:r w:rsidRPr="00870569">
        <w:rPr>
          <w:rFonts w:ascii="Calibri" w:hAnsi="Calibri"/>
          <w:b w:val="0"/>
          <w:sz w:val="22"/>
          <w:szCs w:val="22"/>
        </w:rPr>
        <w:t xml:space="preserve">stanowią 8% ogólnej wartości sprzedaży w 2016 roku i w porównaniu do danych za </w:t>
      </w:r>
      <w:r>
        <w:rPr>
          <w:rFonts w:ascii="Calibri" w:hAnsi="Calibri"/>
          <w:b w:val="0"/>
          <w:sz w:val="22"/>
          <w:szCs w:val="22"/>
        </w:rPr>
        <w:br/>
      </w:r>
      <w:r w:rsidRPr="00870569">
        <w:rPr>
          <w:rFonts w:ascii="Calibri" w:hAnsi="Calibri"/>
          <w:b w:val="0"/>
          <w:sz w:val="22"/>
          <w:szCs w:val="22"/>
        </w:rPr>
        <w:t xml:space="preserve">2015 rok udział tego segmentu wzrósł o 3 %; </w:t>
      </w:r>
    </w:p>
    <w:p w14:paraId="3CF7423D" w14:textId="77777777" w:rsidR="00870569" w:rsidRPr="00870569" w:rsidRDefault="00870569" w:rsidP="00D73705">
      <w:pPr>
        <w:pStyle w:val="wypunktowanie1sprawozdanie"/>
        <w:numPr>
          <w:ilvl w:val="1"/>
          <w:numId w:val="4"/>
        </w:numPr>
        <w:tabs>
          <w:tab w:val="clear" w:pos="1440"/>
          <w:tab w:val="num" w:pos="1080"/>
        </w:tabs>
        <w:spacing w:before="0" w:after="0" w:line="360" w:lineRule="auto"/>
        <w:ind w:left="1134" w:hanging="567"/>
        <w:rPr>
          <w:rFonts w:ascii="Calibri" w:hAnsi="Calibri"/>
          <w:b w:val="0"/>
          <w:sz w:val="22"/>
          <w:szCs w:val="22"/>
        </w:rPr>
      </w:pPr>
      <w:r w:rsidRPr="00870569">
        <w:rPr>
          <w:rFonts w:ascii="Calibri" w:hAnsi="Calibri"/>
          <w:b w:val="0"/>
          <w:sz w:val="22"/>
          <w:szCs w:val="22"/>
        </w:rPr>
        <w:t>wzrost marży brutto tego segmentu do 20%, w porównaniu do poprzedniego okresu wzrost o 10%;</w:t>
      </w:r>
    </w:p>
    <w:p w14:paraId="74B4E125" w14:textId="77777777" w:rsidR="00870569" w:rsidRPr="00870569" w:rsidRDefault="00870569"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870569">
        <w:rPr>
          <w:rFonts w:ascii="Calibri" w:hAnsi="Calibri"/>
          <w:b w:val="0"/>
          <w:sz w:val="22"/>
          <w:szCs w:val="22"/>
        </w:rPr>
        <w:t xml:space="preserve">wzrost przychodów ze sprzedaży w segmencie Wyrobu dennic o 1 tys. zł </w:t>
      </w:r>
      <w:r w:rsidRPr="00870569">
        <w:rPr>
          <w:rFonts w:ascii="Calibri" w:hAnsi="Calibri"/>
          <w:b w:val="0"/>
          <w:sz w:val="22"/>
          <w:szCs w:val="22"/>
        </w:rPr>
        <w:br/>
        <w:t>w porównaniu do I półrocza 2015 roku, przychody tego segmentu stanowią 1% ogólnej wartości sprzedaży w 2016 roku i w porównaniu do danych za 2015 rok</w:t>
      </w:r>
      <w:r w:rsidRPr="00870569">
        <w:rPr>
          <w:rFonts w:ascii="Calibri" w:hAnsi="Calibri"/>
          <w:b w:val="0"/>
          <w:color w:val="FF0000"/>
          <w:sz w:val="22"/>
          <w:szCs w:val="22"/>
        </w:rPr>
        <w:t xml:space="preserve"> </w:t>
      </w:r>
      <w:r w:rsidRPr="00870569">
        <w:rPr>
          <w:rFonts w:ascii="Calibri" w:hAnsi="Calibri"/>
          <w:b w:val="0"/>
          <w:sz w:val="22"/>
          <w:szCs w:val="22"/>
        </w:rPr>
        <w:t xml:space="preserve">udział tego segmentu utrzymał się na nie zmienionym poziomie co w poprzednim okresie; </w:t>
      </w:r>
    </w:p>
    <w:p w14:paraId="5A2E311D" w14:textId="77777777" w:rsidR="00870569" w:rsidRPr="00870569" w:rsidRDefault="00870569" w:rsidP="00D73705">
      <w:pPr>
        <w:pStyle w:val="wypunktowanie1sprawozdanie"/>
        <w:numPr>
          <w:ilvl w:val="1"/>
          <w:numId w:val="4"/>
        </w:numPr>
        <w:tabs>
          <w:tab w:val="clear" w:pos="1440"/>
          <w:tab w:val="num" w:pos="1080"/>
        </w:tabs>
        <w:spacing w:before="0" w:after="0" w:line="360" w:lineRule="auto"/>
        <w:ind w:left="1134" w:hanging="567"/>
        <w:rPr>
          <w:rFonts w:ascii="Calibri" w:hAnsi="Calibri"/>
          <w:b w:val="0"/>
          <w:sz w:val="22"/>
          <w:szCs w:val="22"/>
        </w:rPr>
      </w:pPr>
      <w:r w:rsidRPr="00870569">
        <w:rPr>
          <w:rFonts w:ascii="Calibri" w:hAnsi="Calibri"/>
          <w:b w:val="0"/>
          <w:sz w:val="22"/>
          <w:szCs w:val="22"/>
        </w:rPr>
        <w:t>wzrost marży brutto tego segmentu do 9%, w porównaniu do poprzedniego okresu wzrost o 1%;</w:t>
      </w:r>
    </w:p>
    <w:p w14:paraId="391F1C4C" w14:textId="77777777" w:rsidR="00870569" w:rsidRPr="00870569" w:rsidRDefault="00870569" w:rsidP="00D73705">
      <w:pPr>
        <w:pStyle w:val="wypunktowanie1sprawozdanie"/>
        <w:numPr>
          <w:ilvl w:val="1"/>
          <w:numId w:val="4"/>
        </w:numPr>
        <w:tabs>
          <w:tab w:val="clear" w:pos="1440"/>
        </w:tabs>
        <w:spacing w:before="0" w:after="0" w:line="360" w:lineRule="auto"/>
        <w:ind w:left="1134" w:hanging="567"/>
        <w:rPr>
          <w:rFonts w:ascii="Calibri" w:hAnsi="Calibri"/>
          <w:b w:val="0"/>
          <w:sz w:val="22"/>
          <w:szCs w:val="22"/>
        </w:rPr>
      </w:pPr>
      <w:r w:rsidRPr="00870569">
        <w:rPr>
          <w:rFonts w:ascii="Calibri" w:hAnsi="Calibri"/>
          <w:b w:val="0"/>
          <w:sz w:val="22"/>
          <w:szCs w:val="22"/>
        </w:rPr>
        <w:t>spadek przychodów ze sprzedaży towarów i materiałów o 29 tys. zł, przy równoczesnym spadku kosztów o tą samą wartość, przychody ze sprzedaży</w:t>
      </w:r>
      <w:r w:rsidRPr="00870569">
        <w:rPr>
          <w:rFonts w:ascii="Calibri" w:hAnsi="Calibri"/>
          <w:b w:val="0"/>
          <w:color w:val="FF0000"/>
          <w:sz w:val="22"/>
          <w:szCs w:val="22"/>
        </w:rPr>
        <w:t xml:space="preserve"> </w:t>
      </w:r>
      <w:r w:rsidRPr="00870569">
        <w:rPr>
          <w:rFonts w:ascii="Calibri" w:hAnsi="Calibri"/>
          <w:b w:val="0"/>
          <w:sz w:val="22"/>
          <w:szCs w:val="22"/>
        </w:rPr>
        <w:t>towarów i materiałów stanowią 1% ogólnej wartości sprzedaży w 2016 roku;</w:t>
      </w:r>
    </w:p>
    <w:p w14:paraId="798D65A0" w14:textId="77777777" w:rsidR="00870569" w:rsidRPr="00870569" w:rsidRDefault="00870569" w:rsidP="00D73705">
      <w:pPr>
        <w:pStyle w:val="wypunktowanie1sprawozdanie"/>
        <w:numPr>
          <w:ilvl w:val="1"/>
          <w:numId w:val="4"/>
        </w:numPr>
        <w:tabs>
          <w:tab w:val="clear" w:pos="1440"/>
          <w:tab w:val="num" w:pos="1080"/>
        </w:tabs>
        <w:spacing w:before="0" w:after="0" w:line="360" w:lineRule="auto"/>
        <w:ind w:left="1134" w:hanging="567"/>
        <w:rPr>
          <w:rFonts w:ascii="Calibri" w:hAnsi="Calibri"/>
          <w:b w:val="0"/>
          <w:sz w:val="22"/>
          <w:szCs w:val="22"/>
        </w:rPr>
      </w:pPr>
      <w:r w:rsidRPr="00870569">
        <w:rPr>
          <w:rFonts w:ascii="Calibri" w:hAnsi="Calibri"/>
          <w:b w:val="0"/>
          <w:sz w:val="22"/>
          <w:szCs w:val="22"/>
        </w:rPr>
        <w:t>marża brutto utrzymała się na tym samym poziomie  2% co w poprzednim okresie;</w:t>
      </w:r>
    </w:p>
    <w:p w14:paraId="4080990C" w14:textId="77777777" w:rsidR="00870569" w:rsidRPr="00870569" w:rsidRDefault="00870569" w:rsidP="00870569">
      <w:pPr>
        <w:pStyle w:val="wypunktowanie1sprawozdanie"/>
        <w:spacing w:before="0" w:after="0" w:line="360" w:lineRule="auto"/>
        <w:ind w:left="851"/>
        <w:rPr>
          <w:rFonts w:ascii="Calibri" w:hAnsi="Calibri"/>
          <w:b w:val="0"/>
          <w:color w:val="FF0000"/>
          <w:sz w:val="22"/>
          <w:szCs w:val="22"/>
        </w:rPr>
      </w:pPr>
    </w:p>
    <w:p w14:paraId="207C26D2" w14:textId="6246BD3F" w:rsidR="00870569" w:rsidRPr="00870569" w:rsidRDefault="00870569" w:rsidP="00870569">
      <w:pPr>
        <w:widowControl w:val="0"/>
        <w:tabs>
          <w:tab w:val="left" w:pos="540"/>
        </w:tabs>
        <w:spacing w:line="360" w:lineRule="auto"/>
        <w:jc w:val="both"/>
        <w:rPr>
          <w:rFonts w:ascii="Calibri" w:hAnsi="Calibri" w:cs="Arial"/>
          <w:sz w:val="22"/>
          <w:szCs w:val="22"/>
        </w:rPr>
      </w:pPr>
      <w:r w:rsidRPr="00870569">
        <w:rPr>
          <w:rFonts w:ascii="Calibri" w:hAnsi="Calibri" w:cs="Arial"/>
          <w:sz w:val="22"/>
          <w:szCs w:val="22"/>
        </w:rPr>
        <w:tab/>
        <w:t xml:space="preserve">Uzyskany wynik finansowy Spółki </w:t>
      </w:r>
      <w:r w:rsidRPr="00870569">
        <w:rPr>
          <w:rFonts w:ascii="Calibri" w:hAnsi="Calibri"/>
          <w:sz w:val="22"/>
          <w:szCs w:val="22"/>
        </w:rPr>
        <w:t xml:space="preserve">Zakład Budowy Aparatury Chemicznej ZBACH Spółka </w:t>
      </w:r>
      <w:r w:rsidRPr="00870569">
        <w:rPr>
          <w:rFonts w:ascii="Calibri" w:hAnsi="Calibri"/>
          <w:sz w:val="22"/>
          <w:szCs w:val="22"/>
        </w:rPr>
        <w:br/>
        <w:t xml:space="preserve">z o.o. </w:t>
      </w:r>
      <w:r w:rsidRPr="00870569">
        <w:rPr>
          <w:rFonts w:ascii="Calibri" w:hAnsi="Calibri" w:cs="Arial"/>
          <w:sz w:val="22"/>
          <w:szCs w:val="22"/>
        </w:rPr>
        <w:t xml:space="preserve"> odzwierciedla sytuację gospodarczą na rynku oraz panującego zastoju w działalności inwestycyjnej w branży przemysłowej przedsiębiorstw. Działalność Zarządu oraz służb handlowych bardzo intensywnie nastawiona jest na pozyskiwanie nowych zleceń, które pozwolą zapewnić ciągłość produkcji w bieżącym roku. Duża konkurencyjność firm na rynku znacznie utrudnia te działania, co w konsekwencji wiąże się z pozyskiwaniem zleceń przy bardzo niskich marżach, które uniemożliwiają przyspieszenie poprawy sytuacji finansowej Spółki ZBACH Sp. z o.o.  </w:t>
      </w:r>
    </w:p>
    <w:p w14:paraId="55EA0860" w14:textId="77777777" w:rsidR="00870569" w:rsidRPr="00870569" w:rsidRDefault="00870569" w:rsidP="00870569">
      <w:pPr>
        <w:widowControl w:val="0"/>
        <w:tabs>
          <w:tab w:val="left" w:pos="540"/>
        </w:tabs>
        <w:spacing w:line="360" w:lineRule="auto"/>
        <w:jc w:val="both"/>
        <w:rPr>
          <w:rFonts w:ascii="Calibri" w:hAnsi="Calibri" w:cs="Arial"/>
          <w:sz w:val="22"/>
          <w:szCs w:val="22"/>
        </w:rPr>
      </w:pPr>
      <w:r w:rsidRPr="00870569">
        <w:rPr>
          <w:rFonts w:ascii="Calibri" w:hAnsi="Calibri" w:cs="Arial"/>
          <w:sz w:val="22"/>
          <w:szCs w:val="22"/>
        </w:rPr>
        <w:tab/>
        <w:t xml:space="preserve">W dalszym ciągu prowadzony jest proces restrukturyzacji Spółki oraz wnikliwa analiza kosztów stałych prowadząca do szeroko posuniętych oszczędności w obszarze kosztów stałych, wynagrodzeń </w:t>
      </w:r>
      <w:r>
        <w:rPr>
          <w:rFonts w:ascii="Calibri" w:hAnsi="Calibri" w:cs="Arial"/>
          <w:sz w:val="22"/>
          <w:szCs w:val="22"/>
        </w:rPr>
        <w:br/>
      </w:r>
      <w:r w:rsidRPr="00870569">
        <w:rPr>
          <w:rFonts w:ascii="Calibri" w:hAnsi="Calibri" w:cs="Arial"/>
          <w:sz w:val="22"/>
          <w:szCs w:val="22"/>
        </w:rPr>
        <w:t>i usług obcych.</w:t>
      </w:r>
    </w:p>
    <w:p w14:paraId="0E502CA9" w14:textId="77777777" w:rsidR="00870569" w:rsidRPr="00870569" w:rsidRDefault="00870569" w:rsidP="00870569">
      <w:pPr>
        <w:tabs>
          <w:tab w:val="left" w:pos="540"/>
        </w:tabs>
        <w:spacing w:line="360" w:lineRule="auto"/>
        <w:ind w:firstLine="567"/>
        <w:jc w:val="both"/>
        <w:rPr>
          <w:rFonts w:ascii="Calibri" w:hAnsi="Calibri"/>
          <w:sz w:val="22"/>
          <w:szCs w:val="22"/>
        </w:rPr>
      </w:pPr>
      <w:r w:rsidRPr="00870569">
        <w:rPr>
          <w:rFonts w:ascii="Calibri" w:hAnsi="Calibri"/>
          <w:sz w:val="22"/>
          <w:szCs w:val="22"/>
        </w:rPr>
        <w:t>Płynność finansowa Spółki Zakład Budowy Aparatury Chemicznej ZBACH Spółka z o.o. utrzymuje się na poziomie umiarkowanym, nie mniej z uwagi na spadek przychodów ze sprzedaży występują opóźnienia w płatnościach zobowiązań handlowych. Mimo to zobowiązania publiczno-prawne realizowane są w dalszym ciągu na bieżąco.</w:t>
      </w:r>
    </w:p>
    <w:p w14:paraId="34CE0472" w14:textId="77777777" w:rsidR="001702FD" w:rsidRPr="00870569" w:rsidRDefault="00870569" w:rsidP="00870569">
      <w:pPr>
        <w:spacing w:line="360" w:lineRule="auto"/>
        <w:ind w:firstLine="540"/>
        <w:jc w:val="both"/>
        <w:rPr>
          <w:rFonts w:ascii="Calibri" w:hAnsi="Calibri"/>
          <w:color w:val="FF0000"/>
          <w:sz w:val="22"/>
          <w:szCs w:val="22"/>
        </w:rPr>
      </w:pPr>
      <w:r w:rsidRPr="00870569">
        <w:rPr>
          <w:rFonts w:ascii="Calibri" w:hAnsi="Calibri"/>
          <w:sz w:val="22"/>
          <w:szCs w:val="22"/>
        </w:rPr>
        <w:t>Wskaźnik ogólnego zadłużenia za I półrocze 2016 roku ukształtował się na poziomie</w:t>
      </w:r>
      <w:r w:rsidRPr="00870569">
        <w:rPr>
          <w:rFonts w:ascii="Calibri" w:hAnsi="Calibri"/>
          <w:color w:val="FF0000"/>
          <w:sz w:val="22"/>
          <w:szCs w:val="22"/>
        </w:rPr>
        <w:t xml:space="preserve"> </w:t>
      </w:r>
      <w:r w:rsidRPr="00870569">
        <w:rPr>
          <w:rFonts w:ascii="Calibri" w:hAnsi="Calibri"/>
          <w:sz w:val="22"/>
          <w:szCs w:val="22"/>
        </w:rPr>
        <w:t xml:space="preserve">76,02%, podczas gdy w analogicznym okresie roku poprzedniego wynosił 71,97%. Wskaźniki płynności </w:t>
      </w:r>
      <w:r w:rsidRPr="00870569">
        <w:rPr>
          <w:rFonts w:ascii="Calibri" w:hAnsi="Calibri"/>
          <w:sz w:val="22"/>
          <w:szCs w:val="22"/>
        </w:rPr>
        <w:lastRenderedPageBreak/>
        <w:t>kształtują się na następujących poziomach: wskaźnik bieżącej płynności 0,88 oraz wskaźnik szybkiej płynności 0,76. Spółka terminowo reguluje swoje zobowiązania wynikające z zawartych umów kredytowych.</w:t>
      </w:r>
    </w:p>
    <w:p w14:paraId="5E8D53F7" w14:textId="77777777" w:rsidR="001702FD" w:rsidRPr="001D361F" w:rsidRDefault="001702FD" w:rsidP="001702FD">
      <w:pPr>
        <w:rPr>
          <w:rFonts w:asciiTheme="minorHAnsi" w:hAnsiTheme="minorHAnsi"/>
          <w:color w:val="000000"/>
          <w:spacing w:val="-2"/>
          <w:sz w:val="28"/>
          <w:szCs w:val="28"/>
        </w:rPr>
      </w:pPr>
    </w:p>
    <w:p w14:paraId="6EDB20AA" w14:textId="77777777" w:rsidR="001702FD" w:rsidRPr="001D361F" w:rsidRDefault="001702FD" w:rsidP="001702FD">
      <w:pPr>
        <w:tabs>
          <w:tab w:val="left" w:pos="567"/>
        </w:tabs>
        <w:spacing w:line="360" w:lineRule="auto"/>
        <w:jc w:val="both"/>
        <w:rPr>
          <w:rFonts w:ascii="Calibri" w:hAnsi="Calibri" w:cs="Arial"/>
          <w:u w:val="single"/>
        </w:rPr>
      </w:pPr>
      <w:r w:rsidRPr="009E3D78">
        <w:rPr>
          <w:rFonts w:ascii="Calibri" w:hAnsi="Calibri" w:cs="Arial"/>
          <w:u w:val="single"/>
        </w:rPr>
        <w:t xml:space="preserve">Dane finansowe jednostkowe dotyczące Spółki zależnej – PETRO </w:t>
      </w:r>
      <w:proofErr w:type="spellStart"/>
      <w:r w:rsidRPr="009E3D78">
        <w:rPr>
          <w:rFonts w:ascii="Calibri" w:hAnsi="Calibri" w:cs="Arial"/>
          <w:u w:val="single"/>
        </w:rPr>
        <w:t>EnergoRem</w:t>
      </w:r>
      <w:proofErr w:type="spellEnd"/>
      <w:r w:rsidRPr="009E3D78">
        <w:rPr>
          <w:rFonts w:ascii="Calibri" w:hAnsi="Calibri" w:cs="Arial"/>
          <w:u w:val="single"/>
        </w:rPr>
        <w:t xml:space="preserve"> Sp. z o.o.</w:t>
      </w:r>
    </w:p>
    <w:p w14:paraId="67811636" w14:textId="77777777" w:rsidR="001702FD" w:rsidRPr="001D361F" w:rsidRDefault="001702FD" w:rsidP="001702FD">
      <w:pPr>
        <w:rPr>
          <w:rFonts w:asciiTheme="minorHAnsi" w:hAnsiTheme="minorHAnsi"/>
          <w:color w:val="000000"/>
          <w:spacing w:val="-2"/>
          <w:sz w:val="32"/>
          <w:szCs w:val="32"/>
        </w:rPr>
      </w:pPr>
    </w:p>
    <w:p w14:paraId="5E3E0A94" w14:textId="77777777" w:rsidR="00E13038" w:rsidRPr="00E13038" w:rsidRDefault="00E13038" w:rsidP="00E13038">
      <w:pPr>
        <w:tabs>
          <w:tab w:val="left" w:pos="540"/>
        </w:tabs>
        <w:spacing w:line="360" w:lineRule="auto"/>
        <w:jc w:val="both"/>
        <w:rPr>
          <w:rFonts w:asciiTheme="minorHAnsi" w:hAnsiTheme="minorHAnsi" w:cs="Arial"/>
          <w:color w:val="FF0000"/>
          <w:sz w:val="22"/>
          <w:szCs w:val="22"/>
        </w:rPr>
      </w:pPr>
      <w:r>
        <w:rPr>
          <w:rFonts w:asciiTheme="minorHAnsi" w:hAnsiTheme="minorHAnsi"/>
          <w:sz w:val="22"/>
          <w:szCs w:val="22"/>
        </w:rPr>
        <w:tab/>
      </w:r>
      <w:r w:rsidRPr="00E13038">
        <w:rPr>
          <w:rFonts w:asciiTheme="minorHAnsi" w:hAnsiTheme="minorHAnsi"/>
          <w:sz w:val="22"/>
          <w:szCs w:val="22"/>
        </w:rPr>
        <w:t xml:space="preserve">W pierwszym półroczu 2016 roku Spółka  PER odnotowała spadek przychodów ze sprzedaży </w:t>
      </w:r>
      <w:r>
        <w:rPr>
          <w:rFonts w:asciiTheme="minorHAnsi" w:hAnsiTheme="minorHAnsi"/>
          <w:sz w:val="22"/>
          <w:szCs w:val="22"/>
        </w:rPr>
        <w:br/>
      </w:r>
      <w:r w:rsidRPr="00E13038">
        <w:rPr>
          <w:rFonts w:asciiTheme="minorHAnsi" w:hAnsiTheme="minorHAnsi"/>
          <w:sz w:val="22"/>
          <w:szCs w:val="22"/>
        </w:rPr>
        <w:t xml:space="preserve">o </w:t>
      </w:r>
      <w:r w:rsidRPr="00E13038">
        <w:rPr>
          <w:rFonts w:asciiTheme="minorHAnsi" w:hAnsiTheme="minorHAnsi"/>
          <w:color w:val="FF0000"/>
          <w:sz w:val="22"/>
          <w:szCs w:val="22"/>
        </w:rPr>
        <w:t xml:space="preserve"> </w:t>
      </w:r>
      <w:r w:rsidRPr="00E13038">
        <w:rPr>
          <w:rFonts w:asciiTheme="minorHAnsi" w:hAnsiTheme="minorHAnsi"/>
          <w:sz w:val="22"/>
          <w:szCs w:val="22"/>
        </w:rPr>
        <w:t xml:space="preserve">34% w porównaniu do przychodów I półrocza 2015 roku. </w:t>
      </w:r>
      <w:r w:rsidRPr="00E13038">
        <w:rPr>
          <w:rFonts w:asciiTheme="minorHAnsi" w:hAnsiTheme="minorHAnsi" w:cs="Arial"/>
          <w:sz w:val="22"/>
          <w:szCs w:val="22"/>
        </w:rPr>
        <w:t>Po sześciu miesiącach 2016 roku koszty działalności operacyjnej Spółki PER wyniosły 10 769 tyś. PLN, w tym koszty sprzedanych produktów, towarów i materiałów w wysokości 9 173 tyś. PLN.</w:t>
      </w:r>
    </w:p>
    <w:p w14:paraId="0D28BE5D" w14:textId="77777777" w:rsidR="00E13038" w:rsidRPr="00E13038" w:rsidRDefault="00E13038" w:rsidP="00E13038">
      <w:pPr>
        <w:widowControl w:val="0"/>
        <w:tabs>
          <w:tab w:val="left" w:pos="540"/>
        </w:tabs>
        <w:ind w:left="567"/>
        <w:jc w:val="both"/>
        <w:rPr>
          <w:rFonts w:asciiTheme="minorHAnsi" w:hAnsiTheme="minorHAnsi" w:cs="Arial"/>
          <w:b/>
          <w:sz w:val="16"/>
          <w:szCs w:val="16"/>
        </w:rPr>
      </w:pPr>
    </w:p>
    <w:p w14:paraId="7CCD6BF1" w14:textId="77777777" w:rsidR="00E13038" w:rsidRPr="00E13038" w:rsidRDefault="00E13038" w:rsidP="00E13038">
      <w:pPr>
        <w:widowControl w:val="0"/>
        <w:tabs>
          <w:tab w:val="left" w:pos="540"/>
        </w:tabs>
        <w:ind w:left="567"/>
        <w:jc w:val="both"/>
        <w:rPr>
          <w:rFonts w:asciiTheme="minorHAnsi" w:hAnsiTheme="minorHAnsi" w:cs="Arial"/>
          <w:b/>
        </w:rPr>
      </w:pPr>
      <w:r w:rsidRPr="00E13038">
        <w:rPr>
          <w:rFonts w:asciiTheme="minorHAnsi" w:hAnsiTheme="minorHAnsi" w:cs="Arial"/>
          <w:b/>
        </w:rPr>
        <w:t>Segmenty działalności</w:t>
      </w:r>
    </w:p>
    <w:p w14:paraId="6FB2EC31" w14:textId="77777777" w:rsidR="00E13038" w:rsidRPr="00E13038" w:rsidRDefault="00E13038" w:rsidP="00E13038">
      <w:pPr>
        <w:widowControl w:val="0"/>
        <w:tabs>
          <w:tab w:val="left" w:pos="540"/>
        </w:tabs>
        <w:ind w:left="567"/>
        <w:jc w:val="both"/>
        <w:rPr>
          <w:rFonts w:asciiTheme="minorHAnsi" w:hAnsiTheme="minorHAnsi" w:cs="Arial"/>
          <w:b/>
          <w:sz w:val="22"/>
          <w:szCs w:val="22"/>
        </w:rPr>
      </w:pPr>
    </w:p>
    <w:tbl>
      <w:tblPr>
        <w:tblW w:w="8823" w:type="dxa"/>
        <w:jc w:val="center"/>
        <w:tblCellMar>
          <w:left w:w="70" w:type="dxa"/>
          <w:right w:w="70" w:type="dxa"/>
        </w:tblCellMar>
        <w:tblLook w:val="04A0" w:firstRow="1" w:lastRow="0" w:firstColumn="1" w:lastColumn="0" w:noHBand="0" w:noVBand="1"/>
      </w:tblPr>
      <w:tblGrid>
        <w:gridCol w:w="4856"/>
        <w:gridCol w:w="2076"/>
        <w:gridCol w:w="1891"/>
      </w:tblGrid>
      <w:tr w:rsidR="00E13038" w:rsidRPr="00E13038" w14:paraId="3CE46A36"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3E1C0684" w14:textId="77777777" w:rsidR="00E13038" w:rsidRPr="00E13038" w:rsidRDefault="00E13038" w:rsidP="00E13038">
            <w:pPr>
              <w:rPr>
                <w:rFonts w:asciiTheme="minorHAnsi" w:hAnsiTheme="minorHAnsi" w:cs="Calibri"/>
                <w:b/>
                <w:bCs/>
                <w:sz w:val="18"/>
                <w:szCs w:val="18"/>
              </w:rPr>
            </w:pPr>
          </w:p>
        </w:tc>
        <w:tc>
          <w:tcPr>
            <w:tcW w:w="3967" w:type="dxa"/>
            <w:gridSpan w:val="2"/>
            <w:tcBorders>
              <w:top w:val="nil"/>
              <w:left w:val="nil"/>
              <w:bottom w:val="nil"/>
              <w:right w:val="nil"/>
            </w:tcBorders>
            <w:shd w:val="clear" w:color="auto" w:fill="auto"/>
            <w:vAlign w:val="center"/>
            <w:hideMark/>
          </w:tcPr>
          <w:p w14:paraId="5432D363"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okres obrotowy</w:t>
            </w:r>
          </w:p>
        </w:tc>
      </w:tr>
      <w:tr w:rsidR="00E13038" w:rsidRPr="00E13038" w14:paraId="7B25F372"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21CB6D04" w14:textId="77777777" w:rsidR="00E13038" w:rsidRPr="00E13038" w:rsidRDefault="00E13038" w:rsidP="00E13038">
            <w:pPr>
              <w:rPr>
                <w:rFonts w:asciiTheme="minorHAnsi" w:hAnsiTheme="minorHAnsi" w:cs="Calibri"/>
                <w:b/>
                <w:bCs/>
                <w:sz w:val="18"/>
                <w:szCs w:val="18"/>
              </w:rPr>
            </w:pPr>
          </w:p>
        </w:tc>
        <w:tc>
          <w:tcPr>
            <w:tcW w:w="2076" w:type="dxa"/>
            <w:tcBorders>
              <w:top w:val="nil"/>
              <w:left w:val="nil"/>
              <w:bottom w:val="nil"/>
              <w:right w:val="nil"/>
            </w:tcBorders>
            <w:shd w:val="clear" w:color="000000" w:fill="D9D9D9" w:themeFill="background1" w:themeFillShade="D9"/>
            <w:vAlign w:val="center"/>
            <w:hideMark/>
          </w:tcPr>
          <w:p w14:paraId="1421EC4D"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 xml:space="preserve">za 6 miesięcy </w:t>
            </w:r>
          </w:p>
        </w:tc>
        <w:tc>
          <w:tcPr>
            <w:tcW w:w="1891" w:type="dxa"/>
            <w:tcBorders>
              <w:top w:val="nil"/>
              <w:left w:val="nil"/>
              <w:bottom w:val="nil"/>
              <w:right w:val="nil"/>
            </w:tcBorders>
            <w:shd w:val="clear" w:color="auto" w:fill="auto"/>
            <w:vAlign w:val="center"/>
            <w:hideMark/>
          </w:tcPr>
          <w:p w14:paraId="74730223"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za 6 miesięcy</w:t>
            </w:r>
          </w:p>
        </w:tc>
      </w:tr>
      <w:tr w:rsidR="00E13038" w:rsidRPr="00E13038" w14:paraId="1D5F93DC" w14:textId="77777777" w:rsidTr="00E13038">
        <w:trPr>
          <w:trHeight w:val="300"/>
          <w:jc w:val="center"/>
        </w:trPr>
        <w:tc>
          <w:tcPr>
            <w:tcW w:w="4856" w:type="dxa"/>
            <w:tcBorders>
              <w:top w:val="nil"/>
              <w:left w:val="nil"/>
              <w:bottom w:val="nil"/>
              <w:right w:val="nil"/>
            </w:tcBorders>
            <w:shd w:val="clear" w:color="auto" w:fill="auto"/>
            <w:noWrap/>
            <w:vAlign w:val="center"/>
            <w:hideMark/>
          </w:tcPr>
          <w:p w14:paraId="79F94AA1" w14:textId="77777777" w:rsidR="00E13038" w:rsidRPr="00E13038" w:rsidRDefault="00E13038" w:rsidP="00E13038">
            <w:pPr>
              <w:rPr>
                <w:rFonts w:asciiTheme="minorHAnsi" w:hAnsiTheme="minorHAnsi" w:cs="Calibri"/>
                <w:b/>
                <w:bCs/>
                <w:sz w:val="18"/>
                <w:szCs w:val="18"/>
              </w:rPr>
            </w:pPr>
          </w:p>
        </w:tc>
        <w:tc>
          <w:tcPr>
            <w:tcW w:w="2076" w:type="dxa"/>
            <w:tcBorders>
              <w:top w:val="nil"/>
              <w:left w:val="nil"/>
              <w:bottom w:val="nil"/>
              <w:right w:val="nil"/>
            </w:tcBorders>
            <w:shd w:val="clear" w:color="000000" w:fill="D9D9D9" w:themeFill="background1" w:themeFillShade="D9"/>
            <w:vAlign w:val="center"/>
            <w:hideMark/>
          </w:tcPr>
          <w:p w14:paraId="6BB10A2E"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od 01 stycznia 2016</w:t>
            </w:r>
          </w:p>
        </w:tc>
        <w:tc>
          <w:tcPr>
            <w:tcW w:w="1891" w:type="dxa"/>
            <w:tcBorders>
              <w:top w:val="nil"/>
              <w:left w:val="nil"/>
              <w:bottom w:val="nil"/>
              <w:right w:val="nil"/>
            </w:tcBorders>
            <w:shd w:val="clear" w:color="auto" w:fill="auto"/>
            <w:vAlign w:val="center"/>
            <w:hideMark/>
          </w:tcPr>
          <w:p w14:paraId="01E0851E"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od 01 stycznia 2015</w:t>
            </w:r>
          </w:p>
        </w:tc>
      </w:tr>
      <w:tr w:rsidR="00E13038" w:rsidRPr="00E13038" w14:paraId="15D441B0" w14:textId="77777777" w:rsidTr="00E13038">
        <w:trPr>
          <w:trHeight w:val="300"/>
          <w:jc w:val="center"/>
        </w:trPr>
        <w:tc>
          <w:tcPr>
            <w:tcW w:w="4856" w:type="dxa"/>
            <w:tcBorders>
              <w:top w:val="nil"/>
              <w:left w:val="nil"/>
              <w:bottom w:val="nil"/>
              <w:right w:val="nil"/>
            </w:tcBorders>
            <w:shd w:val="clear" w:color="auto" w:fill="auto"/>
            <w:noWrap/>
            <w:vAlign w:val="center"/>
            <w:hideMark/>
          </w:tcPr>
          <w:p w14:paraId="76B82F18"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vAlign w:val="center"/>
            <w:hideMark/>
          </w:tcPr>
          <w:p w14:paraId="12F3AA33"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do 30 czerwca 2016</w:t>
            </w:r>
          </w:p>
        </w:tc>
        <w:tc>
          <w:tcPr>
            <w:tcW w:w="1891" w:type="dxa"/>
            <w:tcBorders>
              <w:top w:val="nil"/>
              <w:left w:val="nil"/>
              <w:bottom w:val="nil"/>
              <w:right w:val="nil"/>
            </w:tcBorders>
            <w:shd w:val="clear" w:color="auto" w:fill="auto"/>
            <w:vAlign w:val="center"/>
            <w:hideMark/>
          </w:tcPr>
          <w:p w14:paraId="28D53162"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do 30 czerwca 2015</w:t>
            </w:r>
          </w:p>
        </w:tc>
      </w:tr>
      <w:tr w:rsidR="00E13038" w:rsidRPr="00E13038" w14:paraId="540D4EBD" w14:textId="77777777" w:rsidTr="00E13038">
        <w:trPr>
          <w:trHeight w:val="300"/>
          <w:jc w:val="center"/>
        </w:trPr>
        <w:tc>
          <w:tcPr>
            <w:tcW w:w="4856" w:type="dxa"/>
            <w:tcBorders>
              <w:top w:val="nil"/>
              <w:left w:val="nil"/>
              <w:bottom w:val="nil"/>
              <w:right w:val="nil"/>
            </w:tcBorders>
            <w:shd w:val="clear" w:color="auto" w:fill="auto"/>
            <w:noWrap/>
            <w:vAlign w:val="center"/>
            <w:hideMark/>
          </w:tcPr>
          <w:p w14:paraId="0AE8C28D" w14:textId="77777777" w:rsidR="00E13038" w:rsidRPr="00E13038" w:rsidRDefault="00E13038" w:rsidP="00E13038">
            <w:pPr>
              <w:rPr>
                <w:rFonts w:asciiTheme="minorHAnsi" w:hAnsiTheme="minorHAnsi" w:cs="Calibri"/>
                <w:sz w:val="18"/>
                <w:szCs w:val="18"/>
              </w:rPr>
            </w:pPr>
          </w:p>
        </w:tc>
        <w:tc>
          <w:tcPr>
            <w:tcW w:w="2076" w:type="dxa"/>
            <w:tcBorders>
              <w:top w:val="single" w:sz="4" w:space="0" w:color="auto"/>
              <w:left w:val="nil"/>
              <w:bottom w:val="nil"/>
              <w:right w:val="nil"/>
            </w:tcBorders>
            <w:shd w:val="clear" w:color="000000" w:fill="D9D9D9" w:themeFill="background1" w:themeFillShade="D9"/>
            <w:vAlign w:val="center"/>
            <w:hideMark/>
          </w:tcPr>
          <w:p w14:paraId="1E7C44E3"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(niebadany)</w:t>
            </w:r>
          </w:p>
        </w:tc>
        <w:tc>
          <w:tcPr>
            <w:tcW w:w="1891" w:type="dxa"/>
            <w:tcBorders>
              <w:top w:val="single" w:sz="4" w:space="0" w:color="auto"/>
              <w:left w:val="nil"/>
              <w:bottom w:val="nil"/>
              <w:right w:val="nil"/>
            </w:tcBorders>
            <w:shd w:val="clear" w:color="auto" w:fill="auto"/>
            <w:vAlign w:val="center"/>
            <w:hideMark/>
          </w:tcPr>
          <w:p w14:paraId="206B6BA5"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(niebadany)</w:t>
            </w:r>
          </w:p>
        </w:tc>
      </w:tr>
      <w:tr w:rsidR="00E13038" w:rsidRPr="00E13038" w14:paraId="3148D37E"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1D929289"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single" w:sz="4" w:space="0" w:color="auto"/>
              <w:right w:val="nil"/>
            </w:tcBorders>
            <w:shd w:val="clear" w:color="000000" w:fill="D9D9D9" w:themeFill="background1" w:themeFillShade="D9"/>
            <w:vAlign w:val="center"/>
            <w:hideMark/>
          </w:tcPr>
          <w:p w14:paraId="1B0C5E80"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PLN</w:t>
            </w:r>
          </w:p>
        </w:tc>
        <w:tc>
          <w:tcPr>
            <w:tcW w:w="1891" w:type="dxa"/>
            <w:tcBorders>
              <w:top w:val="nil"/>
              <w:left w:val="nil"/>
              <w:bottom w:val="single" w:sz="4" w:space="0" w:color="auto"/>
              <w:right w:val="nil"/>
            </w:tcBorders>
            <w:shd w:val="clear" w:color="auto" w:fill="auto"/>
            <w:vAlign w:val="center"/>
            <w:hideMark/>
          </w:tcPr>
          <w:p w14:paraId="449207FA" w14:textId="77777777" w:rsidR="00E13038" w:rsidRPr="00E13038" w:rsidRDefault="00E13038" w:rsidP="00E13038">
            <w:pPr>
              <w:jc w:val="center"/>
              <w:rPr>
                <w:rFonts w:asciiTheme="minorHAnsi" w:hAnsiTheme="minorHAnsi" w:cs="Calibri"/>
                <w:b/>
                <w:bCs/>
                <w:sz w:val="18"/>
                <w:szCs w:val="18"/>
              </w:rPr>
            </w:pPr>
            <w:r w:rsidRPr="00E13038">
              <w:rPr>
                <w:rFonts w:asciiTheme="minorHAnsi" w:hAnsiTheme="minorHAnsi" w:cs="Calibri"/>
                <w:b/>
                <w:bCs/>
                <w:sz w:val="18"/>
                <w:szCs w:val="18"/>
              </w:rPr>
              <w:t>tys. PLN</w:t>
            </w:r>
          </w:p>
        </w:tc>
      </w:tr>
      <w:tr w:rsidR="00E13038" w:rsidRPr="00E13038" w14:paraId="7C54EF72" w14:textId="77777777" w:rsidTr="00E13038">
        <w:trPr>
          <w:trHeight w:val="90"/>
          <w:jc w:val="center"/>
        </w:trPr>
        <w:tc>
          <w:tcPr>
            <w:tcW w:w="4856" w:type="dxa"/>
            <w:tcBorders>
              <w:top w:val="nil"/>
              <w:left w:val="nil"/>
              <w:bottom w:val="nil"/>
              <w:right w:val="nil"/>
            </w:tcBorders>
            <w:shd w:val="clear" w:color="auto" w:fill="auto"/>
            <w:noWrap/>
            <w:vAlign w:val="center"/>
            <w:hideMark/>
          </w:tcPr>
          <w:p w14:paraId="51E6622A"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vAlign w:val="center"/>
            <w:hideMark/>
          </w:tcPr>
          <w:p w14:paraId="0E50B37C" w14:textId="77777777" w:rsidR="00E13038" w:rsidRPr="00E13038" w:rsidRDefault="00E13038" w:rsidP="00E13038">
            <w:pPr>
              <w:jc w:val="right"/>
              <w:rPr>
                <w:rFonts w:asciiTheme="minorHAnsi" w:hAnsiTheme="minorHAnsi" w:cs="Calibri"/>
                <w:b/>
                <w:bCs/>
                <w:sz w:val="18"/>
                <w:szCs w:val="18"/>
              </w:rPr>
            </w:pPr>
            <w:r w:rsidRPr="00E13038">
              <w:rPr>
                <w:rFonts w:asciiTheme="minorHAnsi" w:hAnsiTheme="minorHAnsi" w:cs="Calibri"/>
                <w:b/>
                <w:bCs/>
                <w:sz w:val="18"/>
                <w:szCs w:val="18"/>
              </w:rPr>
              <w:t> </w:t>
            </w:r>
          </w:p>
        </w:tc>
        <w:tc>
          <w:tcPr>
            <w:tcW w:w="1891" w:type="dxa"/>
            <w:tcBorders>
              <w:top w:val="nil"/>
              <w:left w:val="nil"/>
              <w:bottom w:val="nil"/>
              <w:right w:val="nil"/>
            </w:tcBorders>
            <w:shd w:val="clear" w:color="auto" w:fill="auto"/>
            <w:vAlign w:val="center"/>
            <w:hideMark/>
          </w:tcPr>
          <w:p w14:paraId="490267CD" w14:textId="77777777" w:rsidR="00E13038" w:rsidRPr="00E13038" w:rsidRDefault="00E13038" w:rsidP="00E13038">
            <w:pPr>
              <w:jc w:val="right"/>
              <w:rPr>
                <w:rFonts w:asciiTheme="minorHAnsi" w:hAnsiTheme="minorHAnsi" w:cs="Calibri"/>
                <w:b/>
                <w:bCs/>
                <w:sz w:val="18"/>
                <w:szCs w:val="18"/>
              </w:rPr>
            </w:pPr>
          </w:p>
        </w:tc>
      </w:tr>
      <w:tr w:rsidR="00E13038" w:rsidRPr="00E13038" w14:paraId="49AD13A3" w14:textId="77777777" w:rsidTr="00E13038">
        <w:trPr>
          <w:trHeight w:val="311"/>
          <w:jc w:val="center"/>
        </w:trPr>
        <w:tc>
          <w:tcPr>
            <w:tcW w:w="4856" w:type="dxa"/>
            <w:tcBorders>
              <w:top w:val="nil"/>
              <w:left w:val="nil"/>
              <w:bottom w:val="nil"/>
              <w:right w:val="nil"/>
            </w:tcBorders>
            <w:shd w:val="clear" w:color="auto" w:fill="auto"/>
            <w:noWrap/>
            <w:vAlign w:val="center"/>
            <w:hideMark/>
          </w:tcPr>
          <w:p w14:paraId="6172EFA8"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SEGMENT A - UTRZYMANIE RUCHU</w:t>
            </w:r>
          </w:p>
        </w:tc>
        <w:tc>
          <w:tcPr>
            <w:tcW w:w="2076" w:type="dxa"/>
            <w:tcBorders>
              <w:top w:val="nil"/>
              <w:left w:val="nil"/>
              <w:bottom w:val="nil"/>
              <w:right w:val="nil"/>
            </w:tcBorders>
            <w:shd w:val="clear" w:color="000000" w:fill="D9D9D9" w:themeFill="background1" w:themeFillShade="D9"/>
            <w:noWrap/>
            <w:vAlign w:val="center"/>
            <w:hideMark/>
          </w:tcPr>
          <w:p w14:paraId="1160FAFE"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50899885" w14:textId="77777777" w:rsidR="00E13038" w:rsidRPr="00E13038" w:rsidRDefault="00E13038" w:rsidP="00E13038">
            <w:pPr>
              <w:jc w:val="right"/>
              <w:rPr>
                <w:rFonts w:asciiTheme="minorHAnsi" w:hAnsiTheme="minorHAnsi" w:cs="Calibri"/>
                <w:sz w:val="18"/>
                <w:szCs w:val="18"/>
              </w:rPr>
            </w:pPr>
          </w:p>
        </w:tc>
      </w:tr>
      <w:tr w:rsidR="00E13038" w:rsidRPr="00E13038" w14:paraId="75FC434A"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0FD72E95"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Przychody ze sprzedaży</w:t>
            </w:r>
          </w:p>
        </w:tc>
        <w:tc>
          <w:tcPr>
            <w:tcW w:w="2076" w:type="dxa"/>
            <w:tcBorders>
              <w:top w:val="nil"/>
              <w:left w:val="nil"/>
              <w:bottom w:val="nil"/>
              <w:right w:val="nil"/>
            </w:tcBorders>
            <w:shd w:val="clear" w:color="000000" w:fill="D9D9D9" w:themeFill="background1" w:themeFillShade="D9"/>
            <w:noWrap/>
            <w:vAlign w:val="center"/>
            <w:hideMark/>
          </w:tcPr>
          <w:p w14:paraId="4D22BFDA"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Calibri"/>
                <w:sz w:val="18"/>
                <w:szCs w:val="18"/>
              </w:rPr>
              <w:t>2 304 812,72</w:t>
            </w:r>
          </w:p>
        </w:tc>
        <w:tc>
          <w:tcPr>
            <w:tcW w:w="1891" w:type="dxa"/>
            <w:tcBorders>
              <w:top w:val="nil"/>
              <w:left w:val="nil"/>
              <w:bottom w:val="nil"/>
              <w:right w:val="nil"/>
            </w:tcBorders>
            <w:shd w:val="clear" w:color="auto" w:fill="auto"/>
            <w:noWrap/>
            <w:vAlign w:val="center"/>
            <w:hideMark/>
          </w:tcPr>
          <w:p w14:paraId="4926F11A"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3 688 849,05</w:t>
            </w:r>
          </w:p>
        </w:tc>
      </w:tr>
      <w:tr w:rsidR="00E13038" w:rsidRPr="00E13038" w14:paraId="3CC7D4CC"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69AE6DB5"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Koszt własny sprzedaży</w:t>
            </w:r>
          </w:p>
        </w:tc>
        <w:tc>
          <w:tcPr>
            <w:tcW w:w="2076" w:type="dxa"/>
            <w:tcBorders>
              <w:top w:val="nil"/>
              <w:left w:val="nil"/>
              <w:bottom w:val="nil"/>
              <w:right w:val="nil"/>
            </w:tcBorders>
            <w:shd w:val="clear" w:color="000000" w:fill="D9D9D9" w:themeFill="background1" w:themeFillShade="D9"/>
            <w:noWrap/>
            <w:vAlign w:val="center"/>
            <w:hideMark/>
          </w:tcPr>
          <w:p w14:paraId="63B3B475"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2 732 034,48</w:t>
            </w:r>
          </w:p>
        </w:tc>
        <w:tc>
          <w:tcPr>
            <w:tcW w:w="1891" w:type="dxa"/>
            <w:tcBorders>
              <w:top w:val="nil"/>
              <w:left w:val="nil"/>
              <w:bottom w:val="nil"/>
              <w:right w:val="nil"/>
            </w:tcBorders>
            <w:shd w:val="clear" w:color="auto" w:fill="auto"/>
            <w:noWrap/>
            <w:vAlign w:val="center"/>
            <w:hideMark/>
          </w:tcPr>
          <w:p w14:paraId="001EE871"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3 359 184,18</w:t>
            </w:r>
          </w:p>
        </w:tc>
      </w:tr>
      <w:tr w:rsidR="00E13038" w:rsidRPr="00E13038" w14:paraId="1DE289EA"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593B7438"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Wynik na działalności segmentu</w:t>
            </w:r>
          </w:p>
        </w:tc>
        <w:tc>
          <w:tcPr>
            <w:tcW w:w="207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58E675F6"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-427 221,76</w:t>
            </w:r>
          </w:p>
        </w:tc>
        <w:tc>
          <w:tcPr>
            <w:tcW w:w="1891" w:type="dxa"/>
            <w:tcBorders>
              <w:top w:val="single" w:sz="4" w:space="0" w:color="auto"/>
              <w:left w:val="nil"/>
              <w:bottom w:val="double" w:sz="6" w:space="0" w:color="auto"/>
              <w:right w:val="nil"/>
            </w:tcBorders>
            <w:shd w:val="clear" w:color="auto" w:fill="auto"/>
            <w:noWrap/>
            <w:vAlign w:val="center"/>
            <w:hideMark/>
          </w:tcPr>
          <w:p w14:paraId="1C48549B"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329 664,87</w:t>
            </w:r>
          </w:p>
        </w:tc>
      </w:tr>
      <w:tr w:rsidR="00E13038" w:rsidRPr="00E13038" w14:paraId="6DE9F79C"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16D1940D"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noWrap/>
            <w:vAlign w:val="center"/>
            <w:hideMark/>
          </w:tcPr>
          <w:p w14:paraId="0129797D"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2F265DD1" w14:textId="77777777" w:rsidR="00E13038" w:rsidRPr="00E13038" w:rsidRDefault="00E13038" w:rsidP="00E13038">
            <w:pPr>
              <w:jc w:val="right"/>
              <w:rPr>
                <w:rFonts w:asciiTheme="minorHAnsi" w:hAnsiTheme="minorHAnsi" w:cs="Calibri"/>
                <w:sz w:val="18"/>
                <w:szCs w:val="18"/>
              </w:rPr>
            </w:pPr>
            <w:r w:rsidRPr="00E13038">
              <w:rPr>
                <w:rFonts w:asciiTheme="minorHAnsi" w:hAnsiTheme="minorHAnsi" w:cs="Calibri"/>
                <w:sz w:val="18"/>
                <w:szCs w:val="18"/>
              </w:rPr>
              <w:t> </w:t>
            </w:r>
          </w:p>
        </w:tc>
      </w:tr>
      <w:tr w:rsidR="00E13038" w:rsidRPr="00E13038" w14:paraId="459542CE"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43CD1B76"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SEGMENT B - ELEKTRYCY</w:t>
            </w:r>
          </w:p>
        </w:tc>
        <w:tc>
          <w:tcPr>
            <w:tcW w:w="2076" w:type="dxa"/>
            <w:tcBorders>
              <w:top w:val="nil"/>
              <w:left w:val="nil"/>
              <w:bottom w:val="nil"/>
              <w:right w:val="nil"/>
            </w:tcBorders>
            <w:shd w:val="clear" w:color="000000" w:fill="D9D9D9" w:themeFill="background1" w:themeFillShade="D9"/>
            <w:noWrap/>
            <w:vAlign w:val="center"/>
            <w:hideMark/>
          </w:tcPr>
          <w:p w14:paraId="2EA362CC"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4D11F949" w14:textId="77777777" w:rsidR="00E13038" w:rsidRPr="00E13038" w:rsidRDefault="00E13038" w:rsidP="00E13038">
            <w:pPr>
              <w:jc w:val="right"/>
              <w:rPr>
                <w:rFonts w:asciiTheme="minorHAnsi" w:hAnsiTheme="minorHAnsi" w:cs="Calibri"/>
                <w:sz w:val="18"/>
                <w:szCs w:val="18"/>
              </w:rPr>
            </w:pPr>
          </w:p>
        </w:tc>
      </w:tr>
      <w:tr w:rsidR="00E13038" w:rsidRPr="00E13038" w14:paraId="6611BFC7"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0A30B826"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Przychody ze sprzedaży</w:t>
            </w:r>
          </w:p>
        </w:tc>
        <w:tc>
          <w:tcPr>
            <w:tcW w:w="2076" w:type="dxa"/>
            <w:tcBorders>
              <w:top w:val="nil"/>
              <w:left w:val="nil"/>
              <w:bottom w:val="nil"/>
              <w:right w:val="nil"/>
            </w:tcBorders>
            <w:shd w:val="clear" w:color="000000" w:fill="D9D9D9" w:themeFill="background1" w:themeFillShade="D9"/>
            <w:noWrap/>
            <w:vAlign w:val="center"/>
            <w:hideMark/>
          </w:tcPr>
          <w:p w14:paraId="0A153F15"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8711,00</w:t>
            </w:r>
          </w:p>
        </w:tc>
        <w:tc>
          <w:tcPr>
            <w:tcW w:w="1891" w:type="dxa"/>
            <w:tcBorders>
              <w:top w:val="nil"/>
              <w:left w:val="nil"/>
              <w:bottom w:val="nil"/>
              <w:right w:val="nil"/>
            </w:tcBorders>
            <w:shd w:val="clear" w:color="auto" w:fill="auto"/>
            <w:noWrap/>
            <w:vAlign w:val="center"/>
            <w:hideMark/>
          </w:tcPr>
          <w:p w14:paraId="6C21C1B9"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 xml:space="preserve">                           698 719,00</w:t>
            </w:r>
          </w:p>
        </w:tc>
      </w:tr>
      <w:tr w:rsidR="00E13038" w:rsidRPr="00E13038" w14:paraId="2D56D830"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51F732F2"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Koszt własny sprzedaży</w:t>
            </w:r>
          </w:p>
        </w:tc>
        <w:tc>
          <w:tcPr>
            <w:tcW w:w="2076" w:type="dxa"/>
            <w:tcBorders>
              <w:top w:val="nil"/>
              <w:left w:val="nil"/>
              <w:bottom w:val="nil"/>
              <w:right w:val="nil"/>
            </w:tcBorders>
            <w:shd w:val="clear" w:color="000000" w:fill="D9D9D9" w:themeFill="background1" w:themeFillShade="D9"/>
            <w:noWrap/>
            <w:vAlign w:val="center"/>
            <w:hideMark/>
          </w:tcPr>
          <w:p w14:paraId="136A5F35"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576 157,43</w:t>
            </w:r>
          </w:p>
        </w:tc>
        <w:tc>
          <w:tcPr>
            <w:tcW w:w="1891" w:type="dxa"/>
            <w:tcBorders>
              <w:top w:val="nil"/>
              <w:left w:val="nil"/>
              <w:bottom w:val="nil"/>
              <w:right w:val="nil"/>
            </w:tcBorders>
            <w:shd w:val="clear" w:color="auto" w:fill="auto"/>
            <w:noWrap/>
            <w:vAlign w:val="center"/>
            <w:hideMark/>
          </w:tcPr>
          <w:p w14:paraId="72D3404E"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579 924,55</w:t>
            </w:r>
          </w:p>
        </w:tc>
      </w:tr>
      <w:tr w:rsidR="00E13038" w:rsidRPr="00E13038" w14:paraId="01C32A97"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77B079FB"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Wynik na działalności segmentu</w:t>
            </w:r>
          </w:p>
        </w:tc>
        <w:tc>
          <w:tcPr>
            <w:tcW w:w="207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48449C80"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-567 446,43</w:t>
            </w:r>
          </w:p>
        </w:tc>
        <w:tc>
          <w:tcPr>
            <w:tcW w:w="1891" w:type="dxa"/>
            <w:tcBorders>
              <w:top w:val="single" w:sz="4" w:space="0" w:color="auto"/>
              <w:left w:val="nil"/>
              <w:bottom w:val="double" w:sz="6" w:space="0" w:color="auto"/>
              <w:right w:val="nil"/>
            </w:tcBorders>
            <w:shd w:val="clear" w:color="auto" w:fill="auto"/>
            <w:noWrap/>
            <w:vAlign w:val="center"/>
            <w:hideMark/>
          </w:tcPr>
          <w:p w14:paraId="0B34C055"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118 794,45</w:t>
            </w:r>
          </w:p>
        </w:tc>
      </w:tr>
      <w:tr w:rsidR="00E13038" w:rsidRPr="00E13038" w14:paraId="5F1516E0"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37458EB0"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noWrap/>
            <w:vAlign w:val="center"/>
            <w:hideMark/>
          </w:tcPr>
          <w:p w14:paraId="027FD9C0"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7DD13CC4" w14:textId="77777777" w:rsidR="00E13038" w:rsidRPr="00E13038" w:rsidRDefault="00E13038" w:rsidP="00E13038">
            <w:pPr>
              <w:jc w:val="right"/>
              <w:rPr>
                <w:rFonts w:asciiTheme="minorHAnsi" w:hAnsiTheme="minorHAnsi" w:cs="Calibri"/>
                <w:sz w:val="18"/>
                <w:szCs w:val="18"/>
              </w:rPr>
            </w:pPr>
            <w:r w:rsidRPr="00E13038">
              <w:rPr>
                <w:rFonts w:asciiTheme="minorHAnsi" w:hAnsiTheme="minorHAnsi" w:cs="Calibri"/>
                <w:sz w:val="18"/>
                <w:szCs w:val="18"/>
              </w:rPr>
              <w:t> </w:t>
            </w:r>
          </w:p>
        </w:tc>
      </w:tr>
      <w:tr w:rsidR="00E13038" w:rsidRPr="00E13038" w14:paraId="027141C1"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471B80E4"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SEGMENT C - AUTOMATYKA</w:t>
            </w:r>
          </w:p>
        </w:tc>
        <w:tc>
          <w:tcPr>
            <w:tcW w:w="2076" w:type="dxa"/>
            <w:tcBorders>
              <w:top w:val="nil"/>
              <w:left w:val="nil"/>
              <w:bottom w:val="nil"/>
              <w:right w:val="nil"/>
            </w:tcBorders>
            <w:shd w:val="clear" w:color="000000" w:fill="D9D9D9" w:themeFill="background1" w:themeFillShade="D9"/>
            <w:noWrap/>
            <w:vAlign w:val="center"/>
            <w:hideMark/>
          </w:tcPr>
          <w:p w14:paraId="052C8BCA"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18FB7982" w14:textId="77777777" w:rsidR="00E13038" w:rsidRPr="00E13038" w:rsidRDefault="00E13038" w:rsidP="00E13038">
            <w:pPr>
              <w:jc w:val="right"/>
              <w:rPr>
                <w:rFonts w:asciiTheme="minorHAnsi" w:hAnsiTheme="minorHAnsi" w:cs="Calibri"/>
                <w:sz w:val="18"/>
                <w:szCs w:val="18"/>
              </w:rPr>
            </w:pPr>
          </w:p>
        </w:tc>
      </w:tr>
      <w:tr w:rsidR="00E13038" w:rsidRPr="00E13038" w14:paraId="39F3B3EA"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4DF42E34"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Przychody ze sprzedaży</w:t>
            </w:r>
          </w:p>
        </w:tc>
        <w:tc>
          <w:tcPr>
            <w:tcW w:w="2076" w:type="dxa"/>
            <w:tcBorders>
              <w:top w:val="nil"/>
              <w:left w:val="nil"/>
              <w:bottom w:val="nil"/>
              <w:right w:val="nil"/>
            </w:tcBorders>
            <w:shd w:val="clear" w:color="000000" w:fill="D9D9D9" w:themeFill="background1" w:themeFillShade="D9"/>
            <w:noWrap/>
            <w:vAlign w:val="center"/>
            <w:hideMark/>
          </w:tcPr>
          <w:p w14:paraId="2B9D575D"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2 089 559,08</w:t>
            </w:r>
          </w:p>
        </w:tc>
        <w:tc>
          <w:tcPr>
            <w:tcW w:w="1891" w:type="dxa"/>
            <w:tcBorders>
              <w:top w:val="nil"/>
              <w:left w:val="nil"/>
              <w:bottom w:val="nil"/>
              <w:right w:val="nil"/>
            </w:tcBorders>
            <w:shd w:val="clear" w:color="auto" w:fill="auto"/>
            <w:noWrap/>
            <w:vAlign w:val="center"/>
            <w:hideMark/>
          </w:tcPr>
          <w:p w14:paraId="4E2D466D"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Calibri"/>
                <w:sz w:val="18"/>
                <w:szCs w:val="18"/>
              </w:rPr>
              <w:t xml:space="preserve">  1 436 356,64</w:t>
            </w:r>
          </w:p>
        </w:tc>
      </w:tr>
      <w:tr w:rsidR="00E13038" w:rsidRPr="00E13038" w14:paraId="1F0C49D6"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5549FC90"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Koszt własny sprzedaży</w:t>
            </w:r>
          </w:p>
        </w:tc>
        <w:tc>
          <w:tcPr>
            <w:tcW w:w="2076" w:type="dxa"/>
            <w:tcBorders>
              <w:top w:val="nil"/>
              <w:left w:val="nil"/>
              <w:bottom w:val="nil"/>
              <w:right w:val="nil"/>
            </w:tcBorders>
            <w:shd w:val="clear" w:color="000000" w:fill="D9D9D9" w:themeFill="background1" w:themeFillShade="D9"/>
            <w:noWrap/>
            <w:vAlign w:val="center"/>
            <w:hideMark/>
          </w:tcPr>
          <w:p w14:paraId="126AF103"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2 618 045,48</w:t>
            </w:r>
          </w:p>
        </w:tc>
        <w:tc>
          <w:tcPr>
            <w:tcW w:w="1891" w:type="dxa"/>
            <w:tcBorders>
              <w:top w:val="nil"/>
              <w:left w:val="nil"/>
              <w:bottom w:val="nil"/>
              <w:right w:val="nil"/>
            </w:tcBorders>
            <w:shd w:val="clear" w:color="auto" w:fill="auto"/>
            <w:noWrap/>
            <w:vAlign w:val="center"/>
            <w:hideMark/>
          </w:tcPr>
          <w:p w14:paraId="2BACCB9E"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592 681,75</w:t>
            </w:r>
          </w:p>
        </w:tc>
      </w:tr>
      <w:tr w:rsidR="00E13038" w:rsidRPr="00E13038" w14:paraId="45E49336"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35795DA0"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Wynik na działalności segmentu</w:t>
            </w:r>
          </w:p>
        </w:tc>
        <w:tc>
          <w:tcPr>
            <w:tcW w:w="207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C099686"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528 486,40</w:t>
            </w:r>
          </w:p>
        </w:tc>
        <w:tc>
          <w:tcPr>
            <w:tcW w:w="1891" w:type="dxa"/>
            <w:tcBorders>
              <w:top w:val="single" w:sz="4" w:space="0" w:color="auto"/>
              <w:left w:val="nil"/>
              <w:bottom w:val="double" w:sz="6" w:space="0" w:color="auto"/>
              <w:right w:val="nil"/>
            </w:tcBorders>
            <w:shd w:val="clear" w:color="auto" w:fill="auto"/>
            <w:noWrap/>
            <w:vAlign w:val="center"/>
            <w:hideMark/>
          </w:tcPr>
          <w:p w14:paraId="66E04C86"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843 674,89</w:t>
            </w:r>
          </w:p>
        </w:tc>
      </w:tr>
      <w:tr w:rsidR="00E13038" w:rsidRPr="00E13038" w14:paraId="2FA95EF5"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6CF052FC"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noWrap/>
            <w:vAlign w:val="center"/>
            <w:hideMark/>
          </w:tcPr>
          <w:p w14:paraId="5AAC7B9E"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260F2FCC" w14:textId="77777777" w:rsidR="00E13038" w:rsidRPr="00E13038" w:rsidRDefault="00E13038" w:rsidP="00E13038">
            <w:pPr>
              <w:jc w:val="right"/>
              <w:rPr>
                <w:rFonts w:asciiTheme="minorHAnsi" w:hAnsiTheme="minorHAnsi" w:cs="Calibri"/>
                <w:sz w:val="18"/>
                <w:szCs w:val="18"/>
              </w:rPr>
            </w:pPr>
            <w:r w:rsidRPr="00E13038">
              <w:rPr>
                <w:rFonts w:asciiTheme="minorHAnsi" w:hAnsiTheme="minorHAnsi" w:cs="Calibri"/>
                <w:sz w:val="18"/>
                <w:szCs w:val="18"/>
              </w:rPr>
              <w:t> </w:t>
            </w:r>
          </w:p>
        </w:tc>
      </w:tr>
      <w:tr w:rsidR="00E13038" w:rsidRPr="00E13038" w14:paraId="4D617D99"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0FAC992D"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SEGMENT D – REMONTY URZADZEŃ I APARATURY</w:t>
            </w:r>
          </w:p>
        </w:tc>
        <w:tc>
          <w:tcPr>
            <w:tcW w:w="2076" w:type="dxa"/>
            <w:tcBorders>
              <w:top w:val="nil"/>
              <w:left w:val="nil"/>
              <w:bottom w:val="nil"/>
              <w:right w:val="nil"/>
            </w:tcBorders>
            <w:shd w:val="clear" w:color="000000" w:fill="D9D9D9" w:themeFill="background1" w:themeFillShade="D9"/>
            <w:noWrap/>
            <w:vAlign w:val="center"/>
            <w:hideMark/>
          </w:tcPr>
          <w:p w14:paraId="6B7D015A"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35A9C7C4" w14:textId="77777777" w:rsidR="00E13038" w:rsidRPr="00E13038" w:rsidRDefault="00E13038" w:rsidP="00E13038">
            <w:pPr>
              <w:jc w:val="right"/>
              <w:rPr>
                <w:rFonts w:asciiTheme="minorHAnsi" w:hAnsiTheme="minorHAnsi" w:cs="Calibri"/>
                <w:sz w:val="18"/>
                <w:szCs w:val="18"/>
              </w:rPr>
            </w:pPr>
          </w:p>
        </w:tc>
      </w:tr>
      <w:tr w:rsidR="00E13038" w:rsidRPr="00E13038" w14:paraId="5DE92EF1"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301C36CB"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Przychody ze sprzedaży</w:t>
            </w:r>
          </w:p>
        </w:tc>
        <w:tc>
          <w:tcPr>
            <w:tcW w:w="2076" w:type="dxa"/>
            <w:tcBorders>
              <w:top w:val="nil"/>
              <w:left w:val="nil"/>
              <w:bottom w:val="nil"/>
              <w:right w:val="nil"/>
            </w:tcBorders>
            <w:shd w:val="clear" w:color="000000" w:fill="D9D9D9" w:themeFill="background1" w:themeFillShade="D9"/>
            <w:noWrap/>
            <w:vAlign w:val="center"/>
            <w:hideMark/>
          </w:tcPr>
          <w:p w14:paraId="456EC5EA"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3 903 970,74</w:t>
            </w:r>
          </w:p>
        </w:tc>
        <w:tc>
          <w:tcPr>
            <w:tcW w:w="1891" w:type="dxa"/>
            <w:tcBorders>
              <w:top w:val="nil"/>
              <w:left w:val="nil"/>
              <w:bottom w:val="nil"/>
              <w:right w:val="nil"/>
            </w:tcBorders>
            <w:shd w:val="clear" w:color="auto" w:fill="auto"/>
            <w:noWrap/>
            <w:vAlign w:val="center"/>
            <w:hideMark/>
          </w:tcPr>
          <w:p w14:paraId="45AB7661"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6 846 751,79</w:t>
            </w:r>
          </w:p>
        </w:tc>
      </w:tr>
      <w:tr w:rsidR="00E13038" w:rsidRPr="00E13038" w14:paraId="6D65E4E0"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55BACD3C"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Koszt własny sprzedaży</w:t>
            </w:r>
          </w:p>
        </w:tc>
        <w:tc>
          <w:tcPr>
            <w:tcW w:w="2076" w:type="dxa"/>
            <w:tcBorders>
              <w:top w:val="nil"/>
              <w:left w:val="nil"/>
              <w:bottom w:val="nil"/>
              <w:right w:val="nil"/>
            </w:tcBorders>
            <w:shd w:val="clear" w:color="000000" w:fill="D9D9D9" w:themeFill="background1" w:themeFillShade="D9"/>
            <w:noWrap/>
            <w:vAlign w:val="center"/>
            <w:hideMark/>
          </w:tcPr>
          <w:p w14:paraId="7A605009"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3 246 311,87</w:t>
            </w:r>
          </w:p>
        </w:tc>
        <w:tc>
          <w:tcPr>
            <w:tcW w:w="1891" w:type="dxa"/>
            <w:tcBorders>
              <w:top w:val="nil"/>
              <w:left w:val="nil"/>
              <w:bottom w:val="nil"/>
              <w:right w:val="nil"/>
            </w:tcBorders>
            <w:shd w:val="clear" w:color="auto" w:fill="auto"/>
            <w:noWrap/>
            <w:vAlign w:val="center"/>
            <w:hideMark/>
          </w:tcPr>
          <w:p w14:paraId="5BEB4FEC"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7 071 012,43</w:t>
            </w:r>
          </w:p>
        </w:tc>
      </w:tr>
      <w:tr w:rsidR="00E13038" w:rsidRPr="00E13038" w14:paraId="3A99B952"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790A64E6"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Wynik na działalności segmentu</w:t>
            </w:r>
          </w:p>
        </w:tc>
        <w:tc>
          <w:tcPr>
            <w:tcW w:w="207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1ECDD1C1"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657 658,87</w:t>
            </w:r>
          </w:p>
        </w:tc>
        <w:tc>
          <w:tcPr>
            <w:tcW w:w="1891" w:type="dxa"/>
            <w:tcBorders>
              <w:top w:val="single" w:sz="4" w:space="0" w:color="auto"/>
              <w:left w:val="nil"/>
              <w:bottom w:val="double" w:sz="6" w:space="0" w:color="auto"/>
              <w:right w:val="nil"/>
            </w:tcBorders>
            <w:shd w:val="clear" w:color="auto" w:fill="auto"/>
            <w:noWrap/>
            <w:vAlign w:val="center"/>
            <w:hideMark/>
          </w:tcPr>
          <w:p w14:paraId="58F498E0"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-224 260,64</w:t>
            </w:r>
          </w:p>
        </w:tc>
      </w:tr>
      <w:tr w:rsidR="00E13038" w:rsidRPr="00E13038" w14:paraId="1625DD75"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36674081"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noWrap/>
            <w:vAlign w:val="center"/>
            <w:hideMark/>
          </w:tcPr>
          <w:p w14:paraId="322253CE"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69F5CF7D" w14:textId="77777777" w:rsidR="00E13038" w:rsidRPr="00E13038" w:rsidRDefault="00E13038" w:rsidP="00E13038">
            <w:pPr>
              <w:jc w:val="right"/>
              <w:rPr>
                <w:rFonts w:asciiTheme="minorHAnsi" w:hAnsiTheme="minorHAnsi" w:cs="Calibri"/>
                <w:sz w:val="18"/>
                <w:szCs w:val="18"/>
              </w:rPr>
            </w:pPr>
            <w:r w:rsidRPr="00E13038">
              <w:rPr>
                <w:rFonts w:asciiTheme="minorHAnsi" w:hAnsiTheme="minorHAnsi" w:cs="Calibri"/>
                <w:sz w:val="18"/>
                <w:szCs w:val="18"/>
              </w:rPr>
              <w:t> </w:t>
            </w:r>
          </w:p>
        </w:tc>
      </w:tr>
      <w:tr w:rsidR="00E13038" w:rsidRPr="00E13038" w14:paraId="648CA05F"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45AD8C53"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 xml:space="preserve">SEGMENT E - POZOSTAŁE </w:t>
            </w:r>
          </w:p>
        </w:tc>
        <w:tc>
          <w:tcPr>
            <w:tcW w:w="2076" w:type="dxa"/>
            <w:tcBorders>
              <w:top w:val="nil"/>
              <w:left w:val="nil"/>
              <w:bottom w:val="nil"/>
              <w:right w:val="nil"/>
            </w:tcBorders>
            <w:shd w:val="clear" w:color="000000" w:fill="D9D9D9" w:themeFill="background1" w:themeFillShade="D9"/>
            <w:noWrap/>
            <w:vAlign w:val="center"/>
            <w:hideMark/>
          </w:tcPr>
          <w:p w14:paraId="2DED162F"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7B78CE3B" w14:textId="77777777" w:rsidR="00E13038" w:rsidRPr="00E13038" w:rsidRDefault="00E13038" w:rsidP="00E13038">
            <w:pPr>
              <w:jc w:val="right"/>
              <w:rPr>
                <w:rFonts w:asciiTheme="minorHAnsi" w:hAnsiTheme="minorHAnsi" w:cs="Calibri"/>
                <w:sz w:val="18"/>
                <w:szCs w:val="18"/>
              </w:rPr>
            </w:pPr>
            <w:r w:rsidRPr="00E13038">
              <w:rPr>
                <w:rFonts w:asciiTheme="minorHAnsi" w:hAnsiTheme="minorHAnsi" w:cs="Calibri"/>
                <w:sz w:val="18"/>
                <w:szCs w:val="18"/>
              </w:rPr>
              <w:t>0,00 </w:t>
            </w:r>
          </w:p>
        </w:tc>
      </w:tr>
      <w:tr w:rsidR="00E13038" w:rsidRPr="00E13038" w14:paraId="104E74DF"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01F14EEE"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Przychody ze sprzedaży</w:t>
            </w:r>
          </w:p>
        </w:tc>
        <w:tc>
          <w:tcPr>
            <w:tcW w:w="2076" w:type="dxa"/>
            <w:tcBorders>
              <w:top w:val="nil"/>
              <w:left w:val="nil"/>
              <w:bottom w:val="nil"/>
              <w:right w:val="nil"/>
            </w:tcBorders>
            <w:shd w:val="clear" w:color="000000" w:fill="D9D9D9" w:themeFill="background1" w:themeFillShade="D9"/>
            <w:noWrap/>
            <w:vAlign w:val="center"/>
            <w:hideMark/>
          </w:tcPr>
          <w:p w14:paraId="216DC1F3" w14:textId="77777777" w:rsidR="00E13038" w:rsidRPr="00E13038" w:rsidRDefault="00E13038" w:rsidP="00E13038">
            <w:pPr>
              <w:jc w:val="right"/>
              <w:rPr>
                <w:rFonts w:asciiTheme="minorHAnsi" w:hAnsiTheme="minorHAnsi" w:cs="Arial"/>
                <w:sz w:val="18"/>
                <w:szCs w:val="18"/>
              </w:rPr>
            </w:pPr>
          </w:p>
        </w:tc>
        <w:tc>
          <w:tcPr>
            <w:tcW w:w="1891" w:type="dxa"/>
            <w:tcBorders>
              <w:top w:val="nil"/>
              <w:left w:val="nil"/>
              <w:bottom w:val="nil"/>
              <w:right w:val="nil"/>
            </w:tcBorders>
            <w:shd w:val="clear" w:color="auto" w:fill="auto"/>
            <w:noWrap/>
            <w:vAlign w:val="center"/>
            <w:hideMark/>
          </w:tcPr>
          <w:p w14:paraId="0AB657AE" w14:textId="77777777" w:rsidR="00E13038" w:rsidRPr="00E13038" w:rsidRDefault="00E13038" w:rsidP="00E13038">
            <w:pPr>
              <w:jc w:val="right"/>
              <w:rPr>
                <w:rFonts w:asciiTheme="minorHAnsi" w:hAnsiTheme="minorHAnsi" w:cs="Arial"/>
                <w:sz w:val="18"/>
                <w:szCs w:val="18"/>
              </w:rPr>
            </w:pPr>
          </w:p>
        </w:tc>
      </w:tr>
      <w:tr w:rsidR="00E13038" w:rsidRPr="00E13038" w14:paraId="28773DDA"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2CE64D81"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Koszt własny sprzedaży</w:t>
            </w:r>
          </w:p>
        </w:tc>
        <w:tc>
          <w:tcPr>
            <w:tcW w:w="2076" w:type="dxa"/>
            <w:tcBorders>
              <w:top w:val="nil"/>
              <w:left w:val="nil"/>
              <w:bottom w:val="nil"/>
              <w:right w:val="nil"/>
            </w:tcBorders>
            <w:shd w:val="clear" w:color="000000" w:fill="D9D9D9" w:themeFill="background1" w:themeFillShade="D9"/>
            <w:noWrap/>
            <w:vAlign w:val="center"/>
            <w:hideMark/>
          </w:tcPr>
          <w:p w14:paraId="1A381413" w14:textId="77777777" w:rsidR="00E13038" w:rsidRPr="00E13038" w:rsidRDefault="00E13038" w:rsidP="00E13038">
            <w:pPr>
              <w:jc w:val="right"/>
              <w:rPr>
                <w:rFonts w:asciiTheme="minorHAnsi" w:hAnsiTheme="minorHAnsi" w:cs="Arial"/>
                <w:sz w:val="18"/>
                <w:szCs w:val="18"/>
              </w:rPr>
            </w:pPr>
          </w:p>
        </w:tc>
        <w:tc>
          <w:tcPr>
            <w:tcW w:w="1891" w:type="dxa"/>
            <w:tcBorders>
              <w:top w:val="nil"/>
              <w:left w:val="nil"/>
              <w:bottom w:val="nil"/>
              <w:right w:val="nil"/>
            </w:tcBorders>
            <w:shd w:val="clear" w:color="auto" w:fill="auto"/>
            <w:noWrap/>
            <w:vAlign w:val="center"/>
            <w:hideMark/>
          </w:tcPr>
          <w:p w14:paraId="7466D7F1"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0,00</w:t>
            </w:r>
          </w:p>
        </w:tc>
      </w:tr>
      <w:tr w:rsidR="00E13038" w:rsidRPr="00E13038" w14:paraId="7824DC0F"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018C8D12"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Wynik na działalności segmentu</w:t>
            </w:r>
          </w:p>
        </w:tc>
        <w:tc>
          <w:tcPr>
            <w:tcW w:w="207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80C99D9"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0,00</w:t>
            </w:r>
          </w:p>
        </w:tc>
        <w:tc>
          <w:tcPr>
            <w:tcW w:w="1891" w:type="dxa"/>
            <w:tcBorders>
              <w:top w:val="single" w:sz="4" w:space="0" w:color="auto"/>
              <w:left w:val="nil"/>
              <w:bottom w:val="double" w:sz="6" w:space="0" w:color="auto"/>
              <w:right w:val="nil"/>
            </w:tcBorders>
            <w:shd w:val="clear" w:color="auto" w:fill="auto"/>
            <w:noWrap/>
            <w:vAlign w:val="center"/>
            <w:hideMark/>
          </w:tcPr>
          <w:p w14:paraId="6676D70C"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0,00</w:t>
            </w:r>
          </w:p>
        </w:tc>
      </w:tr>
      <w:tr w:rsidR="00E13038" w:rsidRPr="00E13038" w14:paraId="6B15D3CC"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391B14CD"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noWrap/>
            <w:vAlign w:val="center"/>
            <w:hideMark/>
          </w:tcPr>
          <w:p w14:paraId="5EF9BEEF"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2E1EB516" w14:textId="77777777" w:rsidR="00E13038" w:rsidRPr="00E13038" w:rsidRDefault="00E13038" w:rsidP="00E13038">
            <w:pPr>
              <w:jc w:val="right"/>
              <w:rPr>
                <w:rFonts w:asciiTheme="minorHAnsi" w:hAnsiTheme="minorHAnsi" w:cs="Calibri"/>
                <w:sz w:val="18"/>
                <w:szCs w:val="18"/>
              </w:rPr>
            </w:pPr>
          </w:p>
        </w:tc>
      </w:tr>
      <w:tr w:rsidR="00E13038" w:rsidRPr="00E13038" w14:paraId="069FC5DF"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3F6B2BE6"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Przychody ze sprzedaży towarów i materiałów</w:t>
            </w:r>
          </w:p>
        </w:tc>
        <w:tc>
          <w:tcPr>
            <w:tcW w:w="2076" w:type="dxa"/>
            <w:tcBorders>
              <w:top w:val="nil"/>
              <w:left w:val="nil"/>
              <w:bottom w:val="nil"/>
              <w:right w:val="nil"/>
            </w:tcBorders>
            <w:shd w:val="clear" w:color="000000" w:fill="D9D9D9" w:themeFill="background1" w:themeFillShade="D9"/>
            <w:noWrap/>
            <w:vAlign w:val="center"/>
            <w:hideMark/>
          </w:tcPr>
          <w:p w14:paraId="0D7FFAE3"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13 936,20</w:t>
            </w:r>
          </w:p>
        </w:tc>
        <w:tc>
          <w:tcPr>
            <w:tcW w:w="1891" w:type="dxa"/>
            <w:tcBorders>
              <w:top w:val="nil"/>
              <w:left w:val="nil"/>
              <w:bottom w:val="nil"/>
              <w:right w:val="nil"/>
            </w:tcBorders>
            <w:shd w:val="clear" w:color="auto" w:fill="auto"/>
            <w:noWrap/>
            <w:vAlign w:val="center"/>
            <w:hideMark/>
          </w:tcPr>
          <w:p w14:paraId="01C89243"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11 648,20</w:t>
            </w:r>
          </w:p>
        </w:tc>
      </w:tr>
      <w:tr w:rsidR="00E13038" w:rsidRPr="00E13038" w14:paraId="511CC30E"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3A76B1F7"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Koszt własny sprzedaży towarów i materiałów</w:t>
            </w:r>
          </w:p>
        </w:tc>
        <w:tc>
          <w:tcPr>
            <w:tcW w:w="2076" w:type="dxa"/>
            <w:tcBorders>
              <w:top w:val="nil"/>
              <w:left w:val="nil"/>
              <w:bottom w:val="nil"/>
              <w:right w:val="nil"/>
            </w:tcBorders>
            <w:shd w:val="clear" w:color="000000" w:fill="D9D9D9" w:themeFill="background1" w:themeFillShade="D9"/>
            <w:noWrap/>
            <w:vAlign w:val="center"/>
            <w:hideMark/>
          </w:tcPr>
          <w:p w14:paraId="769612CE" w14:textId="77777777" w:rsidR="00E13038" w:rsidRPr="00E13038" w:rsidRDefault="00E13038" w:rsidP="00E13038">
            <w:pPr>
              <w:jc w:val="right"/>
              <w:rPr>
                <w:rFonts w:asciiTheme="minorHAnsi" w:hAnsiTheme="minorHAnsi" w:cs="Arial"/>
                <w:sz w:val="18"/>
                <w:szCs w:val="18"/>
              </w:rPr>
            </w:pPr>
          </w:p>
        </w:tc>
        <w:tc>
          <w:tcPr>
            <w:tcW w:w="1891" w:type="dxa"/>
            <w:tcBorders>
              <w:top w:val="nil"/>
              <w:left w:val="nil"/>
              <w:bottom w:val="nil"/>
              <w:right w:val="nil"/>
            </w:tcBorders>
            <w:shd w:val="clear" w:color="auto" w:fill="auto"/>
            <w:noWrap/>
            <w:vAlign w:val="center"/>
            <w:hideMark/>
          </w:tcPr>
          <w:p w14:paraId="765C61B1" w14:textId="77777777" w:rsidR="00E13038" w:rsidRPr="00E13038" w:rsidRDefault="00E13038" w:rsidP="00E13038">
            <w:pPr>
              <w:jc w:val="right"/>
              <w:rPr>
                <w:rFonts w:asciiTheme="minorHAnsi" w:hAnsiTheme="minorHAnsi" w:cs="Arial"/>
                <w:sz w:val="18"/>
                <w:szCs w:val="18"/>
              </w:rPr>
            </w:pPr>
          </w:p>
        </w:tc>
      </w:tr>
      <w:tr w:rsidR="00E13038" w:rsidRPr="00E13038" w14:paraId="0FA01602"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5773BE63"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Wynik na sprzedaży towarów i materiałów</w:t>
            </w:r>
          </w:p>
        </w:tc>
        <w:tc>
          <w:tcPr>
            <w:tcW w:w="207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0E5BAEB0"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13 936,20</w:t>
            </w:r>
          </w:p>
        </w:tc>
        <w:tc>
          <w:tcPr>
            <w:tcW w:w="1891" w:type="dxa"/>
            <w:tcBorders>
              <w:top w:val="single" w:sz="4" w:space="0" w:color="auto"/>
              <w:left w:val="nil"/>
              <w:bottom w:val="double" w:sz="6" w:space="0" w:color="auto"/>
              <w:right w:val="nil"/>
            </w:tcBorders>
            <w:shd w:val="clear" w:color="auto" w:fill="auto"/>
            <w:noWrap/>
            <w:vAlign w:val="center"/>
            <w:hideMark/>
          </w:tcPr>
          <w:p w14:paraId="6E495DCB"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11 648,20</w:t>
            </w:r>
          </w:p>
        </w:tc>
      </w:tr>
      <w:tr w:rsidR="00E13038" w:rsidRPr="00E13038" w14:paraId="0C6A7B19"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0B78F584" w14:textId="77777777" w:rsidR="00E13038" w:rsidRPr="00E13038" w:rsidRDefault="00E13038" w:rsidP="00E13038">
            <w:pPr>
              <w:rPr>
                <w:rFonts w:asciiTheme="minorHAnsi" w:hAnsiTheme="minorHAnsi" w:cs="Calibri"/>
                <w:sz w:val="18"/>
                <w:szCs w:val="18"/>
              </w:rPr>
            </w:pPr>
          </w:p>
        </w:tc>
        <w:tc>
          <w:tcPr>
            <w:tcW w:w="2076" w:type="dxa"/>
            <w:tcBorders>
              <w:top w:val="nil"/>
              <w:left w:val="nil"/>
              <w:bottom w:val="nil"/>
              <w:right w:val="nil"/>
            </w:tcBorders>
            <w:shd w:val="clear" w:color="000000" w:fill="D9D9D9" w:themeFill="background1" w:themeFillShade="D9"/>
            <w:noWrap/>
            <w:vAlign w:val="center"/>
            <w:hideMark/>
          </w:tcPr>
          <w:p w14:paraId="3A6F7191" w14:textId="77777777" w:rsidR="00E13038" w:rsidRPr="00E13038" w:rsidRDefault="00E13038" w:rsidP="00E13038">
            <w:pPr>
              <w:jc w:val="right"/>
              <w:rPr>
                <w:rFonts w:asciiTheme="minorHAnsi" w:hAnsiTheme="minorHAnsi" w:cs="Calibri"/>
                <w:sz w:val="18"/>
                <w:szCs w:val="18"/>
              </w:rPr>
            </w:pPr>
          </w:p>
        </w:tc>
        <w:tc>
          <w:tcPr>
            <w:tcW w:w="1891" w:type="dxa"/>
            <w:tcBorders>
              <w:top w:val="nil"/>
              <w:left w:val="nil"/>
              <w:bottom w:val="nil"/>
              <w:right w:val="nil"/>
            </w:tcBorders>
            <w:shd w:val="clear" w:color="auto" w:fill="auto"/>
            <w:noWrap/>
            <w:vAlign w:val="center"/>
            <w:hideMark/>
          </w:tcPr>
          <w:p w14:paraId="60648C62" w14:textId="77777777" w:rsidR="00E13038" w:rsidRPr="00E13038" w:rsidRDefault="00E13038" w:rsidP="00E13038">
            <w:pPr>
              <w:jc w:val="right"/>
              <w:rPr>
                <w:rFonts w:asciiTheme="minorHAnsi" w:hAnsiTheme="minorHAnsi" w:cs="Calibri"/>
                <w:sz w:val="18"/>
                <w:szCs w:val="18"/>
              </w:rPr>
            </w:pPr>
          </w:p>
        </w:tc>
      </w:tr>
      <w:tr w:rsidR="00E13038" w:rsidRPr="00E13038" w14:paraId="0C3A7856"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6C012C58"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Razem przychody</w:t>
            </w:r>
          </w:p>
        </w:tc>
        <w:tc>
          <w:tcPr>
            <w:tcW w:w="2076" w:type="dxa"/>
            <w:tcBorders>
              <w:top w:val="nil"/>
              <w:left w:val="nil"/>
              <w:bottom w:val="nil"/>
              <w:right w:val="nil"/>
            </w:tcBorders>
            <w:shd w:val="clear" w:color="000000" w:fill="D9D9D9" w:themeFill="background1" w:themeFillShade="D9"/>
            <w:noWrap/>
            <w:vAlign w:val="center"/>
            <w:hideMark/>
          </w:tcPr>
          <w:p w14:paraId="040F2A01"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8 320 989,74</w:t>
            </w:r>
          </w:p>
        </w:tc>
        <w:tc>
          <w:tcPr>
            <w:tcW w:w="1891" w:type="dxa"/>
            <w:tcBorders>
              <w:top w:val="nil"/>
              <w:left w:val="nil"/>
              <w:bottom w:val="nil"/>
              <w:right w:val="nil"/>
            </w:tcBorders>
            <w:shd w:val="clear" w:color="auto" w:fill="auto"/>
            <w:noWrap/>
            <w:vAlign w:val="center"/>
            <w:hideMark/>
          </w:tcPr>
          <w:p w14:paraId="54CB098E"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12 682 324,68</w:t>
            </w:r>
          </w:p>
        </w:tc>
      </w:tr>
      <w:tr w:rsidR="00E13038" w:rsidRPr="00E13038" w14:paraId="0780D9E1" w14:textId="77777777" w:rsidTr="00E13038">
        <w:trPr>
          <w:trHeight w:val="255"/>
          <w:jc w:val="center"/>
        </w:trPr>
        <w:tc>
          <w:tcPr>
            <w:tcW w:w="4856" w:type="dxa"/>
            <w:tcBorders>
              <w:top w:val="nil"/>
              <w:left w:val="nil"/>
              <w:bottom w:val="nil"/>
              <w:right w:val="nil"/>
            </w:tcBorders>
            <w:shd w:val="clear" w:color="auto" w:fill="auto"/>
            <w:noWrap/>
            <w:vAlign w:val="center"/>
            <w:hideMark/>
          </w:tcPr>
          <w:p w14:paraId="3A27365C" w14:textId="77777777" w:rsidR="00E13038" w:rsidRPr="00E13038" w:rsidRDefault="00E13038" w:rsidP="00E13038">
            <w:pPr>
              <w:rPr>
                <w:rFonts w:asciiTheme="minorHAnsi" w:hAnsiTheme="minorHAnsi" w:cs="Calibri"/>
                <w:sz w:val="18"/>
                <w:szCs w:val="18"/>
              </w:rPr>
            </w:pPr>
            <w:r w:rsidRPr="00E13038">
              <w:rPr>
                <w:rFonts w:asciiTheme="minorHAnsi" w:hAnsiTheme="minorHAnsi" w:cs="Calibri"/>
                <w:sz w:val="18"/>
                <w:szCs w:val="18"/>
              </w:rPr>
              <w:t>Razem koszty</w:t>
            </w:r>
          </w:p>
        </w:tc>
        <w:tc>
          <w:tcPr>
            <w:tcW w:w="2076" w:type="dxa"/>
            <w:tcBorders>
              <w:top w:val="nil"/>
              <w:left w:val="nil"/>
              <w:bottom w:val="nil"/>
              <w:right w:val="nil"/>
            </w:tcBorders>
            <w:shd w:val="clear" w:color="000000" w:fill="D9D9D9" w:themeFill="background1" w:themeFillShade="D9"/>
            <w:noWrap/>
            <w:vAlign w:val="center"/>
            <w:hideMark/>
          </w:tcPr>
          <w:p w14:paraId="0D5D4D54"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9 172 549,26</w:t>
            </w:r>
          </w:p>
        </w:tc>
        <w:tc>
          <w:tcPr>
            <w:tcW w:w="1891" w:type="dxa"/>
            <w:tcBorders>
              <w:top w:val="nil"/>
              <w:left w:val="nil"/>
              <w:bottom w:val="nil"/>
              <w:right w:val="nil"/>
            </w:tcBorders>
            <w:shd w:val="clear" w:color="auto" w:fill="auto"/>
            <w:noWrap/>
            <w:vAlign w:val="center"/>
            <w:hideMark/>
          </w:tcPr>
          <w:p w14:paraId="4F6C4431" w14:textId="77777777" w:rsidR="00E13038" w:rsidRPr="00E13038" w:rsidRDefault="00E13038" w:rsidP="00E13038">
            <w:pPr>
              <w:jc w:val="right"/>
              <w:rPr>
                <w:rFonts w:asciiTheme="minorHAnsi" w:hAnsiTheme="minorHAnsi" w:cs="Arial"/>
                <w:sz w:val="18"/>
                <w:szCs w:val="18"/>
              </w:rPr>
            </w:pPr>
            <w:r w:rsidRPr="00E13038">
              <w:rPr>
                <w:rFonts w:asciiTheme="minorHAnsi" w:hAnsiTheme="minorHAnsi" w:cs="Arial"/>
                <w:sz w:val="18"/>
                <w:szCs w:val="18"/>
              </w:rPr>
              <w:t>11 602 802,91</w:t>
            </w:r>
          </w:p>
        </w:tc>
      </w:tr>
      <w:tr w:rsidR="00E13038" w:rsidRPr="00E13038" w14:paraId="72D0B0A7" w14:textId="77777777" w:rsidTr="00E13038">
        <w:trPr>
          <w:trHeight w:val="270"/>
          <w:jc w:val="center"/>
        </w:trPr>
        <w:tc>
          <w:tcPr>
            <w:tcW w:w="4856" w:type="dxa"/>
            <w:tcBorders>
              <w:top w:val="nil"/>
              <w:left w:val="nil"/>
              <w:bottom w:val="nil"/>
              <w:right w:val="nil"/>
            </w:tcBorders>
            <w:shd w:val="clear" w:color="auto" w:fill="auto"/>
            <w:noWrap/>
            <w:vAlign w:val="center"/>
            <w:hideMark/>
          </w:tcPr>
          <w:p w14:paraId="75334A8D" w14:textId="77777777" w:rsidR="00E13038" w:rsidRPr="00E13038" w:rsidRDefault="00E13038" w:rsidP="00E13038">
            <w:pPr>
              <w:rPr>
                <w:rFonts w:asciiTheme="minorHAnsi" w:hAnsiTheme="minorHAnsi" w:cs="Calibri"/>
                <w:b/>
                <w:bCs/>
                <w:sz w:val="18"/>
                <w:szCs w:val="18"/>
              </w:rPr>
            </w:pPr>
            <w:r w:rsidRPr="00E13038">
              <w:rPr>
                <w:rFonts w:asciiTheme="minorHAnsi" w:hAnsiTheme="minorHAnsi" w:cs="Calibri"/>
                <w:b/>
                <w:bCs/>
                <w:sz w:val="18"/>
                <w:szCs w:val="18"/>
              </w:rPr>
              <w:t>Razem wynik na sprzedaży</w:t>
            </w:r>
          </w:p>
        </w:tc>
        <w:tc>
          <w:tcPr>
            <w:tcW w:w="2076" w:type="dxa"/>
            <w:tcBorders>
              <w:top w:val="single" w:sz="4" w:space="0" w:color="auto"/>
              <w:left w:val="nil"/>
              <w:bottom w:val="double" w:sz="6" w:space="0" w:color="auto"/>
              <w:right w:val="nil"/>
            </w:tcBorders>
            <w:shd w:val="clear" w:color="000000" w:fill="D9D9D9" w:themeFill="background1" w:themeFillShade="D9"/>
            <w:noWrap/>
            <w:vAlign w:val="center"/>
            <w:hideMark/>
          </w:tcPr>
          <w:p w14:paraId="4BBFFDCE"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-851 559,52</w:t>
            </w:r>
          </w:p>
        </w:tc>
        <w:tc>
          <w:tcPr>
            <w:tcW w:w="1891" w:type="dxa"/>
            <w:tcBorders>
              <w:top w:val="single" w:sz="4" w:space="0" w:color="auto"/>
              <w:left w:val="nil"/>
              <w:bottom w:val="double" w:sz="6" w:space="0" w:color="auto"/>
              <w:right w:val="nil"/>
            </w:tcBorders>
            <w:shd w:val="clear" w:color="auto" w:fill="auto"/>
            <w:noWrap/>
            <w:vAlign w:val="center"/>
            <w:hideMark/>
          </w:tcPr>
          <w:p w14:paraId="1F78A7F9" w14:textId="77777777" w:rsidR="00E13038" w:rsidRPr="00E13038" w:rsidRDefault="00E13038" w:rsidP="00E13038">
            <w:pPr>
              <w:jc w:val="right"/>
              <w:rPr>
                <w:rFonts w:asciiTheme="minorHAnsi" w:hAnsiTheme="minorHAnsi" w:cs="Arial"/>
                <w:b/>
                <w:bCs/>
                <w:sz w:val="18"/>
                <w:szCs w:val="18"/>
              </w:rPr>
            </w:pPr>
            <w:r w:rsidRPr="00E13038">
              <w:rPr>
                <w:rFonts w:asciiTheme="minorHAnsi" w:hAnsiTheme="minorHAnsi" w:cs="Arial"/>
                <w:b/>
                <w:bCs/>
                <w:sz w:val="18"/>
                <w:szCs w:val="18"/>
              </w:rPr>
              <w:t>1 079 521,77</w:t>
            </w:r>
          </w:p>
        </w:tc>
      </w:tr>
    </w:tbl>
    <w:p w14:paraId="4B15F585" w14:textId="77777777" w:rsidR="00E13038" w:rsidRDefault="00E13038" w:rsidP="00E13038">
      <w:pPr>
        <w:widowControl w:val="0"/>
        <w:jc w:val="both"/>
        <w:rPr>
          <w:rFonts w:asciiTheme="minorHAnsi" w:hAnsiTheme="minorHAnsi" w:cs="Arial"/>
          <w:b/>
          <w:sz w:val="22"/>
          <w:szCs w:val="22"/>
        </w:rPr>
      </w:pPr>
    </w:p>
    <w:p w14:paraId="2478DD17" w14:textId="77777777" w:rsidR="00E13038" w:rsidRPr="00E13038" w:rsidRDefault="00E13038" w:rsidP="00E13038">
      <w:pPr>
        <w:widowControl w:val="0"/>
        <w:jc w:val="both"/>
        <w:rPr>
          <w:rFonts w:asciiTheme="minorHAnsi" w:hAnsiTheme="minorHAnsi" w:cs="Arial"/>
          <w:b/>
          <w:sz w:val="22"/>
          <w:szCs w:val="22"/>
        </w:rPr>
      </w:pPr>
    </w:p>
    <w:p w14:paraId="4BC672CD" w14:textId="77777777" w:rsidR="00E13038" w:rsidRPr="00E13038" w:rsidRDefault="00E13038" w:rsidP="00E13038">
      <w:pPr>
        <w:widowControl w:val="0"/>
        <w:tabs>
          <w:tab w:val="left" w:pos="540"/>
        </w:tabs>
        <w:spacing w:line="360" w:lineRule="auto"/>
        <w:jc w:val="both"/>
        <w:rPr>
          <w:rFonts w:asciiTheme="minorHAnsi" w:hAnsiTheme="minorHAnsi" w:cs="Arial"/>
          <w:sz w:val="22"/>
          <w:szCs w:val="22"/>
        </w:rPr>
      </w:pPr>
      <w:r>
        <w:rPr>
          <w:rFonts w:asciiTheme="minorHAnsi" w:hAnsiTheme="minorHAnsi" w:cs="Arial"/>
          <w:sz w:val="22"/>
          <w:szCs w:val="22"/>
        </w:rPr>
        <w:tab/>
      </w:r>
      <w:r w:rsidRPr="00E13038">
        <w:rPr>
          <w:rFonts w:asciiTheme="minorHAnsi" w:hAnsiTheme="minorHAnsi" w:cs="Arial"/>
          <w:sz w:val="22"/>
          <w:szCs w:val="22"/>
        </w:rPr>
        <w:t xml:space="preserve">Wypracowany wynik finansowy Spółki PER odzwierciedla panującą sytuację gospodarczą </w:t>
      </w:r>
      <w:r w:rsidR="000A3917">
        <w:rPr>
          <w:rFonts w:asciiTheme="minorHAnsi" w:hAnsiTheme="minorHAnsi" w:cs="Arial"/>
          <w:sz w:val="22"/>
          <w:szCs w:val="22"/>
        </w:rPr>
        <w:br/>
      </w:r>
      <w:r w:rsidRPr="00E13038">
        <w:rPr>
          <w:rFonts w:asciiTheme="minorHAnsi" w:hAnsiTheme="minorHAnsi" w:cs="Arial"/>
          <w:sz w:val="22"/>
          <w:szCs w:val="22"/>
        </w:rPr>
        <w:t xml:space="preserve">na rynku usług w kraju. Spowolnienie gospodarcze, zła kondycja finansowa polskich  przedsiębiorstw oraz zatory płatnicze wymuszają zmniejszanie wydatków remontowych i ograniczanie nakładów inwestycyjnych. Rezultatem jest zmniejszona ilość inwestycji,  zamówień pojawiających się na rynku </w:t>
      </w:r>
      <w:r w:rsidR="000A3917">
        <w:rPr>
          <w:rFonts w:asciiTheme="minorHAnsi" w:hAnsiTheme="minorHAnsi" w:cs="Arial"/>
          <w:sz w:val="22"/>
          <w:szCs w:val="22"/>
        </w:rPr>
        <w:br/>
      </w:r>
      <w:r w:rsidRPr="00E13038">
        <w:rPr>
          <w:rFonts w:asciiTheme="minorHAnsi" w:hAnsiTheme="minorHAnsi" w:cs="Arial"/>
          <w:sz w:val="22"/>
          <w:szCs w:val="22"/>
        </w:rPr>
        <w:t xml:space="preserve">i wysoka konkurencja przy pozyskiwaniu zleceń.  Wymusza to konieczność dostosowania oferty cenowej usług do oczekiwań klientów „na niską cenę” i  uzyskanie niższej marży świadczonych usługach. Spółka, chcąc sprostać wymaganiom rynkowym, wydłuża również terminy płatności, rezygnuje z etapowego rozliczania realizowanych prac.  Dla utrzymania i zwiększenia portfela usług Spółka zacieśnia współpracę z dotychczasowymi partnerami biznesowymi i sukcesywnie pozyskuje nowych inwestorów. </w:t>
      </w:r>
    </w:p>
    <w:p w14:paraId="172F0C33" w14:textId="77777777" w:rsidR="00E13038" w:rsidRPr="00E13038" w:rsidRDefault="00E13038" w:rsidP="00E13038">
      <w:pPr>
        <w:widowControl w:val="0"/>
        <w:spacing w:line="360" w:lineRule="auto"/>
        <w:ind w:firstLine="567"/>
        <w:jc w:val="both"/>
        <w:rPr>
          <w:rFonts w:asciiTheme="minorHAnsi" w:hAnsiTheme="minorHAnsi" w:cs="Arial"/>
          <w:sz w:val="22"/>
          <w:szCs w:val="22"/>
        </w:rPr>
      </w:pPr>
      <w:r w:rsidRPr="00E13038">
        <w:rPr>
          <w:rFonts w:asciiTheme="minorHAnsi" w:hAnsiTheme="minorHAnsi" w:cs="Arial"/>
          <w:sz w:val="22"/>
          <w:szCs w:val="22"/>
        </w:rPr>
        <w:t xml:space="preserve">Realizacja tak przyjętej  strategii pozwoli w przyszłości na wypracowanie większych  marż na realizowanych zleceniach i poprawę wskaźników rentowności Spółki, przy równoczesnym realizowaniu umów wieloletnich z zakresu serwisu remontowego urządzeń energetycznych.  Zarząd Spółki </w:t>
      </w:r>
      <w:r w:rsidRPr="00E13038">
        <w:rPr>
          <w:rFonts w:asciiTheme="minorHAnsi" w:hAnsiTheme="minorHAnsi" w:cstheme="minorHAnsi"/>
          <w:sz w:val="22"/>
          <w:szCs w:val="22"/>
        </w:rPr>
        <w:t xml:space="preserve">kładzie nacisk na poszukiwanie i wdrażanie oszczędności w kosztach stałych funkcjonowania i ograniczenie zbędnych wydatków finansowych nieprzynoszących wymiernych korzyści ekonomicznych. Prowadzona jest również ścisła kontrola wydatków i poziomu kosztów w ramach realizowanych zamówień. Pozwala to na efektywniejsze wykorzystanie posiadanych zasobów Spółki, zarówno majątkowych, jak i kadrowych oraz ograniczenie realizacji nierentownych zadań produkcyjnych. </w:t>
      </w:r>
    </w:p>
    <w:p w14:paraId="02F3BF52" w14:textId="77777777" w:rsidR="00E13038" w:rsidRPr="00E13038" w:rsidRDefault="00E13038" w:rsidP="00E13038">
      <w:pPr>
        <w:widowControl w:val="0"/>
        <w:tabs>
          <w:tab w:val="left" w:pos="540"/>
        </w:tabs>
        <w:spacing w:line="360" w:lineRule="auto"/>
        <w:jc w:val="both"/>
        <w:rPr>
          <w:rFonts w:asciiTheme="minorHAnsi" w:hAnsiTheme="minorHAnsi" w:cs="Arial"/>
          <w:b/>
          <w:sz w:val="22"/>
          <w:szCs w:val="22"/>
        </w:rPr>
      </w:pPr>
      <w:r>
        <w:rPr>
          <w:rFonts w:asciiTheme="minorHAnsi" w:hAnsiTheme="minorHAnsi"/>
          <w:sz w:val="22"/>
          <w:szCs w:val="22"/>
        </w:rPr>
        <w:tab/>
      </w:r>
      <w:r w:rsidRPr="00E13038">
        <w:rPr>
          <w:rFonts w:asciiTheme="minorHAnsi" w:hAnsiTheme="minorHAnsi"/>
          <w:sz w:val="22"/>
          <w:szCs w:val="22"/>
        </w:rPr>
        <w:t>Spółka PE</w:t>
      </w:r>
      <w:r>
        <w:rPr>
          <w:rFonts w:asciiTheme="minorHAnsi" w:hAnsiTheme="minorHAnsi"/>
          <w:sz w:val="22"/>
          <w:szCs w:val="22"/>
        </w:rPr>
        <w:t xml:space="preserve">TRO </w:t>
      </w:r>
      <w:proofErr w:type="spellStart"/>
      <w:r>
        <w:rPr>
          <w:rFonts w:asciiTheme="minorHAnsi" w:hAnsiTheme="minorHAnsi"/>
          <w:sz w:val="22"/>
          <w:szCs w:val="22"/>
        </w:rPr>
        <w:t>Energo</w:t>
      </w:r>
      <w:r w:rsidRPr="00E13038">
        <w:rPr>
          <w:rFonts w:asciiTheme="minorHAnsi" w:hAnsiTheme="minorHAnsi"/>
          <w:sz w:val="22"/>
          <w:szCs w:val="22"/>
        </w:rPr>
        <w:t>R</w:t>
      </w:r>
      <w:r>
        <w:rPr>
          <w:rFonts w:asciiTheme="minorHAnsi" w:hAnsiTheme="minorHAnsi"/>
          <w:sz w:val="22"/>
          <w:szCs w:val="22"/>
        </w:rPr>
        <w:t>em</w:t>
      </w:r>
      <w:proofErr w:type="spellEnd"/>
      <w:r>
        <w:rPr>
          <w:rFonts w:asciiTheme="minorHAnsi" w:hAnsiTheme="minorHAnsi"/>
          <w:sz w:val="22"/>
          <w:szCs w:val="22"/>
        </w:rPr>
        <w:t xml:space="preserve"> Sp. z o.o.</w:t>
      </w:r>
      <w:r w:rsidRPr="00E13038">
        <w:rPr>
          <w:rFonts w:asciiTheme="minorHAnsi" w:hAnsiTheme="minorHAnsi"/>
          <w:sz w:val="22"/>
          <w:szCs w:val="22"/>
        </w:rPr>
        <w:t xml:space="preserve"> znajduje się w dobrej kondycji finansowej na bieżąco reguluje swoje zobowiązania i nie posiada w strukturze wiekowej zobowiązań przeterminowanych.</w:t>
      </w:r>
    </w:p>
    <w:p w14:paraId="5BFF6881" w14:textId="77777777" w:rsidR="001D361F" w:rsidRDefault="001D361F" w:rsidP="001702FD">
      <w:pPr>
        <w:spacing w:line="360" w:lineRule="auto"/>
        <w:jc w:val="both"/>
        <w:rPr>
          <w:rFonts w:asciiTheme="minorHAnsi" w:hAnsiTheme="minorHAnsi"/>
          <w:color w:val="000000"/>
          <w:spacing w:val="-2"/>
          <w:sz w:val="22"/>
          <w:szCs w:val="22"/>
        </w:rPr>
      </w:pPr>
    </w:p>
    <w:p w14:paraId="70591426" w14:textId="77777777" w:rsidR="00E13038" w:rsidRDefault="00E13038">
      <w:pPr>
        <w:rPr>
          <w:rFonts w:asciiTheme="minorHAnsi" w:hAnsiTheme="minorHAnsi"/>
          <w:color w:val="000000"/>
          <w:spacing w:val="-2"/>
          <w:sz w:val="22"/>
          <w:szCs w:val="22"/>
        </w:rPr>
      </w:pPr>
      <w:r w:rsidRPr="009E3D78">
        <w:rPr>
          <w:rFonts w:ascii="Calibri" w:hAnsi="Calibri" w:cs="Arial"/>
          <w:u w:val="single"/>
        </w:rPr>
        <w:t xml:space="preserve">Dane finansowe jednostkowe dotyczące Spółki zależnej – </w:t>
      </w:r>
      <w:r>
        <w:rPr>
          <w:rFonts w:ascii="Calibri" w:hAnsi="Calibri" w:cs="Arial"/>
          <w:u w:val="single"/>
        </w:rPr>
        <w:t>BALTICSERVIS</w:t>
      </w:r>
      <w:r w:rsidRPr="009E3D78">
        <w:rPr>
          <w:rFonts w:ascii="Calibri" w:hAnsi="Calibri" w:cs="Arial"/>
          <w:u w:val="single"/>
        </w:rPr>
        <w:t xml:space="preserve"> Sp. z o.o.</w:t>
      </w:r>
    </w:p>
    <w:p w14:paraId="2466ED3E" w14:textId="77777777" w:rsidR="00E13038" w:rsidRPr="00E13038" w:rsidRDefault="00E13038">
      <w:pPr>
        <w:rPr>
          <w:rFonts w:asciiTheme="minorHAnsi" w:hAnsiTheme="minorHAnsi"/>
          <w:color w:val="000000"/>
          <w:spacing w:val="-2"/>
          <w:sz w:val="28"/>
          <w:szCs w:val="28"/>
        </w:rPr>
      </w:pPr>
    </w:p>
    <w:p w14:paraId="1BA82BAF" w14:textId="77777777" w:rsidR="00E13038" w:rsidRPr="00145CEF" w:rsidRDefault="00E13038" w:rsidP="00E13038">
      <w:pPr>
        <w:widowControl w:val="0"/>
        <w:tabs>
          <w:tab w:val="left" w:pos="540"/>
        </w:tabs>
        <w:spacing w:line="360" w:lineRule="auto"/>
        <w:jc w:val="both"/>
        <w:rPr>
          <w:rFonts w:ascii="Calibri" w:hAnsi="Calibri" w:cs="Calibri"/>
          <w:sz w:val="22"/>
          <w:szCs w:val="22"/>
        </w:rPr>
      </w:pPr>
      <w:r>
        <w:rPr>
          <w:rFonts w:ascii="Calibri" w:hAnsi="Calibri" w:cs="Calibri"/>
          <w:sz w:val="22"/>
          <w:szCs w:val="22"/>
        </w:rPr>
        <w:tab/>
      </w:r>
      <w:r w:rsidRPr="00145CEF">
        <w:rPr>
          <w:rFonts w:ascii="Calibri" w:hAnsi="Calibri" w:cs="Calibri"/>
          <w:sz w:val="22"/>
          <w:szCs w:val="22"/>
        </w:rPr>
        <w:t xml:space="preserve">W pierwszym półroczu 2016 roku Spółka </w:t>
      </w:r>
      <w:proofErr w:type="spellStart"/>
      <w:r w:rsidRPr="00145CEF">
        <w:rPr>
          <w:rFonts w:ascii="Calibri" w:hAnsi="Calibri" w:cs="Calibri"/>
          <w:sz w:val="22"/>
          <w:szCs w:val="22"/>
        </w:rPr>
        <w:t>Balticservis</w:t>
      </w:r>
      <w:proofErr w:type="spellEnd"/>
      <w:r w:rsidRPr="00145CEF">
        <w:rPr>
          <w:rFonts w:ascii="Calibri" w:hAnsi="Calibri" w:cs="Calibri"/>
          <w:sz w:val="22"/>
          <w:szCs w:val="22"/>
        </w:rPr>
        <w:t xml:space="preserve"> uzyskała  przychody ze sprzedaży </w:t>
      </w:r>
      <w:r w:rsidR="000A3917">
        <w:rPr>
          <w:rFonts w:ascii="Calibri" w:hAnsi="Calibri" w:cs="Calibri"/>
          <w:sz w:val="22"/>
          <w:szCs w:val="22"/>
        </w:rPr>
        <w:br/>
      </w:r>
      <w:r w:rsidRPr="00145CEF">
        <w:rPr>
          <w:rFonts w:ascii="Calibri" w:hAnsi="Calibri" w:cs="Calibri"/>
          <w:sz w:val="22"/>
          <w:szCs w:val="22"/>
        </w:rPr>
        <w:t xml:space="preserve">na poziomie 6.797 tys. zł, koszty sprzedanych  produktów, towarów i materiałów wyniosły 8.793 tys. zł, co dało wynik (stratę) na sprzedaży w wysokości -1.995 tys. zł. Koszty zarządu w prezentowanym </w:t>
      </w:r>
      <w:r w:rsidRPr="00145CEF">
        <w:rPr>
          <w:rFonts w:ascii="Calibri" w:hAnsi="Calibri" w:cs="Calibri"/>
          <w:sz w:val="22"/>
          <w:szCs w:val="22"/>
        </w:rPr>
        <w:lastRenderedPageBreak/>
        <w:t xml:space="preserve">okresie wyniosły 495 tys. zł i są niższe w porównaniu do analogicznego okresu roku ubiegłego </w:t>
      </w:r>
      <w:r w:rsidR="000A3917">
        <w:rPr>
          <w:rFonts w:ascii="Calibri" w:hAnsi="Calibri" w:cs="Calibri"/>
          <w:sz w:val="22"/>
          <w:szCs w:val="22"/>
        </w:rPr>
        <w:br/>
      </w:r>
      <w:r w:rsidRPr="00145CEF">
        <w:rPr>
          <w:rFonts w:ascii="Calibri" w:hAnsi="Calibri" w:cs="Calibri"/>
          <w:sz w:val="22"/>
          <w:szCs w:val="22"/>
        </w:rPr>
        <w:t xml:space="preserve">o kwotę 40 tys. zł, tj. 7%. W prezentowanym okresie Spółka rozwiązała odpis na należności </w:t>
      </w:r>
      <w:r w:rsidR="000A3917">
        <w:rPr>
          <w:rFonts w:ascii="Calibri" w:hAnsi="Calibri" w:cs="Calibri"/>
          <w:sz w:val="22"/>
          <w:szCs w:val="22"/>
        </w:rPr>
        <w:br/>
      </w:r>
      <w:r w:rsidRPr="00145CEF">
        <w:rPr>
          <w:rFonts w:ascii="Calibri" w:hAnsi="Calibri" w:cs="Calibri"/>
          <w:sz w:val="22"/>
          <w:szCs w:val="22"/>
        </w:rPr>
        <w:t>w wysokości 1.947 tys. zł.  Łączne koszty działalności operacyjnej za 6 m-</w:t>
      </w:r>
      <w:proofErr w:type="spellStart"/>
      <w:r w:rsidRPr="00145CEF">
        <w:rPr>
          <w:rFonts w:ascii="Calibri" w:hAnsi="Calibri" w:cs="Calibri"/>
          <w:sz w:val="22"/>
          <w:szCs w:val="22"/>
        </w:rPr>
        <w:t>cy</w:t>
      </w:r>
      <w:proofErr w:type="spellEnd"/>
      <w:r w:rsidRPr="00145CEF">
        <w:rPr>
          <w:rFonts w:ascii="Calibri" w:hAnsi="Calibri" w:cs="Calibri"/>
          <w:sz w:val="22"/>
          <w:szCs w:val="22"/>
        </w:rPr>
        <w:t xml:space="preserve"> 2016 roku wyniosły 7.341 tys. zł i są niższe niż w półroczu zeszłego roku o 2.769 tys. zł. Wynik na działalności operacyjnej zamknął się stratą -537 tys. zł. W prezentowanym okresie Spółka poniosła stratę na działalności finansowej w wysokości 55 tys. zł, co jest konsekwencją ponoszonych kosztów odsetek z tytułu uruchomionego kredytu w rachunku bankowym oraz zapłaconych odsetek budżetowych. </w:t>
      </w:r>
    </w:p>
    <w:p w14:paraId="1DA088FB" w14:textId="40357BD2" w:rsidR="00E13038" w:rsidRPr="00145CEF" w:rsidRDefault="00E13038" w:rsidP="00E13038">
      <w:pPr>
        <w:widowControl w:val="0"/>
        <w:tabs>
          <w:tab w:val="left" w:pos="540"/>
        </w:tabs>
        <w:spacing w:line="360" w:lineRule="auto"/>
        <w:jc w:val="both"/>
        <w:rPr>
          <w:rFonts w:ascii="Calibri" w:hAnsi="Calibri" w:cs="Calibri"/>
          <w:sz w:val="22"/>
          <w:szCs w:val="22"/>
        </w:rPr>
      </w:pPr>
      <w:r>
        <w:rPr>
          <w:rFonts w:ascii="Calibri" w:hAnsi="Calibri" w:cs="Calibri"/>
          <w:sz w:val="22"/>
          <w:szCs w:val="22"/>
        </w:rPr>
        <w:tab/>
      </w:r>
      <w:r w:rsidRPr="00145CEF">
        <w:rPr>
          <w:rFonts w:ascii="Calibri" w:hAnsi="Calibri" w:cs="Calibri"/>
          <w:sz w:val="22"/>
          <w:szCs w:val="22"/>
        </w:rPr>
        <w:t xml:space="preserve">W ramach kosztów rodzajowych Spółka </w:t>
      </w:r>
      <w:proofErr w:type="spellStart"/>
      <w:r w:rsidRPr="00145CEF">
        <w:rPr>
          <w:rFonts w:ascii="Calibri" w:hAnsi="Calibri" w:cs="Calibri"/>
          <w:sz w:val="22"/>
          <w:szCs w:val="22"/>
        </w:rPr>
        <w:t>Balticservis</w:t>
      </w:r>
      <w:proofErr w:type="spellEnd"/>
      <w:r w:rsidRPr="00145CEF">
        <w:rPr>
          <w:rFonts w:ascii="Calibri" w:hAnsi="Calibri" w:cs="Calibri"/>
          <w:sz w:val="22"/>
          <w:szCs w:val="22"/>
        </w:rPr>
        <w:t xml:space="preserve"> Sp. z o.o. zanotowała spadek kosztów rodzajowych w porównaniu do roku ubiegłego ogółem o 311 tys. zł, tj. o 3%. Spadek w wysokości </w:t>
      </w:r>
      <w:r w:rsidR="000A3917">
        <w:rPr>
          <w:rFonts w:ascii="Calibri" w:hAnsi="Calibri" w:cs="Calibri"/>
          <w:sz w:val="22"/>
          <w:szCs w:val="22"/>
        </w:rPr>
        <w:br/>
      </w:r>
      <w:r w:rsidRPr="00145CEF">
        <w:rPr>
          <w:rFonts w:ascii="Calibri" w:hAnsi="Calibri" w:cs="Calibri"/>
          <w:sz w:val="22"/>
          <w:szCs w:val="22"/>
        </w:rPr>
        <w:t>107 tys. zł zanotowano w pozycji usług obcych, w związku z ograniczeniem korzystania z usług podwykonawców przy realizacji zadań (o 7%), ko</w:t>
      </w:r>
      <w:r w:rsidR="000A3917">
        <w:rPr>
          <w:rFonts w:ascii="Calibri" w:hAnsi="Calibri" w:cs="Calibri"/>
          <w:sz w:val="22"/>
          <w:szCs w:val="22"/>
        </w:rPr>
        <w:t>sztów świadczeń pracowniczych (</w:t>
      </w:r>
      <w:r w:rsidRPr="00145CEF">
        <w:rPr>
          <w:rFonts w:ascii="Calibri" w:hAnsi="Calibri" w:cs="Calibri"/>
          <w:sz w:val="22"/>
          <w:szCs w:val="22"/>
        </w:rPr>
        <w:t xml:space="preserve">wynagrodzeń </w:t>
      </w:r>
      <w:r w:rsidR="000A3917">
        <w:rPr>
          <w:rFonts w:ascii="Calibri" w:hAnsi="Calibri" w:cs="Calibri"/>
          <w:sz w:val="22"/>
          <w:szCs w:val="22"/>
        </w:rPr>
        <w:br/>
      </w:r>
      <w:r w:rsidRPr="00145CEF">
        <w:rPr>
          <w:rFonts w:ascii="Calibri" w:hAnsi="Calibri" w:cs="Calibri"/>
          <w:sz w:val="22"/>
          <w:szCs w:val="22"/>
        </w:rPr>
        <w:t xml:space="preserve">i narzutów) w związku z odejściem pracowników na emeryturę, kwota spadku 222 tys., tj. 3% oraz </w:t>
      </w:r>
      <w:r w:rsidR="000A3917">
        <w:rPr>
          <w:rFonts w:ascii="Calibri" w:hAnsi="Calibri" w:cs="Calibri"/>
          <w:sz w:val="22"/>
          <w:szCs w:val="22"/>
        </w:rPr>
        <w:br/>
      </w:r>
      <w:r w:rsidRPr="00145CEF">
        <w:rPr>
          <w:rFonts w:ascii="Calibri" w:hAnsi="Calibri" w:cs="Calibri"/>
          <w:sz w:val="22"/>
          <w:szCs w:val="22"/>
        </w:rPr>
        <w:t>w ramach pozostałych kosztów rodzajowych w wysokości 34 tys. zł, co daje 23%. W ramach pozostałych pozycje kosztów rodzajowych wykazały w prezentowanym okresie wzro</w:t>
      </w:r>
      <w:r w:rsidR="000A3917">
        <w:rPr>
          <w:rFonts w:ascii="Calibri" w:hAnsi="Calibri" w:cs="Calibri"/>
          <w:sz w:val="22"/>
          <w:szCs w:val="22"/>
        </w:rPr>
        <w:t>sty, amortyzacja o 19 tys. zł (</w:t>
      </w:r>
      <w:r w:rsidRPr="00145CEF">
        <w:rPr>
          <w:rFonts w:ascii="Calibri" w:hAnsi="Calibri" w:cs="Calibri"/>
          <w:sz w:val="22"/>
          <w:szCs w:val="22"/>
        </w:rPr>
        <w:t xml:space="preserve">o 475%), </w:t>
      </w:r>
      <w:r w:rsidR="000A3917">
        <w:rPr>
          <w:rFonts w:ascii="Calibri" w:hAnsi="Calibri" w:cs="Calibri"/>
          <w:sz w:val="22"/>
          <w:szCs w:val="22"/>
        </w:rPr>
        <w:t>podatki i opłaty o 24 tys. zł (</w:t>
      </w:r>
      <w:r w:rsidRPr="00145CEF">
        <w:rPr>
          <w:rFonts w:ascii="Calibri" w:hAnsi="Calibri" w:cs="Calibri"/>
          <w:sz w:val="22"/>
          <w:szCs w:val="22"/>
        </w:rPr>
        <w:t>o 20%) oraz zużycie mate</w:t>
      </w:r>
      <w:r w:rsidR="000A3917">
        <w:rPr>
          <w:rFonts w:ascii="Calibri" w:hAnsi="Calibri" w:cs="Calibri"/>
          <w:sz w:val="22"/>
          <w:szCs w:val="22"/>
        </w:rPr>
        <w:t>riałów i energii o 11 tys. zł (</w:t>
      </w:r>
      <w:r w:rsidRPr="00145CEF">
        <w:rPr>
          <w:rFonts w:ascii="Calibri" w:hAnsi="Calibri" w:cs="Calibri"/>
          <w:sz w:val="22"/>
          <w:szCs w:val="22"/>
        </w:rPr>
        <w:t>o 17%)</w:t>
      </w:r>
      <w:r w:rsidR="001F4E2B">
        <w:rPr>
          <w:rFonts w:ascii="Calibri" w:hAnsi="Calibri" w:cs="Calibri"/>
          <w:sz w:val="22"/>
          <w:szCs w:val="22"/>
        </w:rPr>
        <w:t>.</w:t>
      </w:r>
    </w:p>
    <w:p w14:paraId="32B3C5B3" w14:textId="77777777" w:rsidR="00E13038" w:rsidRDefault="00E13038" w:rsidP="00E13038">
      <w:pPr>
        <w:widowControl w:val="0"/>
        <w:tabs>
          <w:tab w:val="left" w:pos="540"/>
        </w:tabs>
        <w:spacing w:line="360" w:lineRule="auto"/>
        <w:jc w:val="both"/>
        <w:rPr>
          <w:rFonts w:ascii="Calibri" w:hAnsi="Calibri" w:cs="Calibri"/>
          <w:sz w:val="22"/>
          <w:szCs w:val="22"/>
        </w:rPr>
      </w:pPr>
      <w:r>
        <w:rPr>
          <w:rFonts w:ascii="Calibri" w:hAnsi="Calibri" w:cs="Calibri"/>
          <w:sz w:val="22"/>
          <w:szCs w:val="22"/>
        </w:rPr>
        <w:tab/>
      </w:r>
      <w:r w:rsidRPr="00145CEF">
        <w:rPr>
          <w:rFonts w:ascii="Calibri" w:hAnsi="Calibri" w:cs="Calibri"/>
          <w:sz w:val="22"/>
          <w:szCs w:val="22"/>
        </w:rPr>
        <w:t>W konsekwencji powyższego Spółka zanotowała stratę brutto za 6 miesięcy br. w wysokości  592 tys. zł oraz stratę netto w wysokości 48</w:t>
      </w:r>
      <w:r>
        <w:rPr>
          <w:rFonts w:ascii="Calibri" w:hAnsi="Calibri" w:cs="Calibri"/>
          <w:sz w:val="22"/>
          <w:szCs w:val="22"/>
        </w:rPr>
        <w:t>4</w:t>
      </w:r>
      <w:r w:rsidRPr="00145CEF">
        <w:rPr>
          <w:rFonts w:ascii="Calibri" w:hAnsi="Calibri" w:cs="Calibri"/>
          <w:sz w:val="22"/>
          <w:szCs w:val="22"/>
        </w:rPr>
        <w:t xml:space="preserve"> tys. zł. W roku ubiegłym strata brutto wyniosła 796 tys. zł, zaś strata netto 656 tys. zł.</w:t>
      </w:r>
      <w:r>
        <w:rPr>
          <w:rFonts w:ascii="Calibri" w:hAnsi="Calibri" w:cs="Calibri"/>
          <w:sz w:val="22"/>
          <w:szCs w:val="22"/>
        </w:rPr>
        <w:t xml:space="preserve"> </w:t>
      </w:r>
    </w:p>
    <w:p w14:paraId="35B42691" w14:textId="77777777" w:rsidR="00E13038" w:rsidRPr="007D7A5F" w:rsidRDefault="00E13038" w:rsidP="00E13038">
      <w:pPr>
        <w:widowControl w:val="0"/>
        <w:tabs>
          <w:tab w:val="left" w:pos="540"/>
        </w:tabs>
        <w:spacing w:line="360" w:lineRule="auto"/>
        <w:jc w:val="both"/>
        <w:rPr>
          <w:rFonts w:ascii="Calibri" w:hAnsi="Calibri" w:cs="Calibri"/>
          <w:sz w:val="22"/>
          <w:szCs w:val="22"/>
        </w:rPr>
      </w:pPr>
      <w:r>
        <w:rPr>
          <w:rFonts w:ascii="Calibri" w:hAnsi="Calibri" w:cs="Calibri"/>
          <w:sz w:val="22"/>
          <w:szCs w:val="22"/>
        </w:rPr>
        <w:tab/>
      </w:r>
      <w:r w:rsidRPr="007D7A5F">
        <w:rPr>
          <w:rFonts w:ascii="Calibri" w:hAnsi="Calibri" w:cs="Calibri"/>
          <w:sz w:val="22"/>
          <w:szCs w:val="22"/>
        </w:rPr>
        <w:t xml:space="preserve">W okresie którego dotyczy przedmiotowe sprawozdania Spółka nadal znajdowała się w fazie budowy swojej pozycji w celu osiągnięcia pełnej zdolności do konkurowania na rynku. Spółka będzie utrzymywać wszystkie istotne elementy swojej przewagi konkurencyjnej opartej o kwalifikacje </w:t>
      </w:r>
      <w:r w:rsidR="000A3917">
        <w:rPr>
          <w:rFonts w:ascii="Calibri" w:hAnsi="Calibri" w:cs="Calibri"/>
          <w:sz w:val="22"/>
          <w:szCs w:val="22"/>
        </w:rPr>
        <w:br/>
      </w:r>
      <w:r w:rsidRPr="007D7A5F">
        <w:rPr>
          <w:rFonts w:ascii="Calibri" w:hAnsi="Calibri" w:cs="Calibri"/>
          <w:sz w:val="22"/>
          <w:szCs w:val="22"/>
        </w:rPr>
        <w:t xml:space="preserve">i doświadczenie załogi na polu utrzymania ruch w przemyśle stoczniowym oraz administrowania nieruchomościami. Strategicznym celem jest osiągnięcie trwałej zdolności do generowania zysku, wzrost wartości firmy i odbudowanie relacji z interesariuszami, w szczególności z głównym odbiorcą Spółki, z którym łączy spółkę wieloletnia umowa obsługi ruchu i remontów dająca Spółce stabilność przychodów. W obliczu zmian w zarządzie głównego kontrahenta spółki tj. MSR Gryfia S.A. oraz rządowych planów odbudowy i rozwoju przemysłu stoczniowego w Polsce zarząd </w:t>
      </w:r>
      <w:proofErr w:type="spellStart"/>
      <w:r w:rsidRPr="007D7A5F">
        <w:rPr>
          <w:rFonts w:ascii="Calibri" w:hAnsi="Calibri" w:cs="Calibri"/>
          <w:sz w:val="22"/>
          <w:szCs w:val="22"/>
        </w:rPr>
        <w:t>Balticservis</w:t>
      </w:r>
      <w:proofErr w:type="spellEnd"/>
      <w:r>
        <w:rPr>
          <w:rFonts w:ascii="Calibri" w:hAnsi="Calibri" w:cs="Calibri"/>
          <w:sz w:val="22"/>
          <w:szCs w:val="22"/>
        </w:rPr>
        <w:t xml:space="preserve"> </w:t>
      </w:r>
      <w:r w:rsidR="000A3917">
        <w:rPr>
          <w:rFonts w:ascii="Calibri" w:hAnsi="Calibri" w:cs="Calibri"/>
          <w:sz w:val="22"/>
          <w:szCs w:val="22"/>
        </w:rPr>
        <w:br/>
      </w:r>
      <w:r>
        <w:rPr>
          <w:rFonts w:ascii="Calibri" w:hAnsi="Calibri" w:cs="Calibri"/>
          <w:sz w:val="22"/>
          <w:szCs w:val="22"/>
        </w:rPr>
        <w:t>Sp. z o.o.</w:t>
      </w:r>
      <w:r w:rsidRPr="007D7A5F">
        <w:rPr>
          <w:rFonts w:ascii="Calibri" w:hAnsi="Calibri" w:cs="Calibri"/>
          <w:sz w:val="22"/>
          <w:szCs w:val="22"/>
        </w:rPr>
        <w:t xml:space="preserve"> widzi realną perspektywę zwiększenia zakresu działalności  oparciu o posiadany potencjał </w:t>
      </w:r>
      <w:r w:rsidR="000A3917">
        <w:rPr>
          <w:rFonts w:ascii="Calibri" w:hAnsi="Calibri" w:cs="Calibri"/>
          <w:sz w:val="22"/>
          <w:szCs w:val="22"/>
        </w:rPr>
        <w:br/>
      </w:r>
      <w:r w:rsidRPr="007D7A5F">
        <w:rPr>
          <w:rFonts w:ascii="Calibri" w:hAnsi="Calibri" w:cs="Calibri"/>
          <w:sz w:val="22"/>
          <w:szCs w:val="22"/>
        </w:rPr>
        <w:t>w tym w szczególności zwiększeniu ilości zleceń dodatkowych oraz remontów, które zwiększą przychody i pozwolą odzyskać rentowność w II połowie 2016 roku.</w:t>
      </w:r>
    </w:p>
    <w:p w14:paraId="5B38478A" w14:textId="77777777" w:rsidR="00E13038" w:rsidRPr="007D7A5F" w:rsidRDefault="00E13038" w:rsidP="00E13038">
      <w:pPr>
        <w:widowControl w:val="0"/>
        <w:tabs>
          <w:tab w:val="left" w:pos="540"/>
        </w:tabs>
        <w:spacing w:line="360" w:lineRule="auto"/>
        <w:jc w:val="both"/>
        <w:rPr>
          <w:rFonts w:ascii="Calibri" w:hAnsi="Calibri" w:cs="Calibri"/>
          <w:sz w:val="22"/>
          <w:szCs w:val="22"/>
        </w:rPr>
      </w:pPr>
      <w:r>
        <w:rPr>
          <w:rFonts w:ascii="Calibri" w:hAnsi="Calibri" w:cs="Calibri"/>
          <w:sz w:val="22"/>
          <w:szCs w:val="22"/>
        </w:rPr>
        <w:tab/>
      </w:r>
      <w:r w:rsidRPr="007D7A5F">
        <w:rPr>
          <w:rFonts w:ascii="Calibri" w:hAnsi="Calibri" w:cs="Calibri"/>
          <w:sz w:val="22"/>
          <w:szCs w:val="22"/>
        </w:rPr>
        <w:t>Cel cząstkowy to stałe poszerzanie liczby kontrahentów poza stocznią co ma doprowad</w:t>
      </w:r>
      <w:r>
        <w:rPr>
          <w:rFonts w:ascii="Calibri" w:hAnsi="Calibri" w:cs="Calibri"/>
          <w:sz w:val="22"/>
          <w:szCs w:val="22"/>
        </w:rPr>
        <w:t>zić</w:t>
      </w:r>
      <w:r w:rsidRPr="007D7A5F">
        <w:rPr>
          <w:rFonts w:ascii="Calibri" w:hAnsi="Calibri" w:cs="Calibri"/>
          <w:sz w:val="22"/>
          <w:szCs w:val="22"/>
        </w:rPr>
        <w:t xml:space="preserve"> do realnej dywersyfikacji kontrahentów spółki. Na tym polu spółka pozyskuje nowych odbiorców, w tym m.in. spółkę Most Brdowski oraz BMO (fabryka fundamentów morskich farm wiatrowych) oraz </w:t>
      </w:r>
      <w:r w:rsidRPr="007D7A5F">
        <w:rPr>
          <w:rFonts w:ascii="Calibri" w:hAnsi="Calibri" w:cs="Calibri"/>
          <w:sz w:val="22"/>
          <w:szCs w:val="22"/>
        </w:rPr>
        <w:lastRenderedPageBreak/>
        <w:t>poszerza zakres współpracy ze spółką MF1, dla której realizuje coraz szerszy zakres zleceń. Pozwala to na zdobywanie doświadczenia oraz referencji, które pozwolą na dalszy rozwój spółki.</w:t>
      </w:r>
    </w:p>
    <w:p w14:paraId="191D622F" w14:textId="77777777" w:rsidR="00E13038" w:rsidRPr="007D7A5F" w:rsidRDefault="00E13038" w:rsidP="00E13038">
      <w:pPr>
        <w:widowControl w:val="0"/>
        <w:tabs>
          <w:tab w:val="left" w:pos="540"/>
        </w:tabs>
        <w:spacing w:line="360" w:lineRule="auto"/>
        <w:jc w:val="both"/>
        <w:rPr>
          <w:rFonts w:ascii="Calibri" w:hAnsi="Calibri" w:cs="Calibri"/>
          <w:sz w:val="22"/>
          <w:szCs w:val="22"/>
        </w:rPr>
      </w:pPr>
      <w:r>
        <w:rPr>
          <w:rFonts w:ascii="Calibri" w:hAnsi="Calibri" w:cs="Calibri"/>
          <w:sz w:val="22"/>
          <w:szCs w:val="22"/>
        </w:rPr>
        <w:tab/>
      </w:r>
      <w:r w:rsidRPr="007D7A5F">
        <w:rPr>
          <w:rFonts w:ascii="Calibri" w:hAnsi="Calibri" w:cs="Calibri"/>
          <w:sz w:val="22"/>
          <w:szCs w:val="22"/>
        </w:rPr>
        <w:t>Podstawowym rynkiem działania pozostanie teraz wyspy Gryfia, na której operują głowni kontrahenci spółki. Spółka intensyfikuje również swoją aktywność na polu pozyskiwania konkretnych zleceń poza głównym teren działania uczestnicząc z przetargach czy konkursach ofert. Funkcjonowanie na rynku opierać się będzie na istniejących i rozbudowywanych kompetencjach Spółki w roli dostarczyciela usług utrzymania ruchu w przemyśle stoczniowym ale również administratora nieruchomości czy wykonawcy modernizacji i remontów sieci gazowych, elektrycznych czy instalacji przeciwpożarowych. Firma zamierza przy tym wykorzystać skoordynowane zasoby grupy kapitałowej Chemoservis-Dwory S.A., co może pozwolić na przedstawienie pełniejszej i korzystniejszej oferty na potrzeby konkretnych postepowań przetargowych czy ofertowych.</w:t>
      </w:r>
    </w:p>
    <w:p w14:paraId="174C71E1" w14:textId="77777777" w:rsidR="00E13038" w:rsidRPr="007D7A5F" w:rsidRDefault="00E13038" w:rsidP="00E13038">
      <w:pPr>
        <w:widowControl w:val="0"/>
        <w:tabs>
          <w:tab w:val="left" w:pos="540"/>
        </w:tabs>
        <w:spacing w:line="360" w:lineRule="auto"/>
        <w:jc w:val="both"/>
        <w:rPr>
          <w:rFonts w:ascii="Calibri" w:hAnsi="Calibri" w:cs="Calibri"/>
          <w:sz w:val="22"/>
          <w:szCs w:val="22"/>
        </w:rPr>
      </w:pPr>
      <w:r w:rsidRPr="007D7A5F">
        <w:rPr>
          <w:rFonts w:ascii="Calibri" w:hAnsi="Calibri" w:cs="Calibri"/>
          <w:sz w:val="22"/>
          <w:szCs w:val="22"/>
        </w:rPr>
        <w:t>Spółka prowadzi również rozeznanie rynku w celu pozyskania partnerów branżowych i finansowych do zawarcia aliansów bieżących na ewentualne potrzeby realizacyjne większych projektów wykonawczych czy obsługowych.</w:t>
      </w:r>
    </w:p>
    <w:p w14:paraId="6AB97F2E" w14:textId="77777777" w:rsidR="00E13038" w:rsidRDefault="00E13038" w:rsidP="00E13038">
      <w:pPr>
        <w:widowControl w:val="0"/>
        <w:tabs>
          <w:tab w:val="left" w:pos="540"/>
        </w:tabs>
        <w:spacing w:line="360" w:lineRule="auto"/>
        <w:jc w:val="both"/>
        <w:rPr>
          <w:rFonts w:ascii="Calibri" w:hAnsi="Calibri" w:cs="Calibri"/>
          <w:sz w:val="22"/>
          <w:szCs w:val="22"/>
        </w:rPr>
      </w:pPr>
      <w:r>
        <w:rPr>
          <w:rFonts w:ascii="Calibri" w:hAnsi="Calibri" w:cs="Calibri"/>
          <w:sz w:val="22"/>
          <w:szCs w:val="22"/>
        </w:rPr>
        <w:tab/>
      </w:r>
      <w:r w:rsidRPr="007D7A5F">
        <w:rPr>
          <w:rFonts w:ascii="Calibri" w:hAnsi="Calibri" w:cs="Calibri"/>
          <w:sz w:val="22"/>
          <w:szCs w:val="22"/>
        </w:rPr>
        <w:t>Warto dodać, że bezpośredni negatywny wpływ na wynik finansowy I półrocza 2016 roku ma utworzenie rezerwy na urlopy wypoczynkowe w kwocie 311 tys. zł, która będzie sukcesywnie zmniejszana w kolejnych okresach.</w:t>
      </w:r>
    </w:p>
    <w:p w14:paraId="6950FB9F" w14:textId="77777777" w:rsidR="00E13038" w:rsidRDefault="00E13038" w:rsidP="00E13038">
      <w:pPr>
        <w:widowControl w:val="0"/>
        <w:tabs>
          <w:tab w:val="left" w:pos="540"/>
        </w:tabs>
        <w:spacing w:line="360" w:lineRule="auto"/>
        <w:jc w:val="both"/>
        <w:rPr>
          <w:rFonts w:ascii="Calibri" w:hAnsi="Calibri" w:cs="Calibri"/>
          <w:sz w:val="22"/>
          <w:szCs w:val="22"/>
        </w:rPr>
      </w:pPr>
    </w:p>
    <w:p w14:paraId="62D202E3" w14:textId="77777777" w:rsidR="00E13038" w:rsidRDefault="00E13038" w:rsidP="00E13038">
      <w:pPr>
        <w:rPr>
          <w:rFonts w:asciiTheme="minorHAnsi" w:hAnsiTheme="minorHAnsi"/>
          <w:color w:val="000000"/>
          <w:spacing w:val="-2"/>
          <w:sz w:val="22"/>
          <w:szCs w:val="22"/>
        </w:rPr>
      </w:pPr>
      <w:r w:rsidRPr="009E3D78">
        <w:rPr>
          <w:rFonts w:ascii="Calibri" w:hAnsi="Calibri" w:cs="Arial"/>
          <w:u w:val="single"/>
        </w:rPr>
        <w:t xml:space="preserve">Dane finansowe jednostkowe dotyczące Spółki zależnej – </w:t>
      </w:r>
      <w:r>
        <w:rPr>
          <w:rFonts w:ascii="Calibri" w:hAnsi="Calibri" w:cs="Arial"/>
          <w:u w:val="single"/>
        </w:rPr>
        <w:t>MONEA XII</w:t>
      </w:r>
      <w:r w:rsidRPr="009E3D78">
        <w:rPr>
          <w:rFonts w:ascii="Calibri" w:hAnsi="Calibri" w:cs="Arial"/>
          <w:u w:val="single"/>
        </w:rPr>
        <w:t xml:space="preserve"> Sp. z o.o.</w:t>
      </w:r>
    </w:p>
    <w:p w14:paraId="2DC5AF88" w14:textId="77777777" w:rsidR="00E13038" w:rsidRDefault="00E13038" w:rsidP="00E13038">
      <w:pPr>
        <w:widowControl w:val="0"/>
        <w:tabs>
          <w:tab w:val="left" w:pos="540"/>
        </w:tabs>
        <w:spacing w:line="360" w:lineRule="auto"/>
        <w:jc w:val="both"/>
        <w:rPr>
          <w:rFonts w:ascii="Calibri" w:hAnsi="Calibri" w:cs="Calibri"/>
          <w:sz w:val="22"/>
          <w:szCs w:val="22"/>
        </w:rPr>
      </w:pPr>
    </w:p>
    <w:p w14:paraId="13EBD1EB" w14:textId="29D446C4" w:rsidR="00E13038" w:rsidRDefault="00E13038" w:rsidP="00E13038">
      <w:pPr>
        <w:pStyle w:val="DraftParagraph"/>
        <w:spacing w:line="360" w:lineRule="auto"/>
        <w:ind w:firstLine="567"/>
        <w:rPr>
          <w:rFonts w:ascii="Calibri" w:hAnsi="Calibri"/>
          <w:szCs w:val="22"/>
        </w:rPr>
      </w:pPr>
      <w:r>
        <w:rPr>
          <w:rFonts w:ascii="Calibri" w:hAnsi="Calibri"/>
          <w:szCs w:val="22"/>
        </w:rPr>
        <w:t xml:space="preserve">Spółka pierwsze przychody z działalności uzyskała dopiero w pierwszym półroczu 2016 r. Spółka ma charakter spółki celowej. Główny obszar działalności Spółki to działalność inwestycyjna. Zgodnie z uchwałami Zgromadzenia Wspólników, obecnie Spółka może przede wszystkim kupować </w:t>
      </w:r>
      <w:r w:rsidR="000A3917">
        <w:rPr>
          <w:rFonts w:ascii="Calibri" w:hAnsi="Calibri"/>
          <w:szCs w:val="22"/>
        </w:rPr>
        <w:br/>
      </w:r>
      <w:r>
        <w:rPr>
          <w:rFonts w:ascii="Calibri" w:hAnsi="Calibri"/>
          <w:szCs w:val="22"/>
        </w:rPr>
        <w:t xml:space="preserve">i sprzedawać akcje oraz obligacje wskazanej spółki publicznej. Działalność Spółki jest finansowana środkami pochodzącymi z długoterminowej pożyczki, udzielonej przez jedynego wspólnika. </w:t>
      </w:r>
    </w:p>
    <w:p w14:paraId="58E0F238" w14:textId="77777777" w:rsidR="00E13038" w:rsidRDefault="00E13038" w:rsidP="00E13038">
      <w:pPr>
        <w:pStyle w:val="DraftParagraph"/>
        <w:spacing w:line="360" w:lineRule="auto"/>
        <w:ind w:firstLine="567"/>
        <w:rPr>
          <w:rFonts w:ascii="Calibri" w:hAnsi="Calibri"/>
          <w:szCs w:val="22"/>
        </w:rPr>
      </w:pPr>
      <w:r>
        <w:rPr>
          <w:rFonts w:ascii="Calibri" w:hAnsi="Calibri"/>
          <w:szCs w:val="22"/>
        </w:rPr>
        <w:t>W okresie sprawozdawczym Spółka nie uzyskała przychodów operacyjnych, uzyskała natomiast przychody z działalności inwestycyjnej, co wynika z charakteru prowadzonej przez nią działalności. Uzyskała zysk ze zrealizowanych transakcji w kwocie 642 tys. PLN, jednakże z uwagi na kształtowanie się kursów posiadanych akcji, wykazała stratę wynikającą z wyceny portfela i tym samym wykazała stratę netto w wysokości 276 tys. PLN. Spółka ponosiła koszty działalności na poziomie niezbędnym dla sprawnego funkcjonowania Spółki.</w:t>
      </w:r>
    </w:p>
    <w:p w14:paraId="48B943FB" w14:textId="77777777" w:rsidR="00E13038" w:rsidRPr="003C7359" w:rsidRDefault="00E13038" w:rsidP="00E13038">
      <w:pPr>
        <w:pStyle w:val="DraftParagraph"/>
        <w:spacing w:line="360" w:lineRule="auto"/>
        <w:ind w:firstLine="567"/>
        <w:rPr>
          <w:rFonts w:ascii="Calibri" w:hAnsi="Calibri"/>
          <w:szCs w:val="22"/>
        </w:rPr>
      </w:pPr>
      <w:r>
        <w:rPr>
          <w:rFonts w:ascii="Calibri" w:hAnsi="Calibri"/>
          <w:szCs w:val="22"/>
        </w:rPr>
        <w:lastRenderedPageBreak/>
        <w:t xml:space="preserve">Na dzień bilansowy suma bilansowa wynosiła 15.601 tys. PLN. </w:t>
      </w:r>
      <w:r w:rsidRPr="00DB5B85">
        <w:rPr>
          <w:rFonts w:ascii="Calibri" w:hAnsi="Calibri"/>
          <w:szCs w:val="22"/>
        </w:rPr>
        <w:t xml:space="preserve">Wartość kapitałów własnych </w:t>
      </w:r>
      <w:r>
        <w:rPr>
          <w:rFonts w:ascii="Calibri" w:hAnsi="Calibri"/>
          <w:szCs w:val="22"/>
        </w:rPr>
        <w:t>Spółki w związki z niskim kapitałem podstawowym oraz wykazaną stratą jest ujemna i wyniosła (-)</w:t>
      </w:r>
      <w:r w:rsidR="00D40272">
        <w:rPr>
          <w:rFonts w:ascii="Calibri" w:hAnsi="Calibri"/>
          <w:szCs w:val="22"/>
        </w:rPr>
        <w:t xml:space="preserve"> </w:t>
      </w:r>
      <w:r>
        <w:rPr>
          <w:rFonts w:ascii="Calibri" w:hAnsi="Calibri"/>
          <w:szCs w:val="22"/>
        </w:rPr>
        <w:t>271 tys. PLN</w:t>
      </w:r>
      <w:r w:rsidRPr="00DB5B85">
        <w:rPr>
          <w:rFonts w:ascii="Calibri" w:hAnsi="Calibri"/>
          <w:szCs w:val="22"/>
        </w:rPr>
        <w:t>.</w:t>
      </w:r>
    </w:p>
    <w:p w14:paraId="0671D4C5" w14:textId="77777777" w:rsidR="001D361F" w:rsidRDefault="001D361F" w:rsidP="00E13038">
      <w:pPr>
        <w:rPr>
          <w:rFonts w:asciiTheme="minorHAnsi" w:hAnsiTheme="minorHAnsi"/>
          <w:color w:val="000000"/>
          <w:spacing w:val="-2"/>
          <w:sz w:val="22"/>
          <w:szCs w:val="22"/>
        </w:rPr>
      </w:pPr>
    </w:p>
    <w:p w14:paraId="57FC4236" w14:textId="77777777" w:rsidR="00E5671C" w:rsidRPr="00360EFC" w:rsidRDefault="00AB30C7" w:rsidP="001702FD">
      <w:pPr>
        <w:ind w:left="567" w:hanging="567"/>
        <w:jc w:val="both"/>
        <w:rPr>
          <w:rFonts w:ascii="Calibri" w:hAnsi="Calibri" w:cs="Arial"/>
          <w:b/>
          <w:caps/>
        </w:rPr>
      </w:pPr>
      <w:r w:rsidRPr="00360EFC">
        <w:rPr>
          <w:rFonts w:ascii="Calibri" w:hAnsi="Calibri" w:cs="Arial"/>
          <w:caps/>
        </w:rPr>
        <w:t>8</w:t>
      </w:r>
      <w:r w:rsidR="00E2562A" w:rsidRPr="00360EFC">
        <w:rPr>
          <w:rFonts w:ascii="Calibri" w:hAnsi="Calibri" w:cs="Arial"/>
          <w:caps/>
        </w:rPr>
        <w:t>.</w:t>
      </w:r>
      <w:r w:rsidR="00E2562A" w:rsidRPr="00360EFC">
        <w:rPr>
          <w:rFonts w:ascii="Calibri" w:hAnsi="Calibri" w:cs="Arial"/>
          <w:b/>
          <w:caps/>
        </w:rPr>
        <w:tab/>
      </w:r>
      <w:r w:rsidR="00E5671C" w:rsidRPr="00360EFC">
        <w:rPr>
          <w:rFonts w:ascii="Calibri" w:hAnsi="Calibri" w:cs="Arial"/>
          <w:b/>
          <w:caps/>
        </w:rPr>
        <w:t xml:space="preserve">wskazanie czynników, które w ocenie </w:t>
      </w:r>
      <w:r w:rsidR="00734358" w:rsidRPr="00360EFC">
        <w:rPr>
          <w:rFonts w:ascii="Calibri" w:hAnsi="Calibri" w:cs="Arial"/>
          <w:b/>
          <w:caps/>
        </w:rPr>
        <w:t>GRUPY KAPITAŁOWEJ</w:t>
      </w:r>
      <w:r w:rsidR="00E5671C" w:rsidRPr="00360EFC">
        <w:rPr>
          <w:rFonts w:ascii="Calibri" w:hAnsi="Calibri" w:cs="Arial"/>
          <w:b/>
          <w:caps/>
        </w:rPr>
        <w:t xml:space="preserve"> będą mia</w:t>
      </w:r>
      <w:r w:rsidR="00AD084B" w:rsidRPr="00360EFC">
        <w:rPr>
          <w:rFonts w:ascii="Calibri" w:hAnsi="Calibri" w:cs="Arial"/>
          <w:b/>
          <w:caps/>
        </w:rPr>
        <w:t>ły wpływ na osiągnięte przez nią</w:t>
      </w:r>
      <w:r w:rsidR="00E5671C" w:rsidRPr="00360EFC">
        <w:rPr>
          <w:rFonts w:ascii="Calibri" w:hAnsi="Calibri" w:cs="Arial"/>
          <w:b/>
          <w:caps/>
        </w:rPr>
        <w:t xml:space="preserve"> wyniki w </w:t>
      </w:r>
      <w:r w:rsidR="00C263CD" w:rsidRPr="00360EFC">
        <w:rPr>
          <w:rFonts w:ascii="Calibri" w:hAnsi="Calibri" w:cs="Arial"/>
          <w:b/>
          <w:caps/>
        </w:rPr>
        <w:t>PERSPEKTYWIE,</w:t>
      </w:r>
      <w:r w:rsidR="00E2562A" w:rsidRPr="00360EFC">
        <w:rPr>
          <w:rFonts w:ascii="Calibri" w:hAnsi="Calibri" w:cs="Arial"/>
          <w:b/>
          <w:caps/>
        </w:rPr>
        <w:t xml:space="preserve"> </w:t>
      </w:r>
      <w:r w:rsidR="007E266D" w:rsidRPr="00360EFC">
        <w:rPr>
          <w:rFonts w:ascii="Calibri" w:hAnsi="Calibri" w:cs="Arial"/>
          <w:b/>
          <w:caps/>
        </w:rPr>
        <w:t>co najmniej kolejnego kwartału.</w:t>
      </w:r>
    </w:p>
    <w:p w14:paraId="0384F7C0" w14:textId="77777777" w:rsidR="001702FD" w:rsidRPr="00360EFC" w:rsidRDefault="001702FD" w:rsidP="001702FD">
      <w:pPr>
        <w:spacing w:line="360" w:lineRule="auto"/>
        <w:jc w:val="both"/>
        <w:rPr>
          <w:rFonts w:asciiTheme="minorHAnsi" w:hAnsiTheme="minorHAnsi"/>
          <w:color w:val="000000"/>
          <w:spacing w:val="-2"/>
          <w:sz w:val="22"/>
          <w:szCs w:val="22"/>
        </w:rPr>
      </w:pPr>
    </w:p>
    <w:p w14:paraId="1F2123F8" w14:textId="4FAB925C" w:rsidR="00710F07" w:rsidRPr="00360EFC" w:rsidRDefault="001F4E2B" w:rsidP="001F4E2B">
      <w:pPr>
        <w:tabs>
          <w:tab w:val="left" w:pos="567"/>
        </w:tabs>
        <w:spacing w:line="360" w:lineRule="auto"/>
        <w:jc w:val="both"/>
        <w:rPr>
          <w:rFonts w:ascii="Calibri" w:hAnsi="Calibri"/>
          <w:sz w:val="22"/>
          <w:szCs w:val="22"/>
        </w:rPr>
      </w:pPr>
      <w:r>
        <w:rPr>
          <w:rFonts w:ascii="Calibri" w:hAnsi="Calibri"/>
        </w:rPr>
        <w:tab/>
      </w:r>
      <w:r w:rsidR="00710F07" w:rsidRPr="00360EFC">
        <w:rPr>
          <w:rFonts w:ascii="Calibri" w:hAnsi="Calibri"/>
        </w:rPr>
        <w:t>N</w:t>
      </w:r>
      <w:r w:rsidR="00710F07" w:rsidRPr="00360EFC">
        <w:rPr>
          <w:rFonts w:ascii="Calibri" w:hAnsi="Calibri"/>
          <w:sz w:val="22"/>
          <w:szCs w:val="22"/>
        </w:rPr>
        <w:t xml:space="preserve">a przyszłe wyniki finansowe Emitenta w perspektywie kolejnych okresów, wpływ będą </w:t>
      </w:r>
      <w:r w:rsidR="00710F07" w:rsidRPr="00360EFC">
        <w:rPr>
          <w:rFonts w:ascii="Calibri" w:hAnsi="Calibri"/>
          <w:sz w:val="22"/>
          <w:szCs w:val="22"/>
        </w:rPr>
        <w:br/>
        <w:t xml:space="preserve">miały realizowane obecnie oraz pozyskane w ostatnim czasie kontrakty, m.in. realizacja </w:t>
      </w:r>
      <w:r w:rsidR="00710F07" w:rsidRPr="00360EFC">
        <w:rPr>
          <w:rFonts w:ascii="Calibri" w:hAnsi="Calibri"/>
          <w:sz w:val="22"/>
          <w:szCs w:val="22"/>
        </w:rPr>
        <w:br/>
        <w:t xml:space="preserve">zadania na wykonanie robót w ramach projektu Budowa instalacji odazotowania spalin </w:t>
      </w:r>
      <w:r w:rsidR="00710F07" w:rsidRPr="00360EFC">
        <w:rPr>
          <w:rFonts w:ascii="Calibri" w:hAnsi="Calibri"/>
          <w:sz w:val="22"/>
          <w:szCs w:val="22"/>
        </w:rPr>
        <w:br/>
        <w:t xml:space="preserve">w EC Janikowo Ciech Soda Polska jako podwykonawca szwedzkiej Firmy YARA. Realizacja </w:t>
      </w:r>
      <w:r w:rsidR="00710F07" w:rsidRPr="00360EFC">
        <w:rPr>
          <w:rFonts w:ascii="Calibri" w:hAnsi="Calibri"/>
          <w:sz w:val="22"/>
          <w:szCs w:val="22"/>
        </w:rPr>
        <w:br/>
        <w:t>zadania potrwa do października 2018 roku. Wynagrodzenie należne Chemoservis za wykonanie ustalonego zakres prac wynosi 27,4 mln PLN netto.</w:t>
      </w:r>
    </w:p>
    <w:p w14:paraId="556DA2CE" w14:textId="77777777" w:rsidR="00710F07" w:rsidRPr="008445CD" w:rsidRDefault="00710F07" w:rsidP="00710F07">
      <w:pPr>
        <w:tabs>
          <w:tab w:val="left" w:pos="540"/>
          <w:tab w:val="left" w:pos="567"/>
        </w:tabs>
        <w:spacing w:line="360" w:lineRule="auto"/>
        <w:jc w:val="both"/>
        <w:rPr>
          <w:rFonts w:ascii="Calibri" w:hAnsi="Calibri"/>
          <w:color w:val="FF0000"/>
          <w:sz w:val="22"/>
          <w:szCs w:val="22"/>
        </w:rPr>
      </w:pPr>
      <w:r w:rsidRPr="00360EFC">
        <w:rPr>
          <w:rFonts w:ascii="Calibri" w:hAnsi="Calibri"/>
          <w:sz w:val="22"/>
          <w:szCs w:val="22"/>
        </w:rPr>
        <w:tab/>
        <w:t xml:space="preserve">Na przyszłe wyniki finansowe wpływ będą miały również koszty finansowe w postaci </w:t>
      </w:r>
      <w:r w:rsidRPr="00360EFC">
        <w:rPr>
          <w:rFonts w:ascii="Calibri" w:hAnsi="Calibri"/>
          <w:sz w:val="22"/>
          <w:szCs w:val="22"/>
        </w:rPr>
        <w:br/>
        <w:t xml:space="preserve">odsetek od przeprowadzonej w marcu 2015 roku emisji obligacji serii A. oraz przeprowadzonej </w:t>
      </w:r>
      <w:r w:rsidR="000A3917">
        <w:rPr>
          <w:rFonts w:ascii="Calibri" w:hAnsi="Calibri"/>
          <w:sz w:val="22"/>
          <w:szCs w:val="22"/>
        </w:rPr>
        <w:br/>
      </w:r>
      <w:r w:rsidRPr="00360EFC">
        <w:rPr>
          <w:rFonts w:ascii="Calibri" w:hAnsi="Calibri"/>
          <w:sz w:val="22"/>
          <w:szCs w:val="22"/>
        </w:rPr>
        <w:t xml:space="preserve">w marcu 2016 roku emisji obligacji serii B. Odsetki wypłacane będą w okresach półrocznych. Wyniki finansowe Spółki obciążane są kosztami finansowymi przeprowadzonej emisji w proporcji </w:t>
      </w:r>
      <w:r w:rsidRPr="00360EFC">
        <w:rPr>
          <w:rFonts w:ascii="Calibri" w:hAnsi="Calibri"/>
          <w:sz w:val="22"/>
          <w:szCs w:val="22"/>
        </w:rPr>
        <w:br/>
        <w:t>do okresu finansowania.</w:t>
      </w:r>
    </w:p>
    <w:p w14:paraId="6A0B9E23" w14:textId="77777777" w:rsidR="00BA32B7" w:rsidRPr="00710F07" w:rsidRDefault="00BA32B7">
      <w:pPr>
        <w:rPr>
          <w:rFonts w:ascii="Calibri" w:hAnsi="Calibri" w:cs="Calibri"/>
          <w:sz w:val="22"/>
          <w:szCs w:val="22"/>
          <w:highlight w:val="lightGray"/>
        </w:rPr>
      </w:pPr>
    </w:p>
    <w:p w14:paraId="5ABE94BB" w14:textId="77777777" w:rsidR="003535BD" w:rsidRPr="00360EFC" w:rsidRDefault="003535BD" w:rsidP="003535BD">
      <w:pPr>
        <w:tabs>
          <w:tab w:val="left" w:pos="540"/>
        </w:tabs>
        <w:jc w:val="both"/>
        <w:rPr>
          <w:rFonts w:ascii="Calibri" w:hAnsi="Calibri" w:cs="Arial"/>
          <w:b/>
        </w:rPr>
      </w:pPr>
      <w:r w:rsidRPr="00360EFC">
        <w:rPr>
          <w:rFonts w:ascii="Calibri" w:hAnsi="Calibri" w:cs="Arial"/>
        </w:rPr>
        <w:t>9.</w:t>
      </w:r>
      <w:r w:rsidRPr="00360EFC">
        <w:rPr>
          <w:rFonts w:ascii="Calibri" w:hAnsi="Calibri" w:cs="Arial"/>
          <w:b/>
        </w:rPr>
        <w:tab/>
        <w:t xml:space="preserve">INFORMACJE NA TEMAT PODSTAWOWYCH ZAGROŻEŃ ORAZ CZYNNIKÓW RYZYKA </w:t>
      </w:r>
      <w:r w:rsidRPr="00360EFC">
        <w:rPr>
          <w:rFonts w:ascii="Calibri" w:hAnsi="Calibri" w:cs="Arial"/>
          <w:b/>
        </w:rPr>
        <w:tab/>
        <w:t xml:space="preserve">DLA ROZWOJU I FUNKCJONOWANIA </w:t>
      </w:r>
      <w:r w:rsidR="00AD084B" w:rsidRPr="00360EFC">
        <w:rPr>
          <w:rFonts w:ascii="Calibri" w:hAnsi="Calibri" w:cs="Arial"/>
          <w:b/>
        </w:rPr>
        <w:t>GRUPY KAPITAŁOWEJ</w:t>
      </w:r>
      <w:r w:rsidR="007E266D" w:rsidRPr="00360EFC">
        <w:rPr>
          <w:rFonts w:ascii="Calibri" w:hAnsi="Calibri" w:cs="Arial"/>
          <w:b/>
        </w:rPr>
        <w:t>.</w:t>
      </w:r>
    </w:p>
    <w:p w14:paraId="5C5CB8FA" w14:textId="77777777" w:rsidR="003535BD" w:rsidRPr="00360EFC" w:rsidRDefault="003535BD" w:rsidP="00115882">
      <w:pPr>
        <w:tabs>
          <w:tab w:val="left" w:pos="540"/>
        </w:tabs>
        <w:spacing w:line="360" w:lineRule="auto"/>
        <w:jc w:val="both"/>
        <w:rPr>
          <w:rFonts w:ascii="Calibri" w:hAnsi="Calibri" w:cs="Arial"/>
          <w:b/>
        </w:rPr>
      </w:pPr>
    </w:p>
    <w:p w14:paraId="6C313000" w14:textId="1238A9B1" w:rsidR="006C559D" w:rsidRPr="00360EFC" w:rsidRDefault="006C559D" w:rsidP="006C559D">
      <w:pPr>
        <w:spacing w:line="360" w:lineRule="auto"/>
        <w:ind w:firstLine="567"/>
        <w:jc w:val="both"/>
        <w:rPr>
          <w:rFonts w:asciiTheme="minorHAnsi" w:hAnsiTheme="minorHAnsi"/>
          <w:sz w:val="22"/>
          <w:szCs w:val="22"/>
        </w:rPr>
      </w:pPr>
      <w:r w:rsidRPr="00360EFC">
        <w:rPr>
          <w:rFonts w:ascii="Calibri" w:hAnsi="Calibri" w:cs="Arial"/>
          <w:sz w:val="22"/>
          <w:szCs w:val="22"/>
        </w:rPr>
        <w:t xml:space="preserve">Grupa </w:t>
      </w:r>
      <w:r w:rsidR="002E4153">
        <w:rPr>
          <w:rFonts w:ascii="Calibri" w:hAnsi="Calibri" w:cs="Arial"/>
          <w:sz w:val="22"/>
          <w:szCs w:val="22"/>
        </w:rPr>
        <w:t>CHEMOSERVIS-DWORY</w:t>
      </w:r>
      <w:r w:rsidRPr="00360EFC">
        <w:rPr>
          <w:rFonts w:ascii="Calibri" w:hAnsi="Calibri" w:cs="Arial"/>
          <w:sz w:val="22"/>
          <w:szCs w:val="22"/>
        </w:rPr>
        <w:t xml:space="preserve"> ponosi ryzyko związane z zabezpieczeniem kontraktów </w:t>
      </w:r>
      <w:r w:rsidR="000A3917">
        <w:rPr>
          <w:rFonts w:ascii="Calibri" w:hAnsi="Calibri" w:cs="Arial"/>
          <w:sz w:val="22"/>
          <w:szCs w:val="22"/>
        </w:rPr>
        <w:br/>
      </w:r>
      <w:r w:rsidRPr="00360EFC">
        <w:rPr>
          <w:rFonts w:ascii="Calibri" w:hAnsi="Calibri" w:cs="Arial"/>
          <w:sz w:val="22"/>
          <w:szCs w:val="22"/>
        </w:rPr>
        <w:t xml:space="preserve">w </w:t>
      </w:r>
      <w:r w:rsidRPr="00360EFC">
        <w:rPr>
          <w:rFonts w:asciiTheme="minorHAnsi" w:hAnsiTheme="minorHAnsi" w:cs="Arial"/>
          <w:sz w:val="22"/>
          <w:szCs w:val="22"/>
        </w:rPr>
        <w:t xml:space="preserve">zakresie należytego wykonania umów i gwarancji. W konsekwencji prowadzi to do konieczności wniesienia kaucji gwarancyjnej lub zabezpieczenia kontraktu gwarancją ubezpieczeniową, bankową lub w formie pieniądza, co z kolei wpływa bezpośrednio na zwiększenie kosztów i zamrożenie środków finansowych. </w:t>
      </w:r>
      <w:r w:rsidR="009352D6">
        <w:rPr>
          <w:rFonts w:asciiTheme="minorHAnsi" w:hAnsiTheme="minorHAnsi"/>
          <w:sz w:val="22"/>
          <w:szCs w:val="22"/>
        </w:rPr>
        <w:t xml:space="preserve">W </w:t>
      </w:r>
      <w:r w:rsidRPr="00360EFC">
        <w:rPr>
          <w:rFonts w:asciiTheme="minorHAnsi" w:hAnsiTheme="minorHAnsi"/>
          <w:sz w:val="22"/>
          <w:szCs w:val="22"/>
        </w:rPr>
        <w:t>celu zminimalizowa</w:t>
      </w:r>
      <w:r w:rsidR="00113F3F">
        <w:rPr>
          <w:rFonts w:asciiTheme="minorHAnsi" w:hAnsiTheme="minorHAnsi"/>
          <w:sz w:val="22"/>
          <w:szCs w:val="22"/>
        </w:rPr>
        <w:t xml:space="preserve">nia ryzyka Spółki Grupy stosują </w:t>
      </w:r>
      <w:r w:rsidRPr="00360EFC">
        <w:rPr>
          <w:rFonts w:asciiTheme="minorHAnsi" w:hAnsiTheme="minorHAnsi"/>
          <w:sz w:val="22"/>
          <w:szCs w:val="22"/>
        </w:rPr>
        <w:t xml:space="preserve">zabezpieczenia </w:t>
      </w:r>
      <w:r w:rsidR="000A3917">
        <w:rPr>
          <w:rFonts w:asciiTheme="minorHAnsi" w:hAnsiTheme="minorHAnsi"/>
          <w:sz w:val="22"/>
          <w:szCs w:val="22"/>
        </w:rPr>
        <w:br/>
      </w:r>
      <w:r w:rsidRPr="00360EFC">
        <w:rPr>
          <w:rFonts w:asciiTheme="minorHAnsi" w:hAnsiTheme="minorHAnsi"/>
          <w:sz w:val="22"/>
          <w:szCs w:val="22"/>
        </w:rPr>
        <w:t xml:space="preserve">w postaci odpowiednich zapisów umownych lub żądają wpłaty zaliczek na poczet realizacji usług. Grupa ze względu na specyfikę działalności narażona jest również na dodatkowe koszty związane </w:t>
      </w:r>
      <w:r w:rsidR="000A3917">
        <w:rPr>
          <w:rFonts w:asciiTheme="minorHAnsi" w:hAnsiTheme="minorHAnsi"/>
          <w:sz w:val="22"/>
          <w:szCs w:val="22"/>
        </w:rPr>
        <w:br/>
      </w:r>
      <w:r w:rsidRPr="00360EFC">
        <w:rPr>
          <w:rFonts w:asciiTheme="minorHAnsi" w:hAnsiTheme="minorHAnsi"/>
          <w:sz w:val="22"/>
          <w:szCs w:val="22"/>
        </w:rPr>
        <w:t xml:space="preserve">z potencjalnymi naprawami wynikającymi z udzielonych gwarancji jakości. </w:t>
      </w:r>
      <w:r w:rsidRPr="00360EFC">
        <w:rPr>
          <w:rFonts w:asciiTheme="minorHAnsi" w:hAnsiTheme="minorHAnsi" w:cs="Arial"/>
          <w:sz w:val="22"/>
          <w:szCs w:val="22"/>
        </w:rPr>
        <w:t xml:space="preserve">Dodatkowo także na ryzyko poniesienia kosztów ewentualnych napraw gwarancyjnych, w szczególności podczas zadań, dla których wyznaczono 60 miesięczny okres gwarancji liczony od dnia odbioru końcowego inwestycji. Istnieje także ryzyko związane z niezapłaceniem należności przez odbiorców, bądź otrzymania należności ze zwłoką. Spółki Grupy ponoszą także ryzyko związane ze wzrostem cen </w:t>
      </w:r>
      <w:r w:rsidRPr="00360EFC">
        <w:rPr>
          <w:rFonts w:asciiTheme="minorHAnsi" w:hAnsiTheme="minorHAnsi" w:cs="Arial"/>
          <w:sz w:val="22"/>
          <w:szCs w:val="22"/>
        </w:rPr>
        <w:lastRenderedPageBreak/>
        <w:t xml:space="preserve">materiałów, co w konsekwencji może doprowadzić do niedoszacowania kosztów realizacji usług </w:t>
      </w:r>
      <w:r w:rsidR="001F4E2B">
        <w:rPr>
          <w:rFonts w:asciiTheme="minorHAnsi" w:hAnsiTheme="minorHAnsi" w:cs="Arial"/>
          <w:sz w:val="22"/>
          <w:szCs w:val="22"/>
        </w:rPr>
        <w:br/>
      </w:r>
      <w:r w:rsidRPr="00360EFC">
        <w:rPr>
          <w:rFonts w:asciiTheme="minorHAnsi" w:hAnsiTheme="minorHAnsi" w:cs="Arial"/>
          <w:sz w:val="22"/>
          <w:szCs w:val="22"/>
        </w:rPr>
        <w:t>i poniesienia strat w związku z wykonywanymi zadaniami. Istnieje także obawa związana ze wstrzymaniem decyzji o rozpoczęciu nowych projektów przez potencjalnych inwestorów, a także</w:t>
      </w:r>
      <w:r w:rsidRPr="00360EFC">
        <w:rPr>
          <w:rFonts w:asciiTheme="minorHAnsi" w:hAnsiTheme="minorHAnsi"/>
          <w:sz w:val="22"/>
          <w:szCs w:val="22"/>
        </w:rPr>
        <w:t xml:space="preserve">  ryzyko związane ze wzrostem cen materiałów będących podstawowym elementem w realizacji usług. Ma to przełożenie na koszty realizacji przedsięwzięcia, jak i wpływa w sposób bezpośredni na rentowność realizowanego zadania. W konsekwencji może to doprowadzić do niedoszacowania kosztów realizacji zadania i poniesienia strat w związku z wykonywanym zadaniem.</w:t>
      </w:r>
    </w:p>
    <w:p w14:paraId="360B6065" w14:textId="0524E9D7" w:rsidR="006C559D" w:rsidRPr="00360EFC" w:rsidRDefault="006C559D" w:rsidP="006C559D">
      <w:pPr>
        <w:spacing w:line="360" w:lineRule="auto"/>
        <w:ind w:firstLine="567"/>
        <w:jc w:val="both"/>
        <w:rPr>
          <w:rFonts w:ascii="Calibri" w:hAnsi="Calibri" w:cs="Arial"/>
          <w:sz w:val="22"/>
          <w:szCs w:val="22"/>
        </w:rPr>
      </w:pPr>
      <w:r w:rsidRPr="00360EFC">
        <w:rPr>
          <w:rFonts w:asciiTheme="minorHAnsi" w:hAnsiTheme="minorHAnsi"/>
          <w:sz w:val="22"/>
          <w:szCs w:val="22"/>
        </w:rPr>
        <w:t>Ze względu na specyfikę działalności Grupy Kapitałowej istnieje ryzyko utraty zaufania odbiorców oraz ryzyko zakończenia świadczenia usług na rzecz</w:t>
      </w:r>
      <w:r w:rsidRPr="00360EFC">
        <w:rPr>
          <w:rFonts w:ascii="Calibri" w:hAnsi="Calibri"/>
          <w:sz w:val="22"/>
          <w:szCs w:val="22"/>
        </w:rPr>
        <w:t xml:space="preserve"> głównych odbiorców (m.in. </w:t>
      </w:r>
      <w:proofErr w:type="spellStart"/>
      <w:r w:rsidRPr="00360EFC">
        <w:rPr>
          <w:rFonts w:ascii="Calibri" w:hAnsi="Calibri"/>
          <w:sz w:val="22"/>
          <w:szCs w:val="22"/>
        </w:rPr>
        <w:t>Synthos</w:t>
      </w:r>
      <w:proofErr w:type="spellEnd"/>
      <w:r w:rsidRPr="00360EFC">
        <w:rPr>
          <w:rFonts w:ascii="Calibri" w:hAnsi="Calibri"/>
          <w:sz w:val="22"/>
          <w:szCs w:val="22"/>
        </w:rPr>
        <w:t xml:space="preserve">, </w:t>
      </w:r>
      <w:proofErr w:type="spellStart"/>
      <w:r w:rsidRPr="00360EFC">
        <w:rPr>
          <w:rFonts w:ascii="Calibri" w:hAnsi="Calibri"/>
          <w:sz w:val="22"/>
          <w:szCs w:val="22"/>
        </w:rPr>
        <w:t>ArcelorMittal</w:t>
      </w:r>
      <w:proofErr w:type="spellEnd"/>
      <w:r w:rsidRPr="00360EFC">
        <w:rPr>
          <w:rFonts w:ascii="Calibri" w:hAnsi="Calibri"/>
          <w:sz w:val="22"/>
          <w:szCs w:val="22"/>
        </w:rPr>
        <w:t>).</w:t>
      </w:r>
      <w:r w:rsidRPr="00360EFC">
        <w:rPr>
          <w:sz w:val="22"/>
          <w:szCs w:val="22"/>
        </w:rPr>
        <w:t xml:space="preserve"> </w:t>
      </w:r>
      <w:r w:rsidRPr="00360EFC">
        <w:rPr>
          <w:rFonts w:ascii="Calibri" w:hAnsi="Calibri"/>
          <w:sz w:val="22"/>
          <w:szCs w:val="22"/>
        </w:rPr>
        <w:t xml:space="preserve">W pierwszym przypadku może ono wynikać z nienależytego lub nieterminowego wykonania usług przez podmioty Grupy. Niniejsze, jest jednak ograniczane przez niezwłoczne usuwanie usterek, zaistniałych podczas realizacji usług oraz bieżące kontrolowanie świadczonych prac. Natomiast w drugim przypadku zakończenie świadczenia usług na rzecz głównego odbiorcy, mogłoby istotnie wpłynąć na ogólny wynik finansowy. Na dzień sporządzania niniejszego sprawozdania, według najlepszej wiedzy Zarządów Spółek Grupy, nie występują powody, dla których miałoby nastąpić zakończenie współpracy ze spółkami grupy </w:t>
      </w:r>
      <w:proofErr w:type="spellStart"/>
      <w:r w:rsidRPr="00360EFC">
        <w:rPr>
          <w:rFonts w:ascii="Calibri" w:hAnsi="Calibri"/>
          <w:sz w:val="22"/>
          <w:szCs w:val="22"/>
        </w:rPr>
        <w:t>Synthos</w:t>
      </w:r>
      <w:proofErr w:type="spellEnd"/>
      <w:r w:rsidRPr="00360EFC">
        <w:rPr>
          <w:rFonts w:ascii="Calibri" w:hAnsi="Calibri"/>
          <w:sz w:val="22"/>
          <w:szCs w:val="22"/>
        </w:rPr>
        <w:t xml:space="preserve"> czy </w:t>
      </w:r>
      <w:proofErr w:type="spellStart"/>
      <w:r w:rsidRPr="00360EFC">
        <w:rPr>
          <w:rFonts w:ascii="Calibri" w:hAnsi="Calibri"/>
          <w:sz w:val="22"/>
          <w:szCs w:val="22"/>
        </w:rPr>
        <w:t>ArcelorMittal</w:t>
      </w:r>
      <w:proofErr w:type="spellEnd"/>
      <w:r w:rsidRPr="00360EFC">
        <w:rPr>
          <w:rFonts w:ascii="Calibri" w:hAnsi="Calibri"/>
          <w:sz w:val="22"/>
          <w:szCs w:val="22"/>
        </w:rPr>
        <w:t xml:space="preserve"> Poland S.A.. Grupa </w:t>
      </w:r>
      <w:r w:rsidR="002E4153">
        <w:rPr>
          <w:rFonts w:ascii="Calibri" w:hAnsi="Calibri"/>
          <w:sz w:val="22"/>
          <w:szCs w:val="22"/>
        </w:rPr>
        <w:t>CHEMOSERVIS-DWORY</w:t>
      </w:r>
      <w:r w:rsidRPr="00360EFC">
        <w:rPr>
          <w:rFonts w:ascii="Calibri" w:hAnsi="Calibri"/>
          <w:sz w:val="22"/>
          <w:szCs w:val="22"/>
        </w:rPr>
        <w:t xml:space="preserve"> powyższe ryzyko ogranicza, zawierając kontrakty z głównymi odbiorcami usług z odpowiednio długimi okresami ich trwania oraz ewentualnego wypowiedzenia,</w:t>
      </w:r>
      <w:r w:rsidR="001F4E2B">
        <w:rPr>
          <w:rFonts w:ascii="Calibri" w:hAnsi="Calibri"/>
          <w:sz w:val="22"/>
          <w:szCs w:val="22"/>
        </w:rPr>
        <w:br/>
      </w:r>
      <w:r w:rsidRPr="00360EFC">
        <w:rPr>
          <w:rFonts w:ascii="Calibri" w:hAnsi="Calibri"/>
          <w:sz w:val="22"/>
          <w:szCs w:val="22"/>
        </w:rPr>
        <w:t>a także gwarantujących stałą cenę za świadczone usługi.</w:t>
      </w:r>
    </w:p>
    <w:p w14:paraId="6D7DC7D9" w14:textId="77777777" w:rsidR="006C559D" w:rsidRPr="00812924" w:rsidRDefault="006C559D" w:rsidP="006C559D">
      <w:pPr>
        <w:autoSpaceDE w:val="0"/>
        <w:autoSpaceDN w:val="0"/>
        <w:adjustRightInd w:val="0"/>
        <w:spacing w:line="360" w:lineRule="auto"/>
        <w:ind w:firstLine="567"/>
        <w:contextualSpacing/>
        <w:jc w:val="both"/>
        <w:rPr>
          <w:rFonts w:ascii="Calibri" w:hAnsi="Calibri" w:cs="Calibri"/>
          <w:sz w:val="22"/>
          <w:szCs w:val="22"/>
        </w:rPr>
      </w:pPr>
      <w:r w:rsidRPr="00360EFC">
        <w:rPr>
          <w:rFonts w:ascii="Calibri" w:hAnsi="Calibri" w:cs="Arial"/>
          <w:sz w:val="22"/>
          <w:szCs w:val="22"/>
        </w:rPr>
        <w:t xml:space="preserve">Ze względu na specyfikę realizowanych zleceń oraz rodzaj wykonywanych prac przez Jednostki Grupy </w:t>
      </w:r>
      <w:r w:rsidRPr="00360EFC">
        <w:rPr>
          <w:rFonts w:ascii="Calibri" w:hAnsi="Calibri" w:cs="Calibri"/>
          <w:sz w:val="22"/>
          <w:szCs w:val="22"/>
        </w:rPr>
        <w:t xml:space="preserve">na terenie m.in. firm: </w:t>
      </w:r>
      <w:proofErr w:type="spellStart"/>
      <w:r w:rsidRPr="00360EFC">
        <w:rPr>
          <w:rFonts w:ascii="Calibri" w:hAnsi="Calibri" w:cs="Calibri"/>
          <w:sz w:val="22"/>
          <w:szCs w:val="22"/>
        </w:rPr>
        <w:t>Synthos</w:t>
      </w:r>
      <w:proofErr w:type="spellEnd"/>
      <w:r w:rsidRPr="00360EFC">
        <w:rPr>
          <w:rFonts w:ascii="Calibri" w:hAnsi="Calibri" w:cs="Calibri"/>
          <w:sz w:val="22"/>
          <w:szCs w:val="22"/>
        </w:rPr>
        <w:t xml:space="preserve"> Dwory 7 Sp. z o.o. S.K.A., </w:t>
      </w:r>
      <w:proofErr w:type="spellStart"/>
      <w:r w:rsidRPr="00360EFC">
        <w:rPr>
          <w:rFonts w:ascii="Calibri" w:hAnsi="Calibri" w:cs="Calibri"/>
          <w:sz w:val="22"/>
          <w:szCs w:val="22"/>
        </w:rPr>
        <w:t>ArcelorMittal</w:t>
      </w:r>
      <w:proofErr w:type="spellEnd"/>
      <w:r w:rsidRPr="00360EFC">
        <w:rPr>
          <w:rFonts w:ascii="Calibri" w:hAnsi="Calibri" w:cs="Calibri"/>
          <w:sz w:val="22"/>
          <w:szCs w:val="22"/>
        </w:rPr>
        <w:t xml:space="preserve"> Poland S.A. czy </w:t>
      </w:r>
      <w:proofErr w:type="spellStart"/>
      <w:r w:rsidRPr="00360EFC">
        <w:rPr>
          <w:rFonts w:ascii="Calibri" w:hAnsi="Calibri" w:cs="Calibri"/>
          <w:sz w:val="22"/>
          <w:szCs w:val="22"/>
        </w:rPr>
        <w:t>Synthos</w:t>
      </w:r>
      <w:proofErr w:type="spellEnd"/>
      <w:r w:rsidRPr="00360EFC">
        <w:rPr>
          <w:rFonts w:ascii="Calibri" w:hAnsi="Calibri" w:cs="Calibri"/>
          <w:sz w:val="22"/>
          <w:szCs w:val="22"/>
        </w:rPr>
        <w:t xml:space="preserve"> Kralupy </w:t>
      </w:r>
      <w:proofErr w:type="spellStart"/>
      <w:r w:rsidRPr="00360EFC">
        <w:rPr>
          <w:rFonts w:ascii="Calibri" w:hAnsi="Calibri" w:cs="Calibri"/>
          <w:sz w:val="22"/>
          <w:szCs w:val="22"/>
        </w:rPr>
        <w:t>a.s</w:t>
      </w:r>
      <w:proofErr w:type="spellEnd"/>
      <w:r w:rsidRPr="00360EFC">
        <w:rPr>
          <w:rFonts w:ascii="Calibri" w:hAnsi="Calibri" w:cs="Calibri"/>
          <w:sz w:val="22"/>
          <w:szCs w:val="22"/>
        </w:rPr>
        <w:t>. (utrzymanie ruchu), jak również pracowników MD-</w:t>
      </w:r>
      <w:proofErr w:type="spellStart"/>
      <w:r w:rsidRPr="00360EFC">
        <w:rPr>
          <w:rFonts w:ascii="Calibri" w:hAnsi="Calibri" w:cs="Calibri"/>
          <w:sz w:val="22"/>
          <w:szCs w:val="22"/>
        </w:rPr>
        <w:t>proeco</w:t>
      </w:r>
      <w:proofErr w:type="spellEnd"/>
      <w:r w:rsidRPr="00360EFC">
        <w:rPr>
          <w:rFonts w:ascii="Calibri" w:hAnsi="Calibri" w:cs="Calibri"/>
          <w:sz w:val="22"/>
          <w:szCs w:val="22"/>
        </w:rPr>
        <w:t xml:space="preserve"> Sp. z o.o. praca wiąże się </w:t>
      </w:r>
      <w:r w:rsidRPr="00360EFC">
        <w:rPr>
          <w:rFonts w:ascii="Calibri" w:hAnsi="Calibri" w:cs="Calibri"/>
          <w:sz w:val="22"/>
          <w:szCs w:val="22"/>
        </w:rPr>
        <w:br/>
        <w:t xml:space="preserve">z fizycznym kontaktem z substancjami oraz czynnikami szkodliwymi dla zdrowia, czego konsekwencją jest zwiększone ryzyko wypadkowe. Dlatego, uwzględniając charakter działalności Grupy Kapitałowej oraz prowadzone procesy produkcyjne, nie da się wykluczyć prawdopodobieństwa wystąpienia wypadków przy pracy. Jednostki Grupy </w:t>
      </w:r>
      <w:r w:rsidR="002E4153">
        <w:rPr>
          <w:rFonts w:ascii="Calibri" w:hAnsi="Calibri" w:cs="Calibri"/>
          <w:sz w:val="22"/>
          <w:szCs w:val="22"/>
        </w:rPr>
        <w:t>CHEMOSERVIS-DWORY</w:t>
      </w:r>
      <w:r w:rsidRPr="00360EFC">
        <w:rPr>
          <w:rFonts w:ascii="Calibri" w:hAnsi="Calibri" w:cs="Calibri"/>
          <w:sz w:val="22"/>
          <w:szCs w:val="22"/>
        </w:rPr>
        <w:t xml:space="preserve"> dokonują na bieżąco oceny „Ryzyko Zawodowego”, którego celem jest identyfikacja występujących zagrożeń, co pozwala na usystematyzowanie oraz podjęcie efektywnych działań, ukierunkowanych na minimalizację strat </w:t>
      </w:r>
      <w:r w:rsidRPr="00360EFC">
        <w:rPr>
          <w:rFonts w:ascii="Calibri" w:hAnsi="Calibri" w:cs="Calibri"/>
          <w:sz w:val="22"/>
          <w:szCs w:val="22"/>
        </w:rPr>
        <w:br/>
        <w:t>z tytułu występowania niepożądanych zdarzeń związanych z wykonywaną pracą. Z uwagi na istniejący system bezpieczeństwa w Grupie, przyjęto ocenę ryzyka na poziomie małym akceptowalnym.</w:t>
      </w:r>
      <w:r w:rsidRPr="00812924">
        <w:rPr>
          <w:rFonts w:ascii="Calibri" w:hAnsi="Calibri" w:cs="Calibri"/>
          <w:sz w:val="22"/>
          <w:szCs w:val="22"/>
        </w:rPr>
        <w:t xml:space="preserve"> </w:t>
      </w:r>
    </w:p>
    <w:p w14:paraId="0D68C2C7" w14:textId="77777777" w:rsidR="006C559D" w:rsidRDefault="006C559D" w:rsidP="006C559D">
      <w:pPr>
        <w:autoSpaceDE w:val="0"/>
        <w:autoSpaceDN w:val="0"/>
        <w:adjustRightInd w:val="0"/>
        <w:spacing w:line="360" w:lineRule="auto"/>
        <w:ind w:firstLine="567"/>
        <w:contextualSpacing/>
        <w:jc w:val="both"/>
        <w:rPr>
          <w:rFonts w:ascii="Calibri" w:hAnsi="Calibri" w:cs="Calibri"/>
        </w:rPr>
      </w:pPr>
      <w:r w:rsidRPr="002A6DCF">
        <w:rPr>
          <w:rFonts w:ascii="Calibri" w:hAnsi="Calibri" w:cs="Calibri"/>
          <w:sz w:val="22"/>
          <w:szCs w:val="22"/>
        </w:rPr>
        <w:t>W pierwszym półroczu 201</w:t>
      </w:r>
      <w:r w:rsidR="002A6DCF" w:rsidRPr="002A6DCF">
        <w:rPr>
          <w:rFonts w:ascii="Calibri" w:hAnsi="Calibri" w:cs="Calibri"/>
          <w:sz w:val="22"/>
          <w:szCs w:val="22"/>
        </w:rPr>
        <w:t>6</w:t>
      </w:r>
      <w:r w:rsidRPr="002A6DCF">
        <w:rPr>
          <w:rFonts w:ascii="Calibri" w:hAnsi="Calibri" w:cs="Calibri"/>
          <w:sz w:val="22"/>
          <w:szCs w:val="22"/>
        </w:rPr>
        <w:t xml:space="preserve"> roku w Jednostkach Grupy </w:t>
      </w:r>
      <w:r w:rsidR="002A6DCF" w:rsidRPr="002A6DCF">
        <w:rPr>
          <w:rFonts w:ascii="Calibri" w:hAnsi="Calibri" w:cs="Calibri"/>
          <w:sz w:val="22"/>
          <w:szCs w:val="22"/>
        </w:rPr>
        <w:t>n</w:t>
      </w:r>
      <w:r w:rsidRPr="002A6DCF">
        <w:rPr>
          <w:rFonts w:ascii="Calibri" w:hAnsi="Calibri" w:cs="Calibri"/>
          <w:sz w:val="22"/>
          <w:szCs w:val="22"/>
        </w:rPr>
        <w:t xml:space="preserve">ie zanotowano jednak żadnego ciężkiego uszkodzenia ciała, wypadku zbiorowego ani wypadku śmiertelnego. Nie orzeczono również żadnej choroby zawodowej. Analizując powyższe przesłanki, należy stwierdzić, że istnieje małe prawdopodobieństwo poniesienia przez zakład dodatkowych kosztów z tytułu odszkodowań za </w:t>
      </w:r>
      <w:r w:rsidRPr="002A6DCF">
        <w:rPr>
          <w:rFonts w:ascii="Calibri" w:hAnsi="Calibri" w:cs="Calibri"/>
          <w:sz w:val="22"/>
          <w:szCs w:val="22"/>
        </w:rPr>
        <w:lastRenderedPageBreak/>
        <w:t>zaistniałe choroby zawodowe i wypadki przy pracy jak i podwyższenie ubezpieczenia wypadkowego odprowadzanego przez pracodawcę do ZUS.</w:t>
      </w:r>
    </w:p>
    <w:p w14:paraId="0704F1FC" w14:textId="77777777" w:rsidR="00360EFC" w:rsidRDefault="00360EFC" w:rsidP="006C559D">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pacing w:line="360" w:lineRule="auto"/>
        <w:jc w:val="both"/>
        <w:rPr>
          <w:rFonts w:ascii="Calibri" w:hAnsi="Calibri"/>
          <w:b/>
          <w:bCs/>
        </w:rPr>
      </w:pPr>
    </w:p>
    <w:p w14:paraId="63C41208" w14:textId="77777777" w:rsidR="006C559D" w:rsidRPr="00812924" w:rsidRDefault="006C559D" w:rsidP="006C559D">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pacing w:line="360" w:lineRule="auto"/>
        <w:jc w:val="both"/>
        <w:rPr>
          <w:rFonts w:ascii="Calibri" w:hAnsi="Calibri"/>
          <w:b/>
          <w:bCs/>
        </w:rPr>
      </w:pPr>
      <w:r w:rsidRPr="00360EFC">
        <w:rPr>
          <w:rFonts w:ascii="Calibri" w:hAnsi="Calibri"/>
          <w:b/>
          <w:bCs/>
        </w:rPr>
        <w:t>Ryzyko związane z koniunkturą gospodarczą w Polsce</w:t>
      </w:r>
      <w:r w:rsidRPr="00812924">
        <w:rPr>
          <w:rFonts w:ascii="Calibri" w:hAnsi="Calibri"/>
          <w:b/>
          <w:bCs/>
        </w:rPr>
        <w:t xml:space="preserve"> </w:t>
      </w:r>
    </w:p>
    <w:p w14:paraId="73F4B3AA" w14:textId="77777777" w:rsidR="006C559D" w:rsidRPr="00812924" w:rsidRDefault="006C559D" w:rsidP="006C559D">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pacing w:line="360" w:lineRule="auto"/>
        <w:jc w:val="both"/>
        <w:rPr>
          <w:rFonts w:ascii="Calibri" w:hAnsi="Calibri"/>
          <w:bCs/>
          <w:sz w:val="20"/>
          <w:szCs w:val="20"/>
        </w:rPr>
      </w:pPr>
    </w:p>
    <w:p w14:paraId="0D9D7D24" w14:textId="77777777" w:rsidR="006C559D" w:rsidRPr="00FB18C3" w:rsidRDefault="006C559D" w:rsidP="006C559D">
      <w:pPr>
        <w:tabs>
          <w:tab w:val="left" w:pos="0"/>
          <w:tab w:val="left" w:pos="567"/>
          <w:tab w:val="left" w:pos="851"/>
          <w:tab w:val="left" w:pos="1700"/>
          <w:tab w:val="left" w:pos="2551"/>
          <w:tab w:val="left" w:pos="3402"/>
          <w:tab w:val="left" w:pos="4254"/>
          <w:tab w:val="left" w:pos="5105"/>
          <w:tab w:val="left" w:pos="5954"/>
          <w:tab w:val="left" w:pos="6805"/>
          <w:tab w:val="left" w:pos="7656"/>
          <w:tab w:val="left" w:pos="8508"/>
          <w:tab w:val="left" w:pos="8640"/>
        </w:tabs>
        <w:spacing w:line="360" w:lineRule="auto"/>
        <w:jc w:val="both"/>
        <w:rPr>
          <w:rFonts w:ascii="Calibri" w:hAnsi="Calibri" w:cs="Arial"/>
          <w:sz w:val="22"/>
          <w:szCs w:val="22"/>
        </w:rPr>
      </w:pPr>
      <w:r w:rsidRPr="00812924">
        <w:rPr>
          <w:rFonts w:ascii="Calibri" w:hAnsi="Calibri"/>
        </w:rPr>
        <w:tab/>
      </w:r>
      <w:r w:rsidRPr="00FB18C3">
        <w:rPr>
          <w:rFonts w:ascii="Calibri" w:hAnsi="Calibri"/>
          <w:sz w:val="22"/>
          <w:szCs w:val="22"/>
        </w:rPr>
        <w:t>W związku z faktem, iż Jednostka Dominująca oraz dwie jej Spółki Zależne prowadzą działalność głównie na terenie Pol</w:t>
      </w:r>
      <w:r>
        <w:rPr>
          <w:rFonts w:ascii="Calibri" w:hAnsi="Calibri"/>
          <w:sz w:val="22"/>
          <w:szCs w:val="22"/>
        </w:rPr>
        <w:t xml:space="preserve">ski i jest to jednocześnie ich </w:t>
      </w:r>
      <w:r w:rsidRPr="00FB18C3">
        <w:rPr>
          <w:rFonts w:ascii="Calibri" w:hAnsi="Calibri"/>
          <w:sz w:val="22"/>
          <w:szCs w:val="22"/>
        </w:rPr>
        <w:t xml:space="preserve">główny rynek zbytu, działalność </w:t>
      </w:r>
      <w:r>
        <w:rPr>
          <w:rFonts w:ascii="Calibri" w:hAnsi="Calibri"/>
          <w:sz w:val="22"/>
          <w:szCs w:val="22"/>
        </w:rPr>
        <w:br/>
        <w:t xml:space="preserve">Grupy Kapitałowej </w:t>
      </w:r>
      <w:r w:rsidRPr="00FB18C3">
        <w:rPr>
          <w:rFonts w:ascii="Calibri" w:hAnsi="Calibri"/>
          <w:sz w:val="22"/>
          <w:szCs w:val="22"/>
        </w:rPr>
        <w:t xml:space="preserve">uzależniona jest od sytuacji makroekonomicznej w kraju. Na wyniki działalności wpływa wiele czynników m.in. tempo wzrostu gospodarczego, poziom inwestycji przedsiębiorstw, poziom inflacji, poziom bezrobocia. </w:t>
      </w:r>
    </w:p>
    <w:p w14:paraId="6DD695A2"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sz w:val="22"/>
          <w:szCs w:val="22"/>
        </w:rPr>
      </w:pPr>
      <w:r w:rsidRPr="00FB18C3">
        <w:rPr>
          <w:rFonts w:ascii="Calibri" w:eastAsia="ArialNarrow" w:hAnsi="Calibri" w:cs="ArialNarrow"/>
          <w:sz w:val="22"/>
          <w:szCs w:val="22"/>
        </w:rPr>
        <w:tab/>
        <w:t>Niższe tempo wzrostu gospodarczego, niższe nakłady inwestycyjne, wyższy poziom podatków czy poziom stóp procentowych mogą negatywnie wpłynąć</w:t>
      </w:r>
      <w:r>
        <w:rPr>
          <w:rFonts w:ascii="Calibri" w:eastAsia="ArialNarrow" w:hAnsi="Calibri" w:cs="ArialNarrow"/>
          <w:sz w:val="22"/>
          <w:szCs w:val="22"/>
        </w:rPr>
        <w:t xml:space="preserve"> na poziom inwestycji </w:t>
      </w:r>
      <w:r w:rsidRPr="00FB18C3">
        <w:rPr>
          <w:rFonts w:ascii="Calibri" w:eastAsia="ArialNarrow" w:hAnsi="Calibri" w:cs="ArialNarrow"/>
          <w:sz w:val="22"/>
          <w:szCs w:val="22"/>
        </w:rPr>
        <w:t>w przemyśle</w:t>
      </w:r>
      <w:r>
        <w:rPr>
          <w:rFonts w:ascii="Calibri" w:eastAsia="ArialNarrow" w:hAnsi="Calibri" w:cs="ArialNarrow"/>
          <w:sz w:val="22"/>
          <w:szCs w:val="22"/>
        </w:rPr>
        <w:t>,</w:t>
      </w:r>
      <w:r w:rsidRPr="00FB18C3">
        <w:rPr>
          <w:rFonts w:ascii="Calibri" w:eastAsia="ArialNarrow" w:hAnsi="Calibri" w:cs="ArialNarrow"/>
          <w:sz w:val="22"/>
          <w:szCs w:val="22"/>
        </w:rPr>
        <w:t xml:space="preserve"> a tym samym na działalność, wyniki, sytuację finansową i perspektywy rozwoju Grupy Kapitałowej </w:t>
      </w:r>
      <w:r w:rsidR="002E4153">
        <w:rPr>
          <w:rFonts w:ascii="Calibri" w:eastAsia="ArialNarrow" w:hAnsi="Calibri" w:cs="ArialNarrow"/>
          <w:sz w:val="22"/>
          <w:szCs w:val="22"/>
        </w:rPr>
        <w:t>CHEMOSERVIS-DWORY</w:t>
      </w:r>
      <w:r w:rsidRPr="00FB18C3">
        <w:rPr>
          <w:rFonts w:ascii="Calibri" w:eastAsia="ArialNarrow" w:hAnsi="Calibri" w:cs="ArialNarrow"/>
          <w:sz w:val="22"/>
          <w:szCs w:val="22"/>
        </w:rPr>
        <w:t>.</w:t>
      </w:r>
    </w:p>
    <w:p w14:paraId="5C375399"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sz w:val="22"/>
          <w:szCs w:val="22"/>
        </w:rPr>
      </w:pPr>
      <w:r w:rsidRPr="00FB18C3">
        <w:rPr>
          <w:rFonts w:ascii="Calibri" w:eastAsia="ArialNarrow" w:hAnsi="Calibri" w:cs="ArialNarrow"/>
          <w:sz w:val="22"/>
          <w:szCs w:val="22"/>
        </w:rPr>
        <w:tab/>
        <w:t>Wśród grupy czynników mających bezpośredni wpływ na rentowność zawi</w:t>
      </w:r>
      <w:r>
        <w:rPr>
          <w:rFonts w:ascii="Calibri" w:eastAsia="ArialNarrow" w:hAnsi="Calibri" w:cs="ArialNarrow"/>
          <w:sz w:val="22"/>
          <w:szCs w:val="22"/>
        </w:rPr>
        <w:t xml:space="preserve">eranych przez Grupę Kapitałową </w:t>
      </w:r>
      <w:r w:rsidRPr="00FB18C3">
        <w:rPr>
          <w:rFonts w:ascii="Calibri" w:eastAsia="ArialNarrow" w:hAnsi="Calibri" w:cs="ArialNarrow"/>
          <w:sz w:val="22"/>
          <w:szCs w:val="22"/>
        </w:rPr>
        <w:t>kontrak</w:t>
      </w:r>
      <w:r>
        <w:rPr>
          <w:rFonts w:ascii="Calibri" w:eastAsia="ArialNarrow" w:hAnsi="Calibri" w:cs="ArialNarrow"/>
          <w:sz w:val="22"/>
          <w:szCs w:val="22"/>
        </w:rPr>
        <w:t xml:space="preserve">tów należy </w:t>
      </w:r>
      <w:r w:rsidRPr="00FB18C3">
        <w:rPr>
          <w:rFonts w:ascii="Calibri" w:eastAsia="ArialNarrow" w:hAnsi="Calibri" w:cs="ArialNarrow"/>
          <w:sz w:val="22"/>
          <w:szCs w:val="22"/>
        </w:rPr>
        <w:t>także wymienić: poziom c</w:t>
      </w:r>
      <w:r>
        <w:rPr>
          <w:rFonts w:ascii="Calibri" w:eastAsia="ArialNarrow" w:hAnsi="Calibri" w:cs="ArialNarrow"/>
          <w:sz w:val="22"/>
          <w:szCs w:val="22"/>
        </w:rPr>
        <w:t xml:space="preserve">en materiałów, poziom cen usług </w:t>
      </w:r>
      <w:r w:rsidRPr="00FB18C3">
        <w:rPr>
          <w:rFonts w:ascii="Calibri" w:eastAsia="ArialNarrow" w:hAnsi="Calibri" w:cs="ArialNarrow"/>
          <w:sz w:val="22"/>
          <w:szCs w:val="22"/>
        </w:rPr>
        <w:t xml:space="preserve">podwykonawców, poziom kosztów zatrudnienia. Z prowadzeniem działalności gospodarczej powiązane jest również ryzyko kredytowania kontrahentów. Przekroczenia terminów płatności należności mogą mieć niekorzystny wpływ na wyniki finansowe Grupy Kapitałowej, zmuszając do finansowania działalności poprzez zadłużanie zewnętrzne. </w:t>
      </w:r>
    </w:p>
    <w:p w14:paraId="518EF636" w14:textId="77777777" w:rsidR="006C559D" w:rsidRPr="0060058D" w:rsidRDefault="006C559D" w:rsidP="006C559D">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pacing w:line="360" w:lineRule="auto"/>
        <w:jc w:val="both"/>
        <w:rPr>
          <w:rFonts w:ascii="Calibri" w:hAnsi="Calibri"/>
          <w:sz w:val="18"/>
          <w:szCs w:val="18"/>
        </w:rPr>
      </w:pPr>
    </w:p>
    <w:p w14:paraId="74886974" w14:textId="77777777" w:rsidR="006C559D" w:rsidRPr="00812924" w:rsidRDefault="006C559D" w:rsidP="006C559D">
      <w:pPr>
        <w:tabs>
          <w:tab w:val="left" w:pos="0"/>
        </w:tabs>
        <w:autoSpaceDE w:val="0"/>
        <w:autoSpaceDN w:val="0"/>
        <w:adjustRightInd w:val="0"/>
        <w:spacing w:line="360" w:lineRule="auto"/>
        <w:rPr>
          <w:rFonts w:ascii="Calibri" w:eastAsia="Calibri" w:hAnsi="Calibri" w:cs="Arial"/>
          <w:b/>
          <w:bCs/>
          <w:color w:val="000000"/>
        </w:rPr>
      </w:pPr>
      <w:r w:rsidRPr="00360EFC">
        <w:rPr>
          <w:rFonts w:ascii="Calibri" w:eastAsia="Calibri" w:hAnsi="Calibri" w:cs="Arial"/>
          <w:b/>
          <w:bCs/>
          <w:color w:val="000000"/>
        </w:rPr>
        <w:t>Ryzyko zmian przepisów prawnych lub ich interpretacji</w:t>
      </w:r>
      <w:r w:rsidRPr="00812924">
        <w:rPr>
          <w:rFonts w:ascii="Calibri" w:eastAsia="Calibri" w:hAnsi="Calibri" w:cs="Arial"/>
          <w:b/>
          <w:bCs/>
          <w:color w:val="000000"/>
        </w:rPr>
        <w:t xml:space="preserve"> </w:t>
      </w:r>
    </w:p>
    <w:p w14:paraId="3042804D" w14:textId="77777777" w:rsidR="006C559D" w:rsidRPr="0060058D" w:rsidRDefault="006C559D" w:rsidP="006C559D">
      <w:pPr>
        <w:tabs>
          <w:tab w:val="left" w:pos="0"/>
        </w:tabs>
        <w:autoSpaceDE w:val="0"/>
        <w:autoSpaceDN w:val="0"/>
        <w:adjustRightInd w:val="0"/>
        <w:spacing w:line="360" w:lineRule="auto"/>
        <w:rPr>
          <w:rFonts w:ascii="Calibri" w:eastAsia="Calibri" w:hAnsi="Calibri" w:cs="Arial"/>
          <w:bCs/>
          <w:color w:val="000000"/>
          <w:sz w:val="20"/>
          <w:szCs w:val="20"/>
        </w:rPr>
      </w:pPr>
    </w:p>
    <w:p w14:paraId="0240D8E0"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Calibri" w:hAnsi="Calibri" w:cs="Arial"/>
          <w:color w:val="000000"/>
          <w:sz w:val="22"/>
          <w:szCs w:val="22"/>
        </w:rPr>
      </w:pPr>
      <w:r w:rsidRPr="00812924">
        <w:rPr>
          <w:rFonts w:ascii="Calibri" w:eastAsia="Calibri" w:hAnsi="Calibri" w:cs="Arial"/>
          <w:color w:val="000000"/>
        </w:rPr>
        <w:tab/>
      </w:r>
      <w:r w:rsidRPr="00FB18C3">
        <w:rPr>
          <w:rFonts w:ascii="Calibri" w:eastAsia="Calibri" w:hAnsi="Calibri" w:cs="Arial"/>
          <w:color w:val="000000"/>
          <w:sz w:val="22"/>
          <w:szCs w:val="22"/>
        </w:rPr>
        <w:t xml:space="preserve">W otoczeniu prawnym, w którym prowadzona jest działalność gospodarcza </w:t>
      </w:r>
      <w:r w:rsidR="002E4153">
        <w:rPr>
          <w:rFonts w:ascii="Calibri" w:eastAsia="ArialNarrow" w:hAnsi="Calibri" w:cs="ArialNarrow"/>
          <w:sz w:val="22"/>
          <w:szCs w:val="22"/>
        </w:rPr>
        <w:t>CHEMOSERVIS-DWORY</w:t>
      </w:r>
      <w:r w:rsidRPr="00FB18C3">
        <w:rPr>
          <w:rFonts w:ascii="Calibri" w:eastAsia="Calibri" w:hAnsi="Calibri" w:cs="Arial"/>
          <w:color w:val="000000"/>
          <w:sz w:val="22"/>
          <w:szCs w:val="22"/>
        </w:rPr>
        <w:t xml:space="preserve"> S.A. oraz jej Spółek Zależnych, mają miejsce częste zmiany przepisów podatkowych. Częste zmiany w regulacjach dotyczących podatku od towarów i usług (VAT), podatku dochodowego od osób prawnych, podatku dochodowego od osób fizycznych oraz ubezpieczeń społecznych skutkują brakiem odniesienia do utrwalonych regulacji lub do precedensów prawnych. Pojawiające się niezgodności interpretacji Ministra Finansów z rozstrzygnięciami sądów administracyjnych powodują brak możliwości przewidzenia jednolitych skutków podatkowych dla konkretnych transakcji. </w:t>
      </w:r>
    </w:p>
    <w:p w14:paraId="0CCCC71F"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Calibri" w:hAnsi="Calibri" w:cs="Arial"/>
          <w:color w:val="000000"/>
          <w:sz w:val="22"/>
          <w:szCs w:val="22"/>
        </w:rPr>
      </w:pPr>
      <w:r w:rsidRPr="00812924">
        <w:rPr>
          <w:rFonts w:ascii="Calibri" w:eastAsia="Calibri" w:hAnsi="Calibri" w:cs="Arial"/>
          <w:color w:val="000000"/>
        </w:rPr>
        <w:tab/>
      </w:r>
      <w:r w:rsidRPr="00FB18C3">
        <w:rPr>
          <w:rFonts w:ascii="Calibri" w:eastAsia="Calibri" w:hAnsi="Calibri" w:cs="Arial"/>
          <w:color w:val="000000"/>
          <w:sz w:val="22"/>
          <w:szCs w:val="22"/>
        </w:rPr>
        <w:t xml:space="preserve">Zjawiska te powodują, że ryzyko podatkowe prowadzenia działalności gospodarczej w Polsce jest znacząco wyższe niż istniejące zwykle w krajach o bardziej rozwiniętym systemie podatkowym. </w:t>
      </w:r>
    </w:p>
    <w:p w14:paraId="26FF9727"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Calibri" w:hAnsi="Calibri" w:cs="Arial"/>
          <w:color w:val="000000"/>
          <w:sz w:val="22"/>
          <w:szCs w:val="22"/>
        </w:rPr>
      </w:pPr>
      <w:r w:rsidRPr="00812924">
        <w:rPr>
          <w:rFonts w:ascii="Calibri" w:eastAsia="Calibri" w:hAnsi="Calibri" w:cs="Arial"/>
          <w:color w:val="000000"/>
        </w:rPr>
        <w:tab/>
      </w:r>
      <w:r w:rsidRPr="00FB18C3">
        <w:rPr>
          <w:rFonts w:ascii="Calibri" w:eastAsia="Calibri" w:hAnsi="Calibri" w:cs="Arial"/>
          <w:color w:val="000000"/>
          <w:sz w:val="22"/>
          <w:szCs w:val="22"/>
        </w:rPr>
        <w:t xml:space="preserve">Dodatkowymi czynnikami powodującymi konieczność odpowiedniego zarządzania ryzykiem </w:t>
      </w:r>
      <w:r>
        <w:rPr>
          <w:rFonts w:ascii="Calibri" w:eastAsia="Calibri" w:hAnsi="Calibri" w:cs="Arial"/>
          <w:color w:val="000000"/>
          <w:sz w:val="22"/>
          <w:szCs w:val="22"/>
        </w:rPr>
        <w:br/>
      </w:r>
      <w:r w:rsidRPr="00FB18C3">
        <w:rPr>
          <w:rFonts w:ascii="Calibri" w:eastAsia="Calibri" w:hAnsi="Calibri" w:cs="Arial"/>
          <w:color w:val="000000"/>
          <w:sz w:val="22"/>
          <w:szCs w:val="22"/>
        </w:rPr>
        <w:t xml:space="preserve">w ramach podatków są wysokie, potencjalne kary przewidziane w razie popełnienia przestępstwa lub </w:t>
      </w:r>
      <w:r w:rsidRPr="00FB18C3">
        <w:rPr>
          <w:rFonts w:ascii="Calibri" w:eastAsia="Calibri" w:hAnsi="Calibri" w:cs="Arial"/>
          <w:color w:val="000000"/>
          <w:sz w:val="22"/>
          <w:szCs w:val="22"/>
        </w:rPr>
        <w:lastRenderedPageBreak/>
        <w:t xml:space="preserve">wykroczenia skarbowego oraz ogólnie pro fiskalne podejście polskich władz skarbowych. Prowadząc działalność gospodarczą należy uwzględnić fakt, że na skutek mylnej interpretacji zawiłego prawa, błędu pracownika, czy też niekompetencji urzędniczej, można w niezamierzony sposób spowodować zaległość podatkową. Organy podatkowe zgodnie ze swoimi kompetencjami mogą przeprowadzić kontrole i weryfikować zapisy operacji gospodarczych ujęte w księgach rachunkowych w ciągu 5 lat od zakończenia roku podatkowego, w którym złożono deklaracje podatkowe. </w:t>
      </w:r>
    </w:p>
    <w:p w14:paraId="3656880E" w14:textId="77777777" w:rsidR="006C559D" w:rsidRPr="00812924" w:rsidRDefault="006C559D" w:rsidP="006C559D">
      <w:pPr>
        <w:tabs>
          <w:tab w:val="left" w:pos="0"/>
        </w:tabs>
        <w:autoSpaceDE w:val="0"/>
        <w:autoSpaceDN w:val="0"/>
        <w:adjustRightInd w:val="0"/>
        <w:spacing w:line="360" w:lineRule="auto"/>
        <w:rPr>
          <w:rFonts w:ascii="Calibri" w:eastAsia="Calibri" w:hAnsi="Calibri" w:cs="Arial"/>
          <w:b/>
          <w:bCs/>
          <w:color w:val="000000"/>
        </w:rPr>
      </w:pPr>
    </w:p>
    <w:p w14:paraId="30AE43F6" w14:textId="77777777" w:rsidR="006C559D" w:rsidRPr="00360EFC" w:rsidRDefault="006C559D" w:rsidP="006C559D">
      <w:pPr>
        <w:tabs>
          <w:tab w:val="left" w:pos="0"/>
        </w:tabs>
        <w:autoSpaceDE w:val="0"/>
        <w:autoSpaceDN w:val="0"/>
        <w:adjustRightInd w:val="0"/>
        <w:spacing w:line="360" w:lineRule="auto"/>
        <w:jc w:val="both"/>
        <w:rPr>
          <w:rFonts w:ascii="Calibri" w:eastAsia="ArialNarrow,Bold" w:hAnsi="Calibri" w:cs="ArialNarrow,Bold"/>
          <w:b/>
          <w:bCs/>
        </w:rPr>
      </w:pPr>
      <w:r w:rsidRPr="00360EFC">
        <w:rPr>
          <w:rFonts w:ascii="Calibri" w:eastAsia="ArialNarrow,Bold" w:hAnsi="Calibri" w:cs="ArialNarrow,Bold"/>
          <w:b/>
          <w:bCs/>
        </w:rPr>
        <w:t>Ryzyko związane z działalnością firm konkurencyjnych</w:t>
      </w:r>
    </w:p>
    <w:p w14:paraId="2871FF72" w14:textId="77777777" w:rsidR="006C559D" w:rsidRPr="00360EFC" w:rsidRDefault="006C559D" w:rsidP="006C559D">
      <w:pPr>
        <w:tabs>
          <w:tab w:val="left" w:pos="0"/>
        </w:tabs>
        <w:autoSpaceDE w:val="0"/>
        <w:autoSpaceDN w:val="0"/>
        <w:adjustRightInd w:val="0"/>
        <w:spacing w:line="360" w:lineRule="auto"/>
        <w:jc w:val="both"/>
        <w:rPr>
          <w:rFonts w:ascii="Calibri" w:eastAsia="ArialNarrow,Bold" w:hAnsi="Calibri" w:cs="ArialNarrow,Bold"/>
          <w:b/>
          <w:bCs/>
        </w:rPr>
      </w:pPr>
    </w:p>
    <w:p w14:paraId="38619267" w14:textId="77777777" w:rsidR="006C559D" w:rsidRPr="00360EFC"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sz w:val="22"/>
          <w:szCs w:val="22"/>
        </w:rPr>
      </w:pPr>
      <w:r w:rsidRPr="00360EFC">
        <w:rPr>
          <w:rFonts w:ascii="Calibri" w:hAnsi="Calibri"/>
        </w:rPr>
        <w:tab/>
      </w:r>
      <w:r w:rsidRPr="00360EFC">
        <w:rPr>
          <w:rFonts w:ascii="Calibri" w:hAnsi="Calibri"/>
          <w:sz w:val="22"/>
          <w:szCs w:val="22"/>
        </w:rPr>
        <w:t xml:space="preserve">W ostatnim okresie Grupa Kapitałowa </w:t>
      </w:r>
      <w:r w:rsidR="002E4153">
        <w:rPr>
          <w:rFonts w:ascii="Calibri" w:eastAsia="ArialNarrow" w:hAnsi="Calibri" w:cs="ArialNarrow"/>
          <w:sz w:val="22"/>
          <w:szCs w:val="22"/>
        </w:rPr>
        <w:t>CHEMOSERVIS-DWORY</w:t>
      </w:r>
      <w:r w:rsidRPr="00360EFC">
        <w:rPr>
          <w:rFonts w:ascii="Calibri" w:hAnsi="Calibri"/>
          <w:sz w:val="22"/>
          <w:szCs w:val="22"/>
        </w:rPr>
        <w:t xml:space="preserve"> zauważyła, wzrost konkurencyjności w obszarach prowadzonej działalności. Jednostka Dominująca, jak i Spółki Zależne </w:t>
      </w:r>
      <w:r w:rsidRPr="00360EFC">
        <w:rPr>
          <w:rFonts w:ascii="Calibri" w:eastAsia="ArialNarrow" w:hAnsi="Calibri" w:cs="ArialNarrow"/>
          <w:sz w:val="22"/>
          <w:szCs w:val="22"/>
        </w:rPr>
        <w:t xml:space="preserve"> na bieżąco monitorują działania rynkowe konkurentów i starają się odpowiednio szybko i skutecznie modyfikować swoją strategię tak, aby utrzymać i umocnić swoją pozycje rynkową. W szczególności Grupa Kapitałowa stale modyfikuje swoja ofertę produktową, aktualizuje strategie rynkowe </w:t>
      </w:r>
      <w:r w:rsidRPr="00360EFC">
        <w:rPr>
          <w:rFonts w:ascii="Calibri" w:eastAsia="ArialNarrow" w:hAnsi="Calibri" w:cs="ArialNarrow"/>
          <w:sz w:val="22"/>
          <w:szCs w:val="22"/>
        </w:rPr>
        <w:br/>
        <w:t xml:space="preserve">w obszarach swojej działalności. </w:t>
      </w:r>
    </w:p>
    <w:p w14:paraId="123A5908" w14:textId="77777777" w:rsidR="006C559D" w:rsidRPr="00360EFC"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rPr>
      </w:pPr>
    </w:p>
    <w:p w14:paraId="637632B0" w14:textId="77777777" w:rsidR="00A23BC4" w:rsidRDefault="00A23BC4" w:rsidP="006C559D">
      <w:pPr>
        <w:tabs>
          <w:tab w:val="left" w:pos="0"/>
        </w:tabs>
        <w:spacing w:line="360" w:lineRule="auto"/>
        <w:rPr>
          <w:rFonts w:ascii="Calibri" w:hAnsi="Calibri"/>
          <w:b/>
          <w:bCs/>
        </w:rPr>
      </w:pPr>
    </w:p>
    <w:p w14:paraId="48837F46" w14:textId="77777777" w:rsidR="006C559D" w:rsidRPr="00812924" w:rsidRDefault="006C559D" w:rsidP="006C559D">
      <w:pPr>
        <w:tabs>
          <w:tab w:val="left" w:pos="0"/>
        </w:tabs>
        <w:spacing w:line="360" w:lineRule="auto"/>
        <w:rPr>
          <w:rFonts w:ascii="Calibri" w:hAnsi="Calibri"/>
          <w:b/>
          <w:bCs/>
        </w:rPr>
      </w:pPr>
      <w:r w:rsidRPr="00360EFC">
        <w:rPr>
          <w:rFonts w:ascii="Calibri" w:hAnsi="Calibri"/>
          <w:b/>
          <w:bCs/>
        </w:rPr>
        <w:t>Ryzyka związanego z uzależnieniem od głównych odbiorców</w:t>
      </w:r>
    </w:p>
    <w:p w14:paraId="77B68B80" w14:textId="77777777" w:rsidR="006C559D" w:rsidRPr="00812924" w:rsidRDefault="006C559D" w:rsidP="006C559D">
      <w:pPr>
        <w:tabs>
          <w:tab w:val="left" w:pos="0"/>
        </w:tabs>
        <w:spacing w:line="360" w:lineRule="auto"/>
        <w:rPr>
          <w:rFonts w:ascii="Calibri" w:hAnsi="Calibri"/>
          <w:b/>
          <w:bCs/>
        </w:rPr>
      </w:pPr>
    </w:p>
    <w:p w14:paraId="31129CFF" w14:textId="77777777" w:rsidR="006C559D" w:rsidRPr="00FB18C3" w:rsidRDefault="006C559D" w:rsidP="006C559D">
      <w:pPr>
        <w:tabs>
          <w:tab w:val="left" w:pos="0"/>
          <w:tab w:val="left" w:pos="567"/>
        </w:tabs>
        <w:spacing w:line="360" w:lineRule="auto"/>
        <w:jc w:val="both"/>
        <w:rPr>
          <w:rFonts w:ascii="Calibri" w:eastAsia="ArialNarrow" w:hAnsi="Calibri" w:cs="ArialNarrow"/>
          <w:sz w:val="22"/>
          <w:szCs w:val="22"/>
        </w:rPr>
      </w:pPr>
      <w:r w:rsidRPr="00812924">
        <w:rPr>
          <w:rFonts w:ascii="Calibri" w:eastAsia="ArialNarrow" w:hAnsi="Calibri" w:cs="ArialNarrow"/>
        </w:rPr>
        <w:tab/>
      </w:r>
      <w:r w:rsidRPr="00FB18C3">
        <w:rPr>
          <w:rFonts w:ascii="Calibri" w:eastAsia="ArialNarrow" w:hAnsi="Calibri" w:cs="ArialNarrow"/>
          <w:sz w:val="22"/>
          <w:szCs w:val="22"/>
        </w:rPr>
        <w:t>Analiza sprzedaży wskazuje na jednego odbiorcę, którego udział w sprzedaży może wpływać na</w:t>
      </w:r>
      <w:r w:rsidRPr="00FB18C3">
        <w:rPr>
          <w:rFonts w:ascii="Calibri" w:hAnsi="Calibri"/>
          <w:b/>
          <w:bCs/>
          <w:sz w:val="22"/>
          <w:szCs w:val="22"/>
        </w:rPr>
        <w:t xml:space="preserve"> </w:t>
      </w:r>
      <w:r w:rsidRPr="00FB18C3">
        <w:rPr>
          <w:rFonts w:ascii="Calibri" w:eastAsia="ArialNarrow" w:hAnsi="Calibri" w:cs="ArialNarrow"/>
          <w:sz w:val="22"/>
          <w:szCs w:val="22"/>
        </w:rPr>
        <w:t>potencjalne ryzyko uzależnienia. Współpraca oparta jest na umowach terminowych i wieloletniej</w:t>
      </w:r>
      <w:r w:rsidRPr="00FB18C3">
        <w:rPr>
          <w:rFonts w:ascii="Calibri" w:hAnsi="Calibri"/>
          <w:b/>
          <w:bCs/>
          <w:sz w:val="22"/>
          <w:szCs w:val="22"/>
        </w:rPr>
        <w:t xml:space="preserve"> </w:t>
      </w:r>
      <w:r w:rsidRPr="00FB18C3">
        <w:rPr>
          <w:rFonts w:ascii="Calibri" w:eastAsia="ArialNarrow" w:hAnsi="Calibri" w:cs="ArialNarrow"/>
          <w:sz w:val="22"/>
          <w:szCs w:val="22"/>
        </w:rPr>
        <w:t>dobrej praktyce handlowej. Jednocześnie prowadzone są działania mając</w:t>
      </w:r>
      <w:r>
        <w:rPr>
          <w:rFonts w:ascii="Calibri" w:eastAsia="ArialNarrow" w:hAnsi="Calibri" w:cs="ArialNarrow"/>
          <w:sz w:val="22"/>
          <w:szCs w:val="22"/>
        </w:rPr>
        <w:t>e na celu większą dywersyfikację</w:t>
      </w:r>
      <w:r w:rsidRPr="00FB18C3">
        <w:rPr>
          <w:rFonts w:ascii="Calibri" w:eastAsia="ArialNarrow" w:hAnsi="Calibri" w:cs="ArialNarrow"/>
          <w:sz w:val="22"/>
          <w:szCs w:val="22"/>
        </w:rPr>
        <w:t xml:space="preserve"> portfela odbiorców poprzez pozyskiwanie i rozwój nowych grup odbiorców.</w:t>
      </w:r>
    </w:p>
    <w:p w14:paraId="321DA0E7" w14:textId="77777777" w:rsidR="006C559D" w:rsidRPr="00812924" w:rsidRDefault="006C559D" w:rsidP="006C559D">
      <w:pPr>
        <w:rPr>
          <w:rFonts w:ascii="Calibri" w:eastAsia="ArialNarrow" w:hAnsi="Calibri" w:cs="ArialNarrow"/>
        </w:rPr>
      </w:pPr>
    </w:p>
    <w:p w14:paraId="35B29596" w14:textId="77777777" w:rsidR="006C559D" w:rsidRPr="00812924" w:rsidRDefault="006C559D" w:rsidP="006C559D">
      <w:pPr>
        <w:tabs>
          <w:tab w:val="left" w:pos="0"/>
        </w:tabs>
        <w:autoSpaceDE w:val="0"/>
        <w:autoSpaceDN w:val="0"/>
        <w:adjustRightInd w:val="0"/>
        <w:spacing w:line="360" w:lineRule="auto"/>
        <w:jc w:val="both"/>
        <w:rPr>
          <w:rFonts w:ascii="Calibri" w:eastAsia="CenturyGothic" w:hAnsi="Calibri" w:cs="CenturyGothic"/>
          <w:b/>
        </w:rPr>
      </w:pPr>
      <w:r w:rsidRPr="00360EFC">
        <w:rPr>
          <w:rFonts w:ascii="Calibri" w:eastAsia="CenturyGothic" w:hAnsi="Calibri" w:cs="CenturyGothic"/>
          <w:b/>
        </w:rPr>
        <w:t xml:space="preserve">Instrumenty finansowe stosowane przez Grupę Kapitałową </w:t>
      </w:r>
      <w:r w:rsidR="002E4153">
        <w:rPr>
          <w:rFonts w:ascii="Calibri" w:eastAsia="ArialNarrow" w:hAnsi="Calibri" w:cs="ArialNarrow"/>
          <w:b/>
        </w:rPr>
        <w:t>CHEMOSERVIS-DWORY</w:t>
      </w:r>
      <w:r w:rsidRPr="00812924">
        <w:rPr>
          <w:rFonts w:ascii="Calibri" w:eastAsia="CenturyGothic" w:hAnsi="Calibri" w:cs="CenturyGothic"/>
          <w:b/>
        </w:rPr>
        <w:t xml:space="preserve"> </w:t>
      </w:r>
    </w:p>
    <w:p w14:paraId="1F2162E7" w14:textId="77777777" w:rsidR="006C559D" w:rsidRPr="00812924" w:rsidRDefault="006C559D" w:rsidP="006C559D">
      <w:pPr>
        <w:tabs>
          <w:tab w:val="left" w:pos="0"/>
        </w:tabs>
        <w:autoSpaceDE w:val="0"/>
        <w:autoSpaceDN w:val="0"/>
        <w:adjustRightInd w:val="0"/>
        <w:spacing w:line="360" w:lineRule="auto"/>
        <w:jc w:val="both"/>
        <w:rPr>
          <w:rFonts w:ascii="Calibri" w:eastAsia="CenturyGothic" w:hAnsi="Calibri" w:cs="CenturyGothic"/>
          <w:b/>
        </w:rPr>
      </w:pPr>
    </w:p>
    <w:p w14:paraId="5EDBEF5D" w14:textId="77777777" w:rsidR="006C559D" w:rsidRDefault="006C559D" w:rsidP="006C559D">
      <w:pPr>
        <w:tabs>
          <w:tab w:val="left" w:pos="0"/>
          <w:tab w:val="left" w:pos="567"/>
        </w:tabs>
        <w:spacing w:line="360" w:lineRule="auto"/>
        <w:jc w:val="both"/>
        <w:rPr>
          <w:rFonts w:ascii="Calibri" w:hAnsi="Calibri"/>
          <w:bCs/>
          <w:sz w:val="22"/>
          <w:szCs w:val="22"/>
        </w:rPr>
      </w:pPr>
      <w:r w:rsidRPr="00812924">
        <w:rPr>
          <w:rFonts w:ascii="Calibri" w:hAnsi="Calibri"/>
          <w:bCs/>
        </w:rPr>
        <w:tab/>
      </w:r>
      <w:r w:rsidRPr="00FB18C3">
        <w:rPr>
          <w:rFonts w:ascii="Calibri" w:hAnsi="Calibri"/>
          <w:bCs/>
          <w:sz w:val="22"/>
          <w:szCs w:val="22"/>
        </w:rPr>
        <w:t xml:space="preserve">Głównymi instrumentami finansowymi, z których korzysta Grupa Kapitałowa </w:t>
      </w:r>
      <w:r w:rsidR="002E4153">
        <w:rPr>
          <w:rFonts w:ascii="Calibri" w:eastAsia="ArialNarrow" w:hAnsi="Calibri" w:cs="ArialNarrow"/>
          <w:sz w:val="22"/>
          <w:szCs w:val="22"/>
        </w:rPr>
        <w:t>CHEMOSERVIS-DWORY</w:t>
      </w:r>
      <w:r w:rsidRPr="00FB18C3">
        <w:rPr>
          <w:rFonts w:ascii="Calibri" w:hAnsi="Calibri"/>
          <w:bCs/>
          <w:sz w:val="22"/>
          <w:szCs w:val="22"/>
        </w:rPr>
        <w:t xml:space="preserve"> są kredyty bankowe, umowy leasingu finansowego, środki pieniężne oraz lokaty krótkoterminowe. W związku z prowadzoną działalnością Grupa Kapitałowa posiada również należności i zobowiązania handlowe. Głównym celem instrumentów finansowych jest pozyskanie środków finansowych na działalność  Grupy Kapitałowej oraz eliminacj</w:t>
      </w:r>
      <w:r>
        <w:rPr>
          <w:rFonts w:ascii="Calibri" w:hAnsi="Calibri"/>
          <w:bCs/>
          <w:sz w:val="22"/>
          <w:szCs w:val="22"/>
        </w:rPr>
        <w:t xml:space="preserve">a </w:t>
      </w:r>
      <w:proofErr w:type="spellStart"/>
      <w:r>
        <w:rPr>
          <w:rFonts w:ascii="Calibri" w:hAnsi="Calibri"/>
          <w:bCs/>
          <w:sz w:val="22"/>
          <w:szCs w:val="22"/>
        </w:rPr>
        <w:t>ryzyk</w:t>
      </w:r>
      <w:proofErr w:type="spellEnd"/>
      <w:r>
        <w:rPr>
          <w:rFonts w:ascii="Calibri" w:hAnsi="Calibri"/>
          <w:bCs/>
          <w:sz w:val="22"/>
          <w:szCs w:val="22"/>
        </w:rPr>
        <w:t xml:space="preserve"> powstających w toku </w:t>
      </w:r>
      <w:r w:rsidRPr="00FB18C3">
        <w:rPr>
          <w:rFonts w:ascii="Calibri" w:hAnsi="Calibri"/>
          <w:bCs/>
          <w:sz w:val="22"/>
          <w:szCs w:val="22"/>
        </w:rPr>
        <w:t>działalności</w:t>
      </w:r>
      <w:r>
        <w:rPr>
          <w:rFonts w:ascii="Calibri" w:hAnsi="Calibri"/>
          <w:bCs/>
          <w:sz w:val="22"/>
          <w:szCs w:val="22"/>
        </w:rPr>
        <w:t xml:space="preserve"> Spółek</w:t>
      </w:r>
      <w:r w:rsidRPr="00FB18C3">
        <w:rPr>
          <w:rFonts w:ascii="Calibri" w:hAnsi="Calibri"/>
          <w:bCs/>
          <w:sz w:val="22"/>
          <w:szCs w:val="22"/>
        </w:rPr>
        <w:t>.</w:t>
      </w:r>
    </w:p>
    <w:p w14:paraId="367AAC83" w14:textId="77777777" w:rsidR="006C559D" w:rsidRPr="00BA32B7" w:rsidRDefault="006C559D" w:rsidP="006C559D">
      <w:pPr>
        <w:tabs>
          <w:tab w:val="left" w:pos="0"/>
          <w:tab w:val="left" w:pos="567"/>
        </w:tabs>
        <w:spacing w:line="360" w:lineRule="auto"/>
        <w:jc w:val="both"/>
        <w:rPr>
          <w:rFonts w:ascii="Calibri" w:hAnsi="Calibri"/>
          <w:bCs/>
          <w:sz w:val="22"/>
          <w:szCs w:val="22"/>
        </w:rPr>
      </w:pPr>
    </w:p>
    <w:p w14:paraId="1B38DC62" w14:textId="77777777" w:rsidR="006C559D" w:rsidRPr="00812924" w:rsidRDefault="006C559D" w:rsidP="006C559D">
      <w:pPr>
        <w:tabs>
          <w:tab w:val="left" w:pos="0"/>
        </w:tabs>
        <w:spacing w:line="360" w:lineRule="auto"/>
        <w:jc w:val="both"/>
        <w:rPr>
          <w:rFonts w:ascii="Calibri" w:hAnsi="Calibri"/>
          <w:b/>
          <w:bCs/>
        </w:rPr>
      </w:pPr>
      <w:r w:rsidRPr="00360EFC">
        <w:rPr>
          <w:rFonts w:ascii="Calibri" w:hAnsi="Calibri"/>
          <w:b/>
          <w:bCs/>
        </w:rPr>
        <w:lastRenderedPageBreak/>
        <w:t>Ryzyko stopy procentowej</w:t>
      </w:r>
    </w:p>
    <w:p w14:paraId="6F6B5751" w14:textId="77777777" w:rsidR="006C559D" w:rsidRPr="00812924" w:rsidRDefault="006C559D" w:rsidP="006C559D">
      <w:pPr>
        <w:tabs>
          <w:tab w:val="left" w:pos="0"/>
        </w:tabs>
        <w:spacing w:line="360" w:lineRule="auto"/>
        <w:jc w:val="both"/>
        <w:rPr>
          <w:rFonts w:ascii="Calibri" w:hAnsi="Calibri"/>
          <w:b/>
          <w:bCs/>
        </w:rPr>
      </w:pPr>
    </w:p>
    <w:p w14:paraId="0401B5B7" w14:textId="77777777" w:rsidR="006C559D" w:rsidRPr="00FB18C3" w:rsidRDefault="006C559D" w:rsidP="006C559D">
      <w:pPr>
        <w:tabs>
          <w:tab w:val="left" w:pos="0"/>
          <w:tab w:val="left" w:pos="567"/>
        </w:tabs>
        <w:suppressAutoHyphens/>
        <w:spacing w:line="360" w:lineRule="auto"/>
        <w:jc w:val="both"/>
        <w:rPr>
          <w:rFonts w:ascii="Calibri" w:hAnsi="Calibri"/>
          <w:sz w:val="22"/>
          <w:szCs w:val="22"/>
          <w:lang w:eastAsia="ar-SA"/>
        </w:rPr>
      </w:pPr>
      <w:r w:rsidRPr="00812924">
        <w:rPr>
          <w:rFonts w:ascii="Calibri" w:hAnsi="Calibri"/>
          <w:lang w:eastAsia="ar-SA"/>
        </w:rPr>
        <w:tab/>
      </w:r>
      <w:r w:rsidRPr="00FB18C3">
        <w:rPr>
          <w:rFonts w:ascii="Calibri" w:hAnsi="Calibri"/>
          <w:sz w:val="22"/>
          <w:szCs w:val="22"/>
          <w:lang w:eastAsia="ar-SA"/>
        </w:rPr>
        <w:t>Jednostka Domi</w:t>
      </w:r>
      <w:r>
        <w:rPr>
          <w:rFonts w:ascii="Calibri" w:hAnsi="Calibri"/>
          <w:sz w:val="22"/>
          <w:szCs w:val="22"/>
          <w:lang w:eastAsia="ar-SA"/>
        </w:rPr>
        <w:t xml:space="preserve">nująca oraz jej Spółki Zależne </w:t>
      </w:r>
      <w:r w:rsidRPr="00FB18C3">
        <w:rPr>
          <w:rFonts w:ascii="Calibri" w:hAnsi="Calibri"/>
          <w:sz w:val="22"/>
          <w:szCs w:val="22"/>
          <w:lang w:eastAsia="ar-SA"/>
        </w:rPr>
        <w:t xml:space="preserve">korzystają z finansowania zewnętrznego, </w:t>
      </w:r>
      <w:r>
        <w:rPr>
          <w:rFonts w:ascii="Calibri" w:hAnsi="Calibri"/>
          <w:sz w:val="22"/>
          <w:szCs w:val="22"/>
          <w:lang w:eastAsia="ar-SA"/>
        </w:rPr>
        <w:br/>
      </w:r>
      <w:r w:rsidRPr="00FB18C3">
        <w:rPr>
          <w:rFonts w:ascii="Calibri" w:hAnsi="Calibri"/>
          <w:sz w:val="22"/>
          <w:szCs w:val="22"/>
          <w:lang w:eastAsia="ar-SA"/>
        </w:rPr>
        <w:t xml:space="preserve">w związku z czym Grupa Kapitałowa jest narażona na ryzyko stóp procentowych, wzrostu kosztów pozyskania kredytów bankowych lub wzrostu marż bankowych, które mogą negatywnie wpłynąć na realizowane przez Spółki w Grupie  wyniki finansowe. Grupa Kapitałowa stara się niwelować powyższe ryzyko poprzez stały monitoring dostępnych możliwości finansowania spółki oraz dywersyfikowanie źródeł pochodzenia kapitałów obcych. </w:t>
      </w:r>
    </w:p>
    <w:p w14:paraId="50A4E78D" w14:textId="77777777" w:rsidR="006C559D" w:rsidRPr="00812924" w:rsidRDefault="006C559D" w:rsidP="006C559D">
      <w:pPr>
        <w:tabs>
          <w:tab w:val="left" w:pos="0"/>
          <w:tab w:val="left" w:pos="567"/>
        </w:tabs>
        <w:suppressAutoHyphens/>
        <w:spacing w:line="360" w:lineRule="auto"/>
        <w:jc w:val="both"/>
        <w:rPr>
          <w:rFonts w:ascii="Calibri" w:hAnsi="Calibri"/>
          <w:lang w:eastAsia="ar-SA"/>
        </w:rPr>
      </w:pPr>
    </w:p>
    <w:p w14:paraId="6153DD4B" w14:textId="77777777" w:rsidR="006C559D" w:rsidRPr="00812924" w:rsidRDefault="006C559D" w:rsidP="006C559D">
      <w:pPr>
        <w:tabs>
          <w:tab w:val="left" w:pos="0"/>
        </w:tabs>
        <w:spacing w:line="360" w:lineRule="auto"/>
        <w:jc w:val="both"/>
        <w:rPr>
          <w:rFonts w:ascii="Calibri" w:eastAsia="ArialNarrow" w:hAnsi="Calibri" w:cs="ArialNarrow"/>
          <w:b/>
        </w:rPr>
      </w:pPr>
      <w:r w:rsidRPr="00360EFC">
        <w:rPr>
          <w:rFonts w:ascii="Calibri" w:eastAsia="ArialNarrow" w:hAnsi="Calibri" w:cs="ArialNarrow"/>
          <w:b/>
        </w:rPr>
        <w:t>Ryzyko związane z brakiem płynności finansowej</w:t>
      </w:r>
    </w:p>
    <w:p w14:paraId="695D749D" w14:textId="77777777" w:rsidR="006C559D" w:rsidRPr="00812924" w:rsidRDefault="006C559D" w:rsidP="006C559D">
      <w:pPr>
        <w:tabs>
          <w:tab w:val="left" w:pos="0"/>
        </w:tabs>
        <w:spacing w:line="360" w:lineRule="auto"/>
        <w:jc w:val="both"/>
        <w:rPr>
          <w:rFonts w:ascii="Calibri" w:eastAsia="ArialNarrow" w:hAnsi="Calibri" w:cs="ArialNarrow"/>
          <w:b/>
        </w:rPr>
      </w:pPr>
    </w:p>
    <w:p w14:paraId="414F9A3B"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CenturyGothic" w:hAnsi="Calibri" w:cs="CenturyGothic"/>
          <w:sz w:val="22"/>
          <w:szCs w:val="22"/>
        </w:rPr>
      </w:pPr>
      <w:r w:rsidRPr="00812924">
        <w:rPr>
          <w:rFonts w:ascii="Calibri" w:eastAsia="CenturyGothic" w:hAnsi="Calibri" w:cs="CenturyGothic"/>
        </w:rPr>
        <w:tab/>
      </w:r>
      <w:r w:rsidRPr="00FB18C3">
        <w:rPr>
          <w:rFonts w:ascii="Calibri" w:eastAsia="CenturyGothic" w:hAnsi="Calibri" w:cs="CenturyGothic"/>
          <w:sz w:val="22"/>
          <w:szCs w:val="22"/>
        </w:rPr>
        <w:t xml:space="preserve">Charakter rozliczania kontraktów wykonawczych w powiązaniu z koniecznością zaangażowania znacznych środków pieniężnych oraz zwiększające się zatory płatnicze sprawiają, że Grupa Kapitałowa </w:t>
      </w:r>
      <w:r w:rsidR="002E4153">
        <w:rPr>
          <w:rFonts w:ascii="Calibri" w:eastAsia="ArialNarrow" w:hAnsi="Calibri" w:cs="ArialNarrow"/>
          <w:sz w:val="22"/>
          <w:szCs w:val="22"/>
        </w:rPr>
        <w:t>CHEMOSERVIS-DWORY</w:t>
      </w:r>
      <w:r>
        <w:rPr>
          <w:rFonts w:ascii="Calibri" w:eastAsia="CenturyGothic" w:hAnsi="Calibri" w:cs="CenturyGothic"/>
          <w:sz w:val="22"/>
          <w:szCs w:val="22"/>
        </w:rPr>
        <w:t xml:space="preserve"> </w:t>
      </w:r>
      <w:r w:rsidRPr="00FB18C3">
        <w:rPr>
          <w:rFonts w:ascii="Calibri" w:eastAsia="CenturyGothic" w:hAnsi="Calibri" w:cs="CenturyGothic"/>
          <w:sz w:val="22"/>
          <w:szCs w:val="22"/>
        </w:rPr>
        <w:t>może być narażona na utratę płynności finansowej. W celu ograniczenia tego ryzyka Grupa:</w:t>
      </w:r>
    </w:p>
    <w:p w14:paraId="25DC9231"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CenturyGothic" w:hAnsi="Calibri" w:cs="CenturyGothic"/>
          <w:sz w:val="22"/>
          <w:szCs w:val="22"/>
        </w:rPr>
      </w:pPr>
    </w:p>
    <w:p w14:paraId="19E12397" w14:textId="77777777" w:rsidR="006C559D" w:rsidRPr="00FB18C3" w:rsidRDefault="006C559D" w:rsidP="00D73705">
      <w:pPr>
        <w:pStyle w:val="Akapitzlist"/>
        <w:numPr>
          <w:ilvl w:val="0"/>
          <w:numId w:val="11"/>
        </w:numPr>
        <w:tabs>
          <w:tab w:val="left" w:pos="0"/>
        </w:tabs>
        <w:autoSpaceDE w:val="0"/>
        <w:autoSpaceDN w:val="0"/>
        <w:adjustRightInd w:val="0"/>
        <w:spacing w:line="360" w:lineRule="auto"/>
        <w:ind w:left="1134" w:hanging="567"/>
        <w:jc w:val="both"/>
        <w:rPr>
          <w:rFonts w:asciiTheme="minorHAnsi" w:eastAsia="CenturyGothic" w:hAnsiTheme="minorHAnsi" w:cs="CenturyGothic"/>
          <w:sz w:val="22"/>
          <w:szCs w:val="22"/>
        </w:rPr>
      </w:pPr>
      <w:r w:rsidRPr="00FB18C3">
        <w:rPr>
          <w:rFonts w:asciiTheme="minorHAnsi" w:eastAsia="CenturyGothic" w:hAnsiTheme="minorHAnsi" w:cs="CenturyGothic"/>
          <w:sz w:val="22"/>
          <w:szCs w:val="22"/>
        </w:rPr>
        <w:t>dokonuje weryfikacji kontrahentów przed rozpoczęciem współpracy, badając ich zdolność do regulowania zobowiązań,</w:t>
      </w:r>
    </w:p>
    <w:p w14:paraId="6D1F1DC3" w14:textId="77777777" w:rsidR="006C559D" w:rsidRPr="00FB18C3" w:rsidRDefault="006C559D" w:rsidP="00D73705">
      <w:pPr>
        <w:pStyle w:val="Akapitzlist"/>
        <w:numPr>
          <w:ilvl w:val="0"/>
          <w:numId w:val="11"/>
        </w:numPr>
        <w:tabs>
          <w:tab w:val="left" w:pos="0"/>
        </w:tabs>
        <w:autoSpaceDE w:val="0"/>
        <w:autoSpaceDN w:val="0"/>
        <w:adjustRightInd w:val="0"/>
        <w:spacing w:line="360" w:lineRule="auto"/>
        <w:ind w:left="1134" w:hanging="567"/>
        <w:jc w:val="both"/>
        <w:rPr>
          <w:rFonts w:asciiTheme="minorHAnsi" w:eastAsia="CenturyGothic" w:hAnsiTheme="minorHAnsi" w:cs="CenturyGothic"/>
          <w:sz w:val="22"/>
          <w:szCs w:val="22"/>
        </w:rPr>
      </w:pPr>
      <w:r w:rsidRPr="00FB18C3">
        <w:rPr>
          <w:rFonts w:asciiTheme="minorHAnsi" w:eastAsia="CenturyGothic" w:hAnsiTheme="minorHAnsi" w:cs="CenturyGothic"/>
          <w:sz w:val="22"/>
          <w:szCs w:val="22"/>
        </w:rPr>
        <w:t xml:space="preserve">zabezpiecza realizację znaczących kontraktów poprzez pobieranie zaliczek oraz </w:t>
      </w:r>
      <w:r>
        <w:rPr>
          <w:rFonts w:asciiTheme="minorHAnsi" w:eastAsia="CenturyGothic" w:hAnsiTheme="minorHAnsi" w:cs="CenturyGothic"/>
          <w:sz w:val="22"/>
          <w:szCs w:val="22"/>
        </w:rPr>
        <w:t>c</w:t>
      </w:r>
      <w:r w:rsidRPr="00FB18C3">
        <w:rPr>
          <w:rFonts w:asciiTheme="minorHAnsi" w:eastAsia="CenturyGothic" w:hAnsiTheme="minorHAnsi" w:cs="CenturyGothic"/>
          <w:sz w:val="22"/>
          <w:szCs w:val="22"/>
        </w:rPr>
        <w:t xml:space="preserve">zęściowe rozliczanie kontraktów, </w:t>
      </w:r>
    </w:p>
    <w:p w14:paraId="5DC5ADBC" w14:textId="77777777" w:rsidR="006C559D" w:rsidRPr="00FB18C3" w:rsidRDefault="006C559D" w:rsidP="00D73705">
      <w:pPr>
        <w:pStyle w:val="Akapitzlist"/>
        <w:numPr>
          <w:ilvl w:val="0"/>
          <w:numId w:val="11"/>
        </w:numPr>
        <w:tabs>
          <w:tab w:val="left" w:pos="0"/>
        </w:tabs>
        <w:autoSpaceDE w:val="0"/>
        <w:autoSpaceDN w:val="0"/>
        <w:adjustRightInd w:val="0"/>
        <w:spacing w:line="360" w:lineRule="auto"/>
        <w:ind w:left="1134" w:hanging="567"/>
        <w:jc w:val="both"/>
        <w:rPr>
          <w:rFonts w:asciiTheme="minorHAnsi" w:eastAsia="CenturyGothic" w:hAnsiTheme="minorHAnsi" w:cs="CenturyGothic"/>
          <w:sz w:val="22"/>
          <w:szCs w:val="22"/>
        </w:rPr>
      </w:pPr>
      <w:r w:rsidRPr="00FB18C3">
        <w:rPr>
          <w:rFonts w:asciiTheme="minorHAnsi" w:eastAsia="CenturyGothic" w:hAnsiTheme="minorHAnsi" w:cs="CenturyGothic"/>
          <w:sz w:val="22"/>
          <w:szCs w:val="22"/>
        </w:rPr>
        <w:t>prowadzi systematyczny monitoring należności przeterminowanych,</w:t>
      </w:r>
    </w:p>
    <w:p w14:paraId="03A6F4B8" w14:textId="77777777" w:rsidR="006C559D" w:rsidRPr="00FB18C3" w:rsidRDefault="006C559D" w:rsidP="00D73705">
      <w:pPr>
        <w:pStyle w:val="Akapitzlist"/>
        <w:numPr>
          <w:ilvl w:val="0"/>
          <w:numId w:val="11"/>
        </w:numPr>
        <w:tabs>
          <w:tab w:val="left" w:pos="0"/>
        </w:tabs>
        <w:autoSpaceDE w:val="0"/>
        <w:autoSpaceDN w:val="0"/>
        <w:adjustRightInd w:val="0"/>
        <w:spacing w:line="360" w:lineRule="auto"/>
        <w:ind w:left="1134" w:hanging="567"/>
        <w:jc w:val="both"/>
        <w:rPr>
          <w:rFonts w:asciiTheme="minorHAnsi" w:eastAsia="CenturyGothic" w:hAnsiTheme="minorHAnsi" w:cs="CenturyGothic"/>
          <w:sz w:val="22"/>
          <w:szCs w:val="22"/>
        </w:rPr>
      </w:pPr>
      <w:r w:rsidRPr="00FB18C3">
        <w:rPr>
          <w:rFonts w:asciiTheme="minorHAnsi" w:eastAsia="CenturyGothic" w:hAnsiTheme="minorHAnsi" w:cs="CenturyGothic"/>
          <w:sz w:val="22"/>
          <w:szCs w:val="22"/>
        </w:rPr>
        <w:t>przykłada należytą uwagę do utrzymywania wiarygodności w relacjach</w:t>
      </w:r>
      <w:r>
        <w:rPr>
          <w:rFonts w:asciiTheme="minorHAnsi" w:eastAsia="CenturyGothic" w:hAnsiTheme="minorHAnsi" w:cs="CenturyGothic"/>
          <w:sz w:val="22"/>
          <w:szCs w:val="22"/>
        </w:rPr>
        <w:t xml:space="preserve"> </w:t>
      </w:r>
      <w:r w:rsidRPr="00FB18C3">
        <w:rPr>
          <w:rFonts w:asciiTheme="minorHAnsi" w:eastAsia="CenturyGothic" w:hAnsiTheme="minorHAnsi" w:cs="CenturyGothic"/>
          <w:sz w:val="22"/>
          <w:szCs w:val="22"/>
        </w:rPr>
        <w:t>z instytucjami finansowymi,</w:t>
      </w:r>
    </w:p>
    <w:p w14:paraId="3706EE24" w14:textId="77777777" w:rsidR="006C559D" w:rsidRPr="00FB18C3" w:rsidRDefault="006C559D" w:rsidP="00D73705">
      <w:pPr>
        <w:pStyle w:val="Akapitzlist"/>
        <w:numPr>
          <w:ilvl w:val="0"/>
          <w:numId w:val="11"/>
        </w:numPr>
        <w:tabs>
          <w:tab w:val="left" w:pos="0"/>
        </w:tabs>
        <w:autoSpaceDE w:val="0"/>
        <w:autoSpaceDN w:val="0"/>
        <w:adjustRightInd w:val="0"/>
        <w:spacing w:line="360" w:lineRule="auto"/>
        <w:ind w:left="1134" w:hanging="567"/>
        <w:jc w:val="both"/>
        <w:rPr>
          <w:rFonts w:asciiTheme="minorHAnsi" w:eastAsia="ArialNarrow" w:hAnsiTheme="minorHAnsi" w:cs="ArialNarrow"/>
          <w:b/>
          <w:sz w:val="22"/>
          <w:szCs w:val="22"/>
        </w:rPr>
      </w:pPr>
      <w:r w:rsidRPr="00FB18C3">
        <w:rPr>
          <w:rFonts w:asciiTheme="minorHAnsi" w:eastAsia="CenturyGothic" w:hAnsiTheme="minorHAnsi" w:cs="CenturyGothic"/>
          <w:sz w:val="22"/>
          <w:szCs w:val="22"/>
        </w:rPr>
        <w:t>zabezpiecza się poprzez utrzymywanie dostępu do linii kredytowych oraz limitów gwarancyjnych bankowych i ubezpieczeniowych.</w:t>
      </w:r>
    </w:p>
    <w:p w14:paraId="1FEAB6DE" w14:textId="77777777" w:rsidR="006C559D" w:rsidRPr="00812924" w:rsidRDefault="006C559D" w:rsidP="006C559D">
      <w:pPr>
        <w:tabs>
          <w:tab w:val="left" w:pos="0"/>
        </w:tabs>
        <w:suppressAutoHyphens/>
        <w:spacing w:line="360" w:lineRule="auto"/>
        <w:jc w:val="both"/>
        <w:rPr>
          <w:rFonts w:ascii="Calibri" w:hAnsi="Calibri" w:cs="Arial"/>
          <w:lang w:eastAsia="ar-SA"/>
        </w:rPr>
      </w:pPr>
    </w:p>
    <w:p w14:paraId="0A7629AF" w14:textId="77777777" w:rsidR="006C559D" w:rsidRPr="00812924" w:rsidRDefault="006C559D" w:rsidP="006C559D">
      <w:pPr>
        <w:tabs>
          <w:tab w:val="left" w:pos="0"/>
        </w:tabs>
        <w:autoSpaceDE w:val="0"/>
        <w:autoSpaceDN w:val="0"/>
        <w:adjustRightInd w:val="0"/>
        <w:spacing w:line="360" w:lineRule="auto"/>
        <w:jc w:val="both"/>
        <w:rPr>
          <w:rFonts w:ascii="Calibri" w:eastAsia="ArialNarrow,Bold" w:hAnsi="Calibri" w:cs="ArialNarrow,Bold"/>
          <w:b/>
          <w:bCs/>
        </w:rPr>
      </w:pPr>
      <w:r w:rsidRPr="00360EFC">
        <w:rPr>
          <w:rFonts w:ascii="Calibri" w:eastAsia="ArialNarrow,Bold" w:hAnsi="Calibri" w:cs="ArialNarrow,Bold"/>
          <w:b/>
          <w:bCs/>
        </w:rPr>
        <w:t>Ryzyko związane z niewykonywaniem umów kredytowych</w:t>
      </w:r>
    </w:p>
    <w:p w14:paraId="7229D98A" w14:textId="77777777" w:rsidR="006C559D" w:rsidRPr="00FB18C3" w:rsidRDefault="006C559D" w:rsidP="006C559D">
      <w:pPr>
        <w:tabs>
          <w:tab w:val="left" w:pos="0"/>
        </w:tabs>
        <w:autoSpaceDE w:val="0"/>
        <w:autoSpaceDN w:val="0"/>
        <w:adjustRightInd w:val="0"/>
        <w:spacing w:line="360" w:lineRule="auto"/>
        <w:jc w:val="both"/>
        <w:rPr>
          <w:rFonts w:ascii="Calibri" w:eastAsia="ArialNarrow,Bold" w:hAnsi="Calibri" w:cs="ArialNarrow,Bold"/>
          <w:b/>
          <w:bCs/>
          <w:sz w:val="22"/>
          <w:szCs w:val="22"/>
        </w:rPr>
      </w:pPr>
    </w:p>
    <w:p w14:paraId="4A8B8176"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sz w:val="22"/>
          <w:szCs w:val="22"/>
        </w:rPr>
      </w:pPr>
      <w:r w:rsidRPr="00FB18C3">
        <w:rPr>
          <w:rFonts w:ascii="Calibri" w:eastAsia="ArialNarrow" w:hAnsi="Calibri" w:cs="ArialNarrow"/>
          <w:sz w:val="22"/>
          <w:szCs w:val="22"/>
        </w:rPr>
        <w:tab/>
        <w:t>W przypadku niewykonywania umów kredytowych, w szczególności w przypadku niespłacania kredytów w terminie, istnieje ryzyko wypowiedzenia umów z zachowaniem zastrzeżonych terminów wypowiedzenia. W razie niespłacenia kredytu w terminie</w:t>
      </w:r>
      <w:r>
        <w:rPr>
          <w:rFonts w:ascii="Calibri" w:eastAsia="ArialNarrow" w:hAnsi="Calibri" w:cs="ArialNarrow"/>
          <w:sz w:val="22"/>
          <w:szCs w:val="22"/>
        </w:rPr>
        <w:t xml:space="preserve"> </w:t>
      </w:r>
      <w:r w:rsidRPr="00FB18C3">
        <w:rPr>
          <w:rFonts w:ascii="Calibri" w:eastAsia="ArialNarrow" w:hAnsi="Calibri" w:cs="ArialNarrow"/>
          <w:sz w:val="22"/>
          <w:szCs w:val="22"/>
        </w:rPr>
        <w:t>wypowiedzenia, istnieje ryzyko bezpośredniego zaspokajania się kredytobiorców</w:t>
      </w:r>
      <w:r>
        <w:rPr>
          <w:rFonts w:ascii="Calibri" w:eastAsia="ArialNarrow" w:hAnsi="Calibri" w:cs="ArialNarrow"/>
          <w:sz w:val="22"/>
          <w:szCs w:val="22"/>
        </w:rPr>
        <w:t xml:space="preserve"> </w:t>
      </w:r>
      <w:r w:rsidRPr="00FB18C3">
        <w:rPr>
          <w:rFonts w:ascii="Calibri" w:eastAsia="ArialNarrow" w:hAnsi="Calibri" w:cs="ArialNarrow"/>
          <w:sz w:val="22"/>
          <w:szCs w:val="22"/>
        </w:rPr>
        <w:t>z ustanowionych na ich rzecz zabezpieczeń na majątku Spółki m.in. hipoteki.</w:t>
      </w:r>
    </w:p>
    <w:p w14:paraId="64F26F4C" w14:textId="77777777" w:rsidR="006C559D" w:rsidRPr="00FB18C3"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sz w:val="22"/>
          <w:szCs w:val="22"/>
        </w:rPr>
      </w:pPr>
      <w:r w:rsidRPr="00FB18C3">
        <w:rPr>
          <w:rFonts w:ascii="Calibri" w:eastAsia="ArialNarrow" w:hAnsi="Calibri" w:cs="ArialNarrow"/>
          <w:sz w:val="22"/>
          <w:szCs w:val="22"/>
        </w:rPr>
        <w:lastRenderedPageBreak/>
        <w:tab/>
        <w:t>Zarówno Jednostka Dominująca, jak i Jednostki Zależne, regulują swoje zobowiązania wynikające z umów kredytowych zgodnie z ich postanowieniami, a zatem ryzyko to obecnie nie istnieje, czego jednak nie można w przyszłości wykluczyć.</w:t>
      </w:r>
    </w:p>
    <w:p w14:paraId="43A491DF" w14:textId="77777777" w:rsidR="006C559D"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b/>
        </w:rPr>
      </w:pPr>
    </w:p>
    <w:p w14:paraId="1B7CFAFF" w14:textId="77777777" w:rsidR="006C559D" w:rsidRPr="00812924"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b/>
        </w:rPr>
      </w:pPr>
      <w:r w:rsidRPr="00360EFC">
        <w:rPr>
          <w:rFonts w:ascii="Calibri" w:eastAsia="ArialNarrow" w:hAnsi="Calibri" w:cs="ArialNarrow"/>
          <w:b/>
        </w:rPr>
        <w:t>Ryzyko kursu walutowego</w:t>
      </w:r>
    </w:p>
    <w:p w14:paraId="24B5BA17" w14:textId="77777777" w:rsidR="006C559D" w:rsidRPr="00812924" w:rsidRDefault="006C559D" w:rsidP="006C559D">
      <w:pPr>
        <w:tabs>
          <w:tab w:val="left" w:pos="0"/>
          <w:tab w:val="left" w:pos="567"/>
        </w:tabs>
        <w:autoSpaceDE w:val="0"/>
        <w:autoSpaceDN w:val="0"/>
        <w:adjustRightInd w:val="0"/>
        <w:spacing w:line="360" w:lineRule="auto"/>
        <w:jc w:val="both"/>
        <w:rPr>
          <w:rFonts w:ascii="Calibri" w:eastAsia="ArialNarrow" w:hAnsi="Calibri" w:cs="ArialNarrow"/>
          <w:b/>
        </w:rPr>
      </w:pPr>
    </w:p>
    <w:p w14:paraId="6AB0D9B2" w14:textId="77777777" w:rsidR="006C559D" w:rsidRPr="00812924" w:rsidRDefault="006C559D" w:rsidP="006C559D">
      <w:pPr>
        <w:tabs>
          <w:tab w:val="left" w:pos="0"/>
          <w:tab w:val="left" w:pos="567"/>
        </w:tabs>
        <w:spacing w:line="360" w:lineRule="auto"/>
        <w:jc w:val="both"/>
        <w:rPr>
          <w:rFonts w:ascii="Calibri" w:hAnsi="Calibri"/>
          <w:sz w:val="22"/>
          <w:szCs w:val="22"/>
        </w:rPr>
      </w:pPr>
      <w:r w:rsidRPr="00812924">
        <w:rPr>
          <w:rFonts w:ascii="Calibri" w:hAnsi="Calibri"/>
          <w:b/>
          <w:bCs/>
        </w:rPr>
        <w:tab/>
      </w:r>
      <w:r w:rsidRPr="00812924">
        <w:rPr>
          <w:rFonts w:ascii="Calibri" w:hAnsi="Calibri"/>
          <w:sz w:val="22"/>
          <w:szCs w:val="22"/>
        </w:rPr>
        <w:t xml:space="preserve">Ryzyko kursu walutowego w Grupie Kapitałowej występuje w zakresie zakupu towarów </w:t>
      </w:r>
      <w:r>
        <w:rPr>
          <w:rFonts w:ascii="Calibri" w:hAnsi="Calibri"/>
          <w:sz w:val="22"/>
          <w:szCs w:val="22"/>
        </w:rPr>
        <w:br/>
      </w:r>
      <w:r w:rsidRPr="00812924">
        <w:rPr>
          <w:rFonts w:ascii="Calibri" w:hAnsi="Calibri"/>
          <w:sz w:val="22"/>
          <w:szCs w:val="22"/>
        </w:rPr>
        <w:t xml:space="preserve">z importu i wykonywaniem umów rozliczanych w walutach obcych. Ryzyko zmiany kursu dotyczy również aktywów i zobowiązań wyrażonych w walucie innej niż złoty polski, który jest walutą funkcjonalną Spółki </w:t>
      </w:r>
      <w:r w:rsidR="002E4153">
        <w:rPr>
          <w:rFonts w:ascii="Calibri" w:eastAsia="ArialNarrow" w:hAnsi="Calibri" w:cs="ArialNarrow"/>
          <w:sz w:val="22"/>
          <w:szCs w:val="22"/>
        </w:rPr>
        <w:t>CHEMOSERVIS-DWORY</w:t>
      </w:r>
      <w:r w:rsidRPr="00812924">
        <w:rPr>
          <w:rFonts w:ascii="Calibri" w:hAnsi="Calibri"/>
          <w:sz w:val="22"/>
          <w:szCs w:val="22"/>
        </w:rPr>
        <w:t xml:space="preserve"> oraz dwóch jej Jednostek Zależnych: ZE ZEN Sp. z o.o. oraz MD-</w:t>
      </w:r>
      <w:proofErr w:type="spellStart"/>
      <w:r w:rsidRPr="00812924">
        <w:rPr>
          <w:rFonts w:ascii="Calibri" w:hAnsi="Calibri"/>
          <w:sz w:val="22"/>
          <w:szCs w:val="22"/>
        </w:rPr>
        <w:t>proeco</w:t>
      </w:r>
      <w:proofErr w:type="spellEnd"/>
      <w:r w:rsidRPr="00812924">
        <w:rPr>
          <w:rFonts w:ascii="Calibri" w:hAnsi="Calibri"/>
          <w:sz w:val="22"/>
          <w:szCs w:val="22"/>
        </w:rPr>
        <w:t xml:space="preserve"> Sp. z o.o. oraz w koronach czeskich, która jest walutą funkcjonalną Spółki Zależnej </w:t>
      </w:r>
      <w:r>
        <w:rPr>
          <w:rFonts w:ascii="Calibri" w:hAnsi="Calibri"/>
          <w:sz w:val="22"/>
          <w:szCs w:val="22"/>
        </w:rPr>
        <w:br/>
      </w:r>
      <w:r w:rsidRPr="00812924">
        <w:rPr>
          <w:rFonts w:ascii="Calibri" w:hAnsi="Calibri"/>
          <w:sz w:val="22"/>
          <w:szCs w:val="22"/>
        </w:rPr>
        <w:t>K-</w:t>
      </w:r>
      <w:proofErr w:type="spellStart"/>
      <w:r w:rsidRPr="00812924">
        <w:rPr>
          <w:rFonts w:ascii="Calibri" w:hAnsi="Calibri"/>
          <w:sz w:val="22"/>
          <w:szCs w:val="22"/>
        </w:rPr>
        <w:t>Protos</w:t>
      </w:r>
      <w:proofErr w:type="spellEnd"/>
      <w:r w:rsidRPr="00812924">
        <w:rPr>
          <w:rFonts w:ascii="Calibri" w:hAnsi="Calibri"/>
          <w:sz w:val="22"/>
          <w:szCs w:val="22"/>
        </w:rPr>
        <w:t xml:space="preserve"> </w:t>
      </w:r>
      <w:proofErr w:type="spellStart"/>
      <w:r w:rsidRPr="00812924">
        <w:rPr>
          <w:rFonts w:ascii="Calibri" w:hAnsi="Calibri"/>
          <w:sz w:val="22"/>
          <w:szCs w:val="22"/>
        </w:rPr>
        <w:t>a.s</w:t>
      </w:r>
      <w:proofErr w:type="spellEnd"/>
      <w:r w:rsidRPr="00812924">
        <w:rPr>
          <w:rFonts w:ascii="Calibri" w:hAnsi="Calibri"/>
          <w:sz w:val="22"/>
          <w:szCs w:val="22"/>
        </w:rPr>
        <w:t xml:space="preserve">.. Transakcje zawierane w walutach obcych mają charakter sporadyczny i stanowią niewielki poziom całkowitych obrotów Grupy Kapitałowej oraz stanowią niewielki udział w aktywach </w:t>
      </w:r>
      <w:r>
        <w:rPr>
          <w:rFonts w:ascii="Calibri" w:hAnsi="Calibri"/>
          <w:sz w:val="22"/>
          <w:szCs w:val="22"/>
        </w:rPr>
        <w:br/>
      </w:r>
      <w:r w:rsidRPr="00812924">
        <w:rPr>
          <w:rFonts w:ascii="Calibri" w:hAnsi="Calibri"/>
          <w:sz w:val="22"/>
          <w:szCs w:val="22"/>
        </w:rPr>
        <w:t xml:space="preserve">i pasywach Grupy. </w:t>
      </w:r>
    </w:p>
    <w:p w14:paraId="1D9C7D99" w14:textId="77777777" w:rsidR="006C559D" w:rsidRPr="00812924" w:rsidRDefault="006C559D" w:rsidP="006C559D">
      <w:pPr>
        <w:rPr>
          <w:rFonts w:ascii="Calibri" w:hAnsi="Calibri"/>
          <w:b/>
          <w:lang w:eastAsia="ar-SA"/>
        </w:rPr>
      </w:pPr>
    </w:p>
    <w:p w14:paraId="178B1AB2" w14:textId="77777777" w:rsidR="006C559D" w:rsidRPr="00812924" w:rsidRDefault="006C559D" w:rsidP="006C559D">
      <w:pPr>
        <w:tabs>
          <w:tab w:val="left" w:pos="0"/>
        </w:tabs>
        <w:suppressAutoHyphens/>
        <w:spacing w:line="360" w:lineRule="auto"/>
        <w:rPr>
          <w:rFonts w:ascii="Calibri" w:hAnsi="Calibri"/>
          <w:b/>
          <w:lang w:eastAsia="ar-SA"/>
        </w:rPr>
      </w:pPr>
      <w:r w:rsidRPr="00360EFC">
        <w:rPr>
          <w:rFonts w:ascii="Calibri" w:hAnsi="Calibri"/>
          <w:b/>
          <w:lang w:eastAsia="ar-SA"/>
        </w:rPr>
        <w:t>Ryzyko zmiany cen</w:t>
      </w:r>
    </w:p>
    <w:p w14:paraId="4E8BD669" w14:textId="77777777" w:rsidR="006C559D" w:rsidRPr="00812924" w:rsidRDefault="006C559D" w:rsidP="006C559D">
      <w:pPr>
        <w:tabs>
          <w:tab w:val="left" w:pos="0"/>
        </w:tabs>
        <w:suppressAutoHyphens/>
        <w:spacing w:line="360" w:lineRule="auto"/>
        <w:rPr>
          <w:rFonts w:ascii="Calibri" w:hAnsi="Calibri"/>
          <w:b/>
          <w:sz w:val="20"/>
          <w:szCs w:val="20"/>
          <w:lang w:eastAsia="ar-SA"/>
        </w:rPr>
      </w:pPr>
    </w:p>
    <w:p w14:paraId="65AD5960" w14:textId="77777777" w:rsidR="006C559D" w:rsidRPr="00812924" w:rsidRDefault="006C559D" w:rsidP="006C559D">
      <w:pPr>
        <w:tabs>
          <w:tab w:val="left" w:pos="540"/>
        </w:tabs>
        <w:spacing w:line="360" w:lineRule="auto"/>
        <w:jc w:val="both"/>
        <w:rPr>
          <w:rFonts w:ascii="Calibri" w:eastAsia="CenturyGothic" w:hAnsi="Calibri" w:cs="CenturyGothic"/>
          <w:sz w:val="22"/>
          <w:szCs w:val="22"/>
        </w:rPr>
      </w:pPr>
      <w:r w:rsidRPr="00812924">
        <w:rPr>
          <w:rFonts w:ascii="Calibri" w:eastAsia="CenturyGothic" w:hAnsi="Calibri" w:cs="CenturyGothic"/>
        </w:rPr>
        <w:tab/>
      </w:r>
      <w:r w:rsidRPr="00812924">
        <w:rPr>
          <w:rFonts w:ascii="Calibri" w:eastAsia="CenturyGothic" w:hAnsi="Calibri" w:cs="CenturyGothic"/>
          <w:sz w:val="22"/>
          <w:szCs w:val="22"/>
        </w:rPr>
        <w:t>Ryzyko zmiany cen związane jest z zagrożeniem wzrostu cen dostaw materiałów i usług podwykonawców w trakcie realizacji kontraktów długoterminowych w stosunku do poziomu kosztów ustalonych w budżecie kontraktu. Grupa Kapitałowa minimalizuje ryzyko zmian cen dotyczące realizowanych kontraktów długoterminowych m.in. poprzez stosowanie etapowości dostaw materiałów i odbiorów świadczonych usług, oraz zatwierdzaniem ostatecznej ceny przed rozpoczęciem współpracy podpisując stosowne umowy i zamówienia.</w:t>
      </w:r>
    </w:p>
    <w:p w14:paraId="464AB2E8" w14:textId="77777777" w:rsidR="006C559D" w:rsidRPr="000A3917" w:rsidRDefault="006C559D" w:rsidP="00115882">
      <w:pPr>
        <w:tabs>
          <w:tab w:val="left" w:pos="540"/>
        </w:tabs>
        <w:spacing w:line="360" w:lineRule="auto"/>
        <w:jc w:val="both"/>
        <w:rPr>
          <w:rFonts w:ascii="Calibri" w:hAnsi="Calibri" w:cs="Arial"/>
          <w:b/>
          <w:sz w:val="20"/>
          <w:szCs w:val="20"/>
          <w:highlight w:val="green"/>
        </w:rPr>
      </w:pPr>
    </w:p>
    <w:p w14:paraId="3ABE51DD" w14:textId="77777777" w:rsidR="007F741F" w:rsidRPr="00360EFC" w:rsidRDefault="007F741F" w:rsidP="00AC6849">
      <w:pPr>
        <w:tabs>
          <w:tab w:val="left" w:pos="540"/>
        </w:tabs>
        <w:spacing w:line="360" w:lineRule="auto"/>
        <w:jc w:val="both"/>
        <w:rPr>
          <w:rFonts w:ascii="Calibri" w:hAnsi="Calibri" w:cs="Arial"/>
          <w:b/>
        </w:rPr>
      </w:pPr>
      <w:r w:rsidRPr="00360EFC">
        <w:rPr>
          <w:rFonts w:ascii="Calibri" w:hAnsi="Calibri" w:cs="Arial"/>
        </w:rPr>
        <w:t>10.</w:t>
      </w:r>
      <w:r w:rsidRPr="00360EFC">
        <w:rPr>
          <w:rFonts w:ascii="Calibri" w:hAnsi="Calibri" w:cs="Arial"/>
          <w:b/>
        </w:rPr>
        <w:tab/>
        <w:t xml:space="preserve">INFORMACJE O PERSONALNYCH ZMIANACH W SKŁADZIE </w:t>
      </w:r>
      <w:r w:rsidR="00360EFC">
        <w:rPr>
          <w:rFonts w:ascii="Calibri" w:hAnsi="Calibri" w:cs="Arial"/>
          <w:b/>
        </w:rPr>
        <w:t>ORGANÓW</w:t>
      </w:r>
      <w:r w:rsidRPr="00360EFC">
        <w:rPr>
          <w:rFonts w:ascii="Calibri" w:hAnsi="Calibri" w:cs="Arial"/>
          <w:b/>
        </w:rPr>
        <w:t xml:space="preserve"> EMITENTA.</w:t>
      </w:r>
    </w:p>
    <w:p w14:paraId="32574E1F" w14:textId="77777777" w:rsidR="00AC6849" w:rsidRPr="00183773" w:rsidRDefault="00AC6849" w:rsidP="00AC6849">
      <w:pPr>
        <w:tabs>
          <w:tab w:val="left" w:pos="540"/>
        </w:tabs>
        <w:spacing w:line="360" w:lineRule="auto"/>
        <w:jc w:val="both"/>
        <w:rPr>
          <w:rFonts w:ascii="Calibri" w:hAnsi="Calibri" w:cs="Arial"/>
          <w:b/>
          <w:highlight w:val="green"/>
        </w:rPr>
      </w:pPr>
    </w:p>
    <w:p w14:paraId="5A5CD600" w14:textId="77777777" w:rsidR="00360EFC" w:rsidRPr="00044679" w:rsidRDefault="00360EFC" w:rsidP="00360EFC">
      <w:pPr>
        <w:tabs>
          <w:tab w:val="left" w:pos="-567"/>
        </w:tabs>
        <w:spacing w:line="360" w:lineRule="auto"/>
        <w:ind w:firstLine="567"/>
        <w:jc w:val="both"/>
        <w:rPr>
          <w:rFonts w:ascii="Calibri" w:hAnsi="Calibri" w:cs="Arial"/>
          <w:sz w:val="22"/>
          <w:szCs w:val="22"/>
        </w:rPr>
      </w:pPr>
      <w:r w:rsidRPr="00044679">
        <w:rPr>
          <w:rFonts w:ascii="Calibri" w:hAnsi="Calibri" w:cs="Arial"/>
          <w:bCs/>
          <w:sz w:val="22"/>
          <w:szCs w:val="22"/>
        </w:rPr>
        <w:t>W pierwszym półroczu 201</w:t>
      </w:r>
      <w:r>
        <w:rPr>
          <w:rFonts w:ascii="Calibri" w:hAnsi="Calibri" w:cs="Arial"/>
          <w:bCs/>
          <w:sz w:val="22"/>
          <w:szCs w:val="22"/>
        </w:rPr>
        <w:t>6</w:t>
      </w:r>
      <w:r w:rsidRPr="00044679">
        <w:rPr>
          <w:rFonts w:ascii="Calibri" w:hAnsi="Calibri" w:cs="Arial"/>
          <w:bCs/>
          <w:sz w:val="22"/>
          <w:szCs w:val="22"/>
        </w:rPr>
        <w:t xml:space="preserve"> roku, nie </w:t>
      </w:r>
      <w:r w:rsidRPr="00044679">
        <w:rPr>
          <w:rFonts w:ascii="Calibri" w:hAnsi="Calibri" w:cs="Arial"/>
          <w:sz w:val="22"/>
          <w:szCs w:val="22"/>
        </w:rPr>
        <w:t>nastąpiły</w:t>
      </w:r>
      <w:r>
        <w:rPr>
          <w:rFonts w:ascii="Calibri" w:hAnsi="Calibri" w:cs="Arial"/>
          <w:sz w:val="22"/>
          <w:szCs w:val="22"/>
        </w:rPr>
        <w:t xml:space="preserve"> żadne</w:t>
      </w:r>
      <w:r w:rsidRPr="00044679">
        <w:rPr>
          <w:rFonts w:ascii="Calibri" w:hAnsi="Calibri" w:cs="Arial"/>
          <w:sz w:val="22"/>
          <w:szCs w:val="22"/>
        </w:rPr>
        <w:t xml:space="preserve"> zmiany personalne w składzie </w:t>
      </w:r>
      <w:r>
        <w:rPr>
          <w:rFonts w:ascii="Calibri" w:hAnsi="Calibri" w:cs="Arial"/>
          <w:sz w:val="22"/>
          <w:szCs w:val="22"/>
        </w:rPr>
        <w:br/>
      </w:r>
      <w:r w:rsidRPr="00044679">
        <w:rPr>
          <w:rFonts w:ascii="Calibri" w:hAnsi="Calibri" w:cs="Arial"/>
          <w:sz w:val="22"/>
          <w:szCs w:val="22"/>
        </w:rPr>
        <w:t xml:space="preserve">Rady Nadzorczej </w:t>
      </w:r>
      <w:r>
        <w:rPr>
          <w:rFonts w:ascii="Calibri" w:hAnsi="Calibri" w:cs="Arial"/>
          <w:sz w:val="22"/>
          <w:szCs w:val="22"/>
        </w:rPr>
        <w:t>oraz Zarządu Emitenta</w:t>
      </w:r>
      <w:r w:rsidRPr="00044679">
        <w:rPr>
          <w:rFonts w:ascii="Calibri" w:hAnsi="Calibri" w:cs="Arial"/>
          <w:sz w:val="22"/>
          <w:szCs w:val="22"/>
        </w:rPr>
        <w:t xml:space="preserve">. </w:t>
      </w:r>
    </w:p>
    <w:p w14:paraId="368A9691" w14:textId="77777777" w:rsidR="00360EFC" w:rsidRDefault="00360EFC" w:rsidP="00360EFC">
      <w:pPr>
        <w:rPr>
          <w:rFonts w:ascii="Calibri" w:hAnsi="Calibri" w:cs="Arial"/>
          <w:b/>
          <w:bCs/>
          <w:sz w:val="22"/>
          <w:szCs w:val="22"/>
        </w:rPr>
      </w:pPr>
    </w:p>
    <w:p w14:paraId="7DBF06F9" w14:textId="77777777" w:rsidR="00360EFC" w:rsidRPr="00044679" w:rsidRDefault="00360EFC" w:rsidP="00360EFC">
      <w:pPr>
        <w:spacing w:line="360" w:lineRule="auto"/>
        <w:ind w:left="142" w:hanging="142"/>
        <w:jc w:val="both"/>
        <w:rPr>
          <w:rFonts w:ascii="Calibri" w:hAnsi="Calibri" w:cs="Arial"/>
          <w:bCs/>
          <w:i/>
          <w:sz w:val="22"/>
          <w:szCs w:val="22"/>
        </w:rPr>
      </w:pPr>
      <w:r w:rsidRPr="00044679">
        <w:rPr>
          <w:rFonts w:ascii="Calibri" w:hAnsi="Calibri" w:cs="Arial"/>
          <w:bCs/>
          <w:i/>
          <w:sz w:val="22"/>
          <w:szCs w:val="22"/>
        </w:rPr>
        <w:t>RADA NADZORCZA</w:t>
      </w:r>
      <w:r>
        <w:rPr>
          <w:rFonts w:ascii="Calibri" w:hAnsi="Calibri" w:cs="Arial"/>
          <w:bCs/>
          <w:i/>
          <w:sz w:val="22"/>
          <w:szCs w:val="22"/>
        </w:rPr>
        <w:t xml:space="preserve"> </w:t>
      </w:r>
      <w:r w:rsidR="002E4153">
        <w:rPr>
          <w:rFonts w:ascii="Calibri" w:hAnsi="Calibri" w:cs="Arial"/>
          <w:bCs/>
          <w:i/>
          <w:sz w:val="22"/>
          <w:szCs w:val="22"/>
        </w:rPr>
        <w:t>CHEMOSERVIS-DWORY</w:t>
      </w:r>
      <w:r>
        <w:rPr>
          <w:rFonts w:ascii="Calibri" w:hAnsi="Calibri" w:cs="Arial"/>
          <w:bCs/>
          <w:i/>
          <w:sz w:val="22"/>
          <w:szCs w:val="22"/>
        </w:rPr>
        <w:t xml:space="preserve"> S.A.</w:t>
      </w:r>
      <w:r w:rsidRPr="00044679">
        <w:rPr>
          <w:rFonts w:ascii="Calibri" w:hAnsi="Calibri" w:cs="Arial"/>
          <w:bCs/>
          <w:i/>
          <w:sz w:val="22"/>
          <w:szCs w:val="22"/>
        </w:rPr>
        <w:t>:</w:t>
      </w:r>
    </w:p>
    <w:p w14:paraId="247B778B" w14:textId="77777777" w:rsidR="00360EFC" w:rsidRPr="00044679" w:rsidRDefault="00360EFC" w:rsidP="00360EFC">
      <w:pPr>
        <w:spacing w:line="360" w:lineRule="auto"/>
        <w:ind w:left="142" w:hanging="142"/>
        <w:jc w:val="both"/>
        <w:rPr>
          <w:rFonts w:ascii="Calibri" w:hAnsi="Calibri" w:cs="Arial"/>
          <w:b/>
          <w:bCs/>
          <w:i/>
          <w:sz w:val="22"/>
          <w:szCs w:val="22"/>
        </w:rPr>
      </w:pPr>
    </w:p>
    <w:p w14:paraId="2FA5D75B" w14:textId="77777777" w:rsidR="00360EFC" w:rsidRPr="00044679" w:rsidRDefault="00360EFC" w:rsidP="00D73705">
      <w:pPr>
        <w:numPr>
          <w:ilvl w:val="0"/>
          <w:numId w:val="12"/>
        </w:numPr>
        <w:tabs>
          <w:tab w:val="left" w:pos="2340"/>
          <w:tab w:val="left" w:pos="2520"/>
          <w:tab w:val="left" w:pos="3420"/>
          <w:tab w:val="left" w:pos="4111"/>
        </w:tabs>
        <w:spacing w:line="360" w:lineRule="auto"/>
        <w:ind w:left="1134" w:hanging="567"/>
        <w:jc w:val="both"/>
        <w:rPr>
          <w:rFonts w:ascii="Calibri" w:hAnsi="Calibri" w:cs="Arial"/>
          <w:bCs/>
          <w:sz w:val="22"/>
          <w:szCs w:val="22"/>
        </w:rPr>
      </w:pPr>
      <w:r w:rsidRPr="00044679">
        <w:rPr>
          <w:rFonts w:ascii="Calibri" w:hAnsi="Calibri" w:cs="Arial"/>
          <w:sz w:val="22"/>
          <w:szCs w:val="22"/>
        </w:rPr>
        <w:t xml:space="preserve"> </w:t>
      </w:r>
      <w:r w:rsidRPr="00044679">
        <w:rPr>
          <w:rFonts w:ascii="Calibri" w:hAnsi="Calibri" w:cs="Arial"/>
          <w:bCs/>
          <w:sz w:val="22"/>
          <w:szCs w:val="22"/>
        </w:rPr>
        <w:t xml:space="preserve">Pan </w:t>
      </w:r>
      <w:r>
        <w:rPr>
          <w:rFonts w:ascii="Calibri" w:hAnsi="Calibri" w:cs="Arial"/>
          <w:b/>
          <w:bCs/>
          <w:sz w:val="22"/>
          <w:szCs w:val="22"/>
        </w:rPr>
        <w:t>Dariusz Zych</w:t>
      </w:r>
      <w:r w:rsidRPr="00044679">
        <w:rPr>
          <w:rFonts w:ascii="Calibri" w:hAnsi="Calibri" w:cs="Arial"/>
          <w:bCs/>
          <w:sz w:val="22"/>
          <w:szCs w:val="22"/>
        </w:rPr>
        <w:tab/>
      </w:r>
      <w:r w:rsidRPr="00044679">
        <w:rPr>
          <w:rFonts w:ascii="Calibri" w:hAnsi="Calibri" w:cs="Arial"/>
          <w:bCs/>
          <w:sz w:val="22"/>
          <w:szCs w:val="22"/>
        </w:rPr>
        <w:tab/>
        <w:t>Przewodniczący Rady Nadzorczej,</w:t>
      </w:r>
    </w:p>
    <w:p w14:paraId="084378F5" w14:textId="77777777" w:rsidR="00360EFC" w:rsidRPr="00044679" w:rsidRDefault="00360EFC" w:rsidP="00D73705">
      <w:pPr>
        <w:numPr>
          <w:ilvl w:val="0"/>
          <w:numId w:val="12"/>
        </w:numPr>
        <w:tabs>
          <w:tab w:val="left" w:pos="4111"/>
        </w:tabs>
        <w:spacing w:line="360" w:lineRule="auto"/>
        <w:ind w:left="1134" w:hanging="567"/>
        <w:jc w:val="both"/>
        <w:rPr>
          <w:rFonts w:ascii="Calibri" w:hAnsi="Calibri" w:cs="Arial"/>
          <w:bCs/>
          <w:sz w:val="22"/>
          <w:szCs w:val="22"/>
        </w:rPr>
      </w:pPr>
      <w:r w:rsidRPr="00044679">
        <w:rPr>
          <w:rFonts w:ascii="Calibri" w:hAnsi="Calibri" w:cs="Arial"/>
          <w:bCs/>
          <w:sz w:val="22"/>
          <w:szCs w:val="22"/>
        </w:rPr>
        <w:t xml:space="preserve"> Pan</w:t>
      </w:r>
      <w:r>
        <w:rPr>
          <w:rFonts w:ascii="Calibri" w:hAnsi="Calibri" w:cs="Arial"/>
          <w:bCs/>
          <w:sz w:val="22"/>
          <w:szCs w:val="22"/>
        </w:rPr>
        <w:t xml:space="preserve"> </w:t>
      </w:r>
      <w:r>
        <w:rPr>
          <w:rFonts w:ascii="Calibri" w:hAnsi="Calibri" w:cs="Arial"/>
          <w:b/>
          <w:bCs/>
          <w:sz w:val="22"/>
          <w:szCs w:val="22"/>
        </w:rPr>
        <w:t>Tomasz Pańczyk</w:t>
      </w:r>
      <w:r w:rsidRPr="00044679">
        <w:rPr>
          <w:rFonts w:ascii="Calibri" w:hAnsi="Calibri" w:cs="Arial"/>
          <w:bCs/>
          <w:sz w:val="22"/>
          <w:szCs w:val="22"/>
        </w:rPr>
        <w:tab/>
        <w:t>Wiceprzewodniczący Rady Nadzorczej,</w:t>
      </w:r>
    </w:p>
    <w:p w14:paraId="1F83F9A4" w14:textId="77777777" w:rsidR="00360EFC" w:rsidRPr="00044679" w:rsidRDefault="00360EFC" w:rsidP="00D73705">
      <w:pPr>
        <w:numPr>
          <w:ilvl w:val="0"/>
          <w:numId w:val="12"/>
        </w:numPr>
        <w:tabs>
          <w:tab w:val="left" w:pos="4111"/>
          <w:tab w:val="left" w:pos="5040"/>
        </w:tabs>
        <w:spacing w:line="360" w:lineRule="auto"/>
        <w:ind w:left="1134" w:hanging="567"/>
        <w:jc w:val="both"/>
        <w:rPr>
          <w:rFonts w:ascii="Calibri" w:hAnsi="Calibri" w:cs="Arial"/>
          <w:bCs/>
          <w:sz w:val="22"/>
          <w:szCs w:val="22"/>
        </w:rPr>
      </w:pPr>
      <w:r w:rsidRPr="00044679">
        <w:rPr>
          <w:rFonts w:ascii="Calibri" w:hAnsi="Calibri" w:cs="Arial"/>
          <w:bCs/>
          <w:sz w:val="22"/>
          <w:szCs w:val="22"/>
        </w:rPr>
        <w:t xml:space="preserve"> Pan </w:t>
      </w:r>
      <w:r>
        <w:rPr>
          <w:rFonts w:ascii="Calibri" w:hAnsi="Calibri" w:cs="Arial"/>
          <w:b/>
          <w:bCs/>
          <w:sz w:val="22"/>
          <w:szCs w:val="22"/>
        </w:rPr>
        <w:t>Jarosław Lisiewicz</w:t>
      </w:r>
      <w:r w:rsidRPr="00044679">
        <w:rPr>
          <w:rFonts w:ascii="Calibri" w:hAnsi="Calibri" w:cs="Arial"/>
          <w:bCs/>
          <w:sz w:val="22"/>
          <w:szCs w:val="22"/>
        </w:rPr>
        <w:tab/>
        <w:t>Sekretarz Rady Nadzorczej,</w:t>
      </w:r>
    </w:p>
    <w:p w14:paraId="250CC99E" w14:textId="77777777" w:rsidR="00360EFC" w:rsidRPr="00044679" w:rsidRDefault="00360EFC" w:rsidP="00D73705">
      <w:pPr>
        <w:numPr>
          <w:ilvl w:val="0"/>
          <w:numId w:val="12"/>
        </w:numPr>
        <w:tabs>
          <w:tab w:val="left" w:pos="0"/>
          <w:tab w:val="left" w:pos="4111"/>
          <w:tab w:val="left" w:pos="4860"/>
        </w:tabs>
        <w:spacing w:line="360" w:lineRule="auto"/>
        <w:ind w:left="1134" w:hanging="567"/>
        <w:jc w:val="both"/>
        <w:rPr>
          <w:rFonts w:ascii="Calibri" w:hAnsi="Calibri" w:cs="Arial"/>
          <w:bCs/>
          <w:sz w:val="22"/>
          <w:szCs w:val="22"/>
        </w:rPr>
      </w:pPr>
      <w:r w:rsidRPr="00044679">
        <w:rPr>
          <w:rFonts w:ascii="Calibri" w:hAnsi="Calibri" w:cs="Arial"/>
          <w:bCs/>
          <w:sz w:val="22"/>
          <w:szCs w:val="22"/>
        </w:rPr>
        <w:lastRenderedPageBreak/>
        <w:t xml:space="preserve"> Pan </w:t>
      </w:r>
      <w:r>
        <w:rPr>
          <w:rFonts w:ascii="Calibri" w:hAnsi="Calibri" w:cs="Arial"/>
          <w:b/>
          <w:bCs/>
          <w:sz w:val="22"/>
          <w:szCs w:val="22"/>
        </w:rPr>
        <w:t>Tomasz Mazur</w:t>
      </w:r>
      <w:r w:rsidRPr="00044679">
        <w:rPr>
          <w:rFonts w:ascii="Calibri" w:hAnsi="Calibri" w:cs="Arial"/>
          <w:bCs/>
          <w:sz w:val="22"/>
          <w:szCs w:val="22"/>
        </w:rPr>
        <w:tab/>
        <w:t xml:space="preserve">Członek Rady Nadzorczej, </w:t>
      </w:r>
    </w:p>
    <w:p w14:paraId="769F7F59" w14:textId="77777777" w:rsidR="00360EFC" w:rsidRDefault="00360EFC" w:rsidP="00D73705">
      <w:pPr>
        <w:numPr>
          <w:ilvl w:val="0"/>
          <w:numId w:val="12"/>
        </w:numPr>
        <w:tabs>
          <w:tab w:val="left" w:pos="0"/>
          <w:tab w:val="left" w:pos="4111"/>
          <w:tab w:val="left" w:pos="4320"/>
        </w:tabs>
        <w:spacing w:line="360" w:lineRule="auto"/>
        <w:ind w:left="1134" w:hanging="567"/>
        <w:jc w:val="both"/>
        <w:rPr>
          <w:rFonts w:ascii="Calibri" w:hAnsi="Calibri" w:cs="Arial"/>
          <w:bCs/>
          <w:sz w:val="22"/>
          <w:szCs w:val="22"/>
        </w:rPr>
      </w:pPr>
      <w:r w:rsidRPr="00044679">
        <w:rPr>
          <w:rFonts w:ascii="Calibri" w:hAnsi="Calibri" w:cs="Arial"/>
          <w:bCs/>
          <w:sz w:val="22"/>
          <w:szCs w:val="22"/>
        </w:rPr>
        <w:t xml:space="preserve"> Pan </w:t>
      </w:r>
      <w:r>
        <w:rPr>
          <w:rFonts w:ascii="Calibri" w:hAnsi="Calibri" w:cs="Arial"/>
          <w:b/>
          <w:bCs/>
          <w:sz w:val="22"/>
          <w:szCs w:val="22"/>
        </w:rPr>
        <w:t>Andrzej Janiak</w:t>
      </w:r>
      <w:r w:rsidRPr="00044679">
        <w:rPr>
          <w:rFonts w:ascii="Calibri" w:hAnsi="Calibri" w:cs="Arial"/>
          <w:bCs/>
          <w:sz w:val="22"/>
          <w:szCs w:val="22"/>
        </w:rPr>
        <w:tab/>
        <w:t>Członek Rady Nadzorczej.</w:t>
      </w:r>
    </w:p>
    <w:p w14:paraId="5FE56813" w14:textId="77777777" w:rsidR="00360EFC" w:rsidRDefault="00360EFC" w:rsidP="00360EFC">
      <w:pPr>
        <w:tabs>
          <w:tab w:val="left" w:pos="0"/>
          <w:tab w:val="left" w:pos="4111"/>
          <w:tab w:val="left" w:pos="4320"/>
        </w:tabs>
        <w:spacing w:line="360" w:lineRule="auto"/>
        <w:jc w:val="both"/>
        <w:rPr>
          <w:rFonts w:ascii="Calibri" w:hAnsi="Calibri" w:cs="Arial"/>
          <w:bCs/>
          <w:sz w:val="22"/>
          <w:szCs w:val="22"/>
        </w:rPr>
      </w:pPr>
    </w:p>
    <w:p w14:paraId="7ED68CB8" w14:textId="77777777" w:rsidR="00360EFC" w:rsidRPr="00044679" w:rsidRDefault="00360EFC" w:rsidP="00360EFC">
      <w:pPr>
        <w:spacing w:line="360" w:lineRule="auto"/>
        <w:ind w:left="142" w:hanging="142"/>
        <w:jc w:val="both"/>
        <w:rPr>
          <w:rFonts w:ascii="Calibri" w:hAnsi="Calibri" w:cs="Arial"/>
          <w:bCs/>
          <w:i/>
          <w:sz w:val="22"/>
          <w:szCs w:val="22"/>
        </w:rPr>
      </w:pPr>
      <w:r>
        <w:rPr>
          <w:rFonts w:ascii="Calibri" w:hAnsi="Calibri" w:cs="Arial"/>
          <w:bCs/>
          <w:i/>
          <w:sz w:val="22"/>
          <w:szCs w:val="22"/>
        </w:rPr>
        <w:t xml:space="preserve">ZARZĄD </w:t>
      </w:r>
      <w:r w:rsidR="002E4153">
        <w:rPr>
          <w:rFonts w:ascii="Calibri" w:hAnsi="Calibri" w:cs="Arial"/>
          <w:bCs/>
          <w:i/>
          <w:sz w:val="22"/>
          <w:szCs w:val="22"/>
        </w:rPr>
        <w:t>CHEMOSERVIS-DWORY</w:t>
      </w:r>
      <w:r>
        <w:rPr>
          <w:rFonts w:ascii="Calibri" w:hAnsi="Calibri" w:cs="Arial"/>
          <w:bCs/>
          <w:i/>
          <w:sz w:val="22"/>
          <w:szCs w:val="22"/>
        </w:rPr>
        <w:t xml:space="preserve"> S.A.</w:t>
      </w:r>
      <w:r w:rsidRPr="00044679">
        <w:rPr>
          <w:rFonts w:ascii="Calibri" w:hAnsi="Calibri" w:cs="Arial"/>
          <w:bCs/>
          <w:i/>
          <w:sz w:val="22"/>
          <w:szCs w:val="22"/>
        </w:rPr>
        <w:t>:</w:t>
      </w:r>
    </w:p>
    <w:p w14:paraId="07E17DA9" w14:textId="77777777" w:rsidR="00360EFC" w:rsidRPr="00044679" w:rsidRDefault="00360EFC" w:rsidP="00360EFC">
      <w:pPr>
        <w:spacing w:line="360" w:lineRule="auto"/>
        <w:ind w:left="142" w:hanging="142"/>
        <w:jc w:val="both"/>
        <w:rPr>
          <w:rFonts w:ascii="Calibri" w:hAnsi="Calibri" w:cs="Arial"/>
          <w:b/>
          <w:bCs/>
          <w:i/>
          <w:sz w:val="22"/>
          <w:szCs w:val="22"/>
        </w:rPr>
      </w:pPr>
    </w:p>
    <w:p w14:paraId="709E77F6" w14:textId="77777777" w:rsidR="00360EFC" w:rsidRDefault="00360EFC" w:rsidP="00D73705">
      <w:pPr>
        <w:numPr>
          <w:ilvl w:val="0"/>
          <w:numId w:val="12"/>
        </w:numPr>
        <w:tabs>
          <w:tab w:val="left" w:pos="0"/>
          <w:tab w:val="left" w:pos="4111"/>
          <w:tab w:val="left" w:pos="4320"/>
        </w:tabs>
        <w:spacing w:line="360" w:lineRule="auto"/>
        <w:ind w:left="1134" w:hanging="567"/>
        <w:jc w:val="both"/>
        <w:rPr>
          <w:rFonts w:ascii="Calibri" w:hAnsi="Calibri" w:cs="Arial"/>
          <w:bCs/>
          <w:sz w:val="22"/>
          <w:szCs w:val="22"/>
        </w:rPr>
      </w:pPr>
      <w:r w:rsidRPr="00044679">
        <w:rPr>
          <w:rFonts w:ascii="Calibri" w:hAnsi="Calibri" w:cs="Arial"/>
          <w:bCs/>
          <w:sz w:val="22"/>
          <w:szCs w:val="22"/>
        </w:rPr>
        <w:t xml:space="preserve">Pan </w:t>
      </w:r>
      <w:r>
        <w:rPr>
          <w:rFonts w:ascii="Calibri" w:hAnsi="Calibri" w:cs="Arial"/>
          <w:b/>
          <w:bCs/>
          <w:sz w:val="22"/>
          <w:szCs w:val="22"/>
        </w:rPr>
        <w:t>Wojciech Mazur</w:t>
      </w:r>
      <w:r w:rsidRPr="00044679">
        <w:rPr>
          <w:rFonts w:ascii="Calibri" w:hAnsi="Calibri" w:cs="Arial"/>
          <w:bCs/>
          <w:sz w:val="22"/>
          <w:szCs w:val="22"/>
        </w:rPr>
        <w:tab/>
      </w:r>
      <w:r>
        <w:rPr>
          <w:rFonts w:ascii="Calibri" w:hAnsi="Calibri" w:cs="Arial"/>
          <w:bCs/>
          <w:sz w:val="22"/>
          <w:szCs w:val="22"/>
        </w:rPr>
        <w:t>Prezes Zarządu</w:t>
      </w:r>
      <w:r w:rsidRPr="00044679">
        <w:rPr>
          <w:rFonts w:ascii="Calibri" w:hAnsi="Calibri" w:cs="Arial"/>
          <w:bCs/>
          <w:sz w:val="22"/>
          <w:szCs w:val="22"/>
        </w:rPr>
        <w:t>.</w:t>
      </w:r>
    </w:p>
    <w:p w14:paraId="0A6D01B8" w14:textId="77777777" w:rsidR="000A3917" w:rsidRPr="00044679" w:rsidRDefault="000A3917" w:rsidP="000A3917">
      <w:pPr>
        <w:tabs>
          <w:tab w:val="left" w:pos="0"/>
          <w:tab w:val="left" w:pos="4111"/>
          <w:tab w:val="left" w:pos="4320"/>
        </w:tabs>
        <w:spacing w:line="360" w:lineRule="auto"/>
        <w:ind w:left="1134"/>
        <w:jc w:val="both"/>
        <w:rPr>
          <w:rFonts w:ascii="Calibri" w:hAnsi="Calibri" w:cs="Arial"/>
          <w:bCs/>
          <w:sz w:val="22"/>
          <w:szCs w:val="22"/>
        </w:rPr>
      </w:pPr>
    </w:p>
    <w:p w14:paraId="12E7B24F" w14:textId="77777777" w:rsidR="00855F3B" w:rsidRPr="00360EFC" w:rsidRDefault="00CE5B51" w:rsidP="00BA47DC">
      <w:pPr>
        <w:tabs>
          <w:tab w:val="left" w:pos="540"/>
        </w:tabs>
        <w:ind w:left="540" w:hanging="540"/>
        <w:jc w:val="both"/>
        <w:rPr>
          <w:rFonts w:ascii="Calibri" w:hAnsi="Calibri" w:cs="Arial"/>
        </w:rPr>
      </w:pPr>
      <w:r w:rsidRPr="00360EFC">
        <w:rPr>
          <w:rFonts w:ascii="Calibri" w:hAnsi="Calibri" w:cs="Arial"/>
        </w:rPr>
        <w:t xml:space="preserve">11. </w:t>
      </w:r>
      <w:r w:rsidR="00BA47DC" w:rsidRPr="00360EFC">
        <w:rPr>
          <w:rFonts w:ascii="Calibri" w:hAnsi="Calibri" w:cs="Arial"/>
        </w:rPr>
        <w:tab/>
      </w:r>
      <w:r w:rsidR="00855F3B" w:rsidRPr="00360EFC">
        <w:rPr>
          <w:rFonts w:ascii="Calibri" w:hAnsi="Calibri" w:cs="Arial"/>
          <w:b/>
        </w:rPr>
        <w:t>INFORMACJE O UDZIELENIU PRZEZ EMITENTA LUB PRZEZ JEDNOSTKĘ OD NIEGO ZALEŻNĄ PORĘCZEŃ KREDYTU LUB POŻYCZKI LUB UDZIELENIU GWARANCJI – ŁĄCZNIE JEDNEMU PODMIOTOWI LUB JEDNOSTCE OD NIEGO ZALEŻNEJ OD TEGO PODMIOTU, JEŻELI ŁĄCZNA WARTOŚĆ ISTNIEJĄCYCH PORĘCZEŃ LUB GWARANCJI STANOWI RÓWNOWARTOŚĆ CO NAJMNIEJ 10 % KAPITAŁÓW WŁASNYCH EMITENTA.</w:t>
      </w:r>
    </w:p>
    <w:p w14:paraId="5DB03898" w14:textId="77777777" w:rsidR="00855F3B" w:rsidRPr="00183773" w:rsidRDefault="00855F3B" w:rsidP="00855F3B">
      <w:pPr>
        <w:tabs>
          <w:tab w:val="left" w:pos="540"/>
        </w:tabs>
        <w:jc w:val="both"/>
        <w:rPr>
          <w:rFonts w:ascii="Calibri" w:hAnsi="Calibri" w:cs="Arial"/>
          <w:b/>
          <w:highlight w:val="green"/>
        </w:rPr>
      </w:pPr>
    </w:p>
    <w:p w14:paraId="4C780C64" w14:textId="77777777" w:rsidR="00710F07" w:rsidRPr="006C559D" w:rsidRDefault="00710F07" w:rsidP="00710F07">
      <w:pPr>
        <w:tabs>
          <w:tab w:val="left" w:pos="0"/>
        </w:tabs>
        <w:spacing w:line="360" w:lineRule="auto"/>
        <w:ind w:firstLine="567"/>
        <w:jc w:val="both"/>
        <w:rPr>
          <w:rFonts w:ascii="Calibri" w:hAnsi="Calibri"/>
          <w:sz w:val="22"/>
          <w:szCs w:val="22"/>
        </w:rPr>
      </w:pPr>
      <w:r w:rsidRPr="006C559D">
        <w:rPr>
          <w:rFonts w:ascii="Calibri" w:hAnsi="Calibri"/>
          <w:sz w:val="22"/>
          <w:szCs w:val="22"/>
        </w:rPr>
        <w:t xml:space="preserve">Spółka </w:t>
      </w:r>
      <w:r w:rsidR="002E4153">
        <w:rPr>
          <w:rFonts w:ascii="Calibri" w:hAnsi="Calibri"/>
          <w:sz w:val="22"/>
          <w:szCs w:val="22"/>
        </w:rPr>
        <w:t>CHEMOSERVIS-DWORY</w:t>
      </w:r>
      <w:r w:rsidRPr="006C559D">
        <w:rPr>
          <w:rFonts w:ascii="Calibri" w:hAnsi="Calibri"/>
          <w:sz w:val="22"/>
          <w:szCs w:val="22"/>
        </w:rPr>
        <w:t xml:space="preserve"> S.A. w pierwszym półroczu 2016 roku nie udzieliła poręczenia spłaty kredytów.</w:t>
      </w:r>
    </w:p>
    <w:p w14:paraId="348024C2" w14:textId="75A5503E" w:rsidR="00710F07" w:rsidRPr="006C559D" w:rsidRDefault="00355BAA" w:rsidP="00710F07">
      <w:pPr>
        <w:tabs>
          <w:tab w:val="left" w:pos="0"/>
        </w:tabs>
        <w:spacing w:line="360" w:lineRule="auto"/>
        <w:ind w:firstLine="567"/>
        <w:jc w:val="both"/>
        <w:rPr>
          <w:rFonts w:ascii="Calibri" w:hAnsi="Calibri"/>
          <w:sz w:val="22"/>
          <w:szCs w:val="22"/>
        </w:rPr>
      </w:pPr>
      <w:r>
        <w:rPr>
          <w:rFonts w:ascii="Calibri" w:hAnsi="Calibri"/>
          <w:sz w:val="22"/>
          <w:szCs w:val="22"/>
        </w:rPr>
        <w:t>W dniu</w:t>
      </w:r>
      <w:r w:rsidR="00710F07" w:rsidRPr="006C559D">
        <w:rPr>
          <w:rFonts w:ascii="Calibri" w:hAnsi="Calibri"/>
          <w:sz w:val="22"/>
          <w:szCs w:val="22"/>
        </w:rPr>
        <w:t xml:space="preserve"> 31 lipca 2016 roku Emitent podpisał aneks do umowy poręczenia spłaty kredytów udzielonych przez ING Bank Śląski podmiotowi Zależnemu ZE ZEN Sp. z o.o. Kwota poręczenia </w:t>
      </w:r>
      <w:r w:rsidR="001F4E2B">
        <w:rPr>
          <w:rFonts w:ascii="Calibri" w:hAnsi="Calibri"/>
          <w:sz w:val="22"/>
          <w:szCs w:val="22"/>
        </w:rPr>
        <w:br/>
      </w:r>
      <w:r w:rsidR="00710F07" w:rsidRPr="006C559D">
        <w:rPr>
          <w:rFonts w:ascii="Calibri" w:hAnsi="Calibri"/>
          <w:sz w:val="22"/>
          <w:szCs w:val="22"/>
        </w:rPr>
        <w:t xml:space="preserve">za udzielone ZE ZEN Sp. z o.o. kredyty wyniosła 5,0 mln zł. Poręczenie jest ważne do 31 grudnia 2022 roku. Spółka </w:t>
      </w:r>
      <w:r w:rsidR="002E4153">
        <w:rPr>
          <w:rFonts w:ascii="Calibri" w:hAnsi="Calibri"/>
          <w:sz w:val="22"/>
          <w:szCs w:val="22"/>
        </w:rPr>
        <w:t>CHEMOSERVIS-DWORY</w:t>
      </w:r>
      <w:r w:rsidR="00710F07" w:rsidRPr="006C559D">
        <w:rPr>
          <w:rFonts w:ascii="Calibri" w:hAnsi="Calibri"/>
          <w:sz w:val="22"/>
          <w:szCs w:val="22"/>
        </w:rPr>
        <w:t xml:space="preserve"> S.A. w 2014 roku, a następnie aneksem w 2015 roku udzieliła poręczenia spłaty kredytu udzielonego przez ING Bank Śląski S.A. Jednostce Zależnej ZBACH Sp. z o.o. w wysokości 4,0 mln zł. Poręczenie jest ważne do 14 listopada 2016 roku. </w:t>
      </w:r>
    </w:p>
    <w:p w14:paraId="330EE472" w14:textId="77777777" w:rsidR="00710F07" w:rsidRPr="006C559D" w:rsidRDefault="00710F07" w:rsidP="00710F07">
      <w:pPr>
        <w:tabs>
          <w:tab w:val="left" w:pos="0"/>
        </w:tabs>
        <w:spacing w:line="360" w:lineRule="auto"/>
        <w:ind w:firstLine="567"/>
        <w:jc w:val="both"/>
        <w:rPr>
          <w:rFonts w:ascii="Calibri" w:hAnsi="Calibri"/>
          <w:sz w:val="22"/>
          <w:szCs w:val="22"/>
        </w:rPr>
      </w:pPr>
      <w:r w:rsidRPr="006C559D">
        <w:rPr>
          <w:rFonts w:ascii="Calibri" w:hAnsi="Calibri"/>
          <w:sz w:val="22"/>
          <w:szCs w:val="22"/>
        </w:rPr>
        <w:t xml:space="preserve">Łączna wysokość udzielonych przez </w:t>
      </w:r>
      <w:r w:rsidR="002E4153">
        <w:rPr>
          <w:rFonts w:ascii="Calibri" w:hAnsi="Calibri"/>
          <w:sz w:val="22"/>
          <w:szCs w:val="22"/>
        </w:rPr>
        <w:t>CHEMOSERVIS-DWORY</w:t>
      </w:r>
      <w:r w:rsidRPr="006C559D">
        <w:rPr>
          <w:rFonts w:ascii="Calibri" w:hAnsi="Calibri"/>
          <w:sz w:val="22"/>
          <w:szCs w:val="22"/>
        </w:rPr>
        <w:t xml:space="preserve"> S.A. poręczeń dla ING Bank Śląski na dzień publikacji raportu wynosi 9,0 mln zł.</w:t>
      </w:r>
    </w:p>
    <w:p w14:paraId="5D5EA535" w14:textId="77777777" w:rsidR="00710F07" w:rsidRPr="006C559D" w:rsidRDefault="00710F07" w:rsidP="00710F07">
      <w:pPr>
        <w:tabs>
          <w:tab w:val="left" w:pos="0"/>
        </w:tabs>
        <w:spacing w:line="360" w:lineRule="auto"/>
        <w:ind w:firstLine="567"/>
        <w:jc w:val="both"/>
        <w:rPr>
          <w:rFonts w:ascii="Calibri" w:hAnsi="Calibri"/>
          <w:sz w:val="22"/>
          <w:szCs w:val="22"/>
        </w:rPr>
      </w:pPr>
      <w:r w:rsidRPr="006C559D">
        <w:rPr>
          <w:rFonts w:ascii="Calibri" w:hAnsi="Calibri"/>
          <w:sz w:val="22"/>
          <w:szCs w:val="22"/>
        </w:rPr>
        <w:t>Po dniu na jaki sporządzono sprawozdanie Emitent poręczył weksle wystawione przez Spółkę Zależną ZBACH Sp. z o.o. tytułem należytego wykonania umowy w okresie gwarancyjnym w łącznej wysokości 400 tys. zł.</w:t>
      </w:r>
    </w:p>
    <w:p w14:paraId="12F4BA26" w14:textId="77777777" w:rsidR="00710F07" w:rsidRPr="006C559D" w:rsidRDefault="00710F07" w:rsidP="00710F07">
      <w:pPr>
        <w:tabs>
          <w:tab w:val="left" w:pos="0"/>
        </w:tabs>
        <w:spacing w:line="360" w:lineRule="auto"/>
        <w:ind w:firstLine="567"/>
        <w:jc w:val="both"/>
        <w:rPr>
          <w:rFonts w:ascii="Calibri" w:hAnsi="Calibri"/>
          <w:sz w:val="22"/>
          <w:szCs w:val="22"/>
        </w:rPr>
      </w:pPr>
    </w:p>
    <w:p w14:paraId="5195F9C1" w14:textId="77777777" w:rsidR="00710F07" w:rsidRPr="006C559D" w:rsidRDefault="00710F07" w:rsidP="00710F07">
      <w:pPr>
        <w:tabs>
          <w:tab w:val="left" w:pos="0"/>
        </w:tabs>
        <w:spacing w:line="360" w:lineRule="auto"/>
        <w:ind w:firstLine="567"/>
        <w:jc w:val="both"/>
        <w:rPr>
          <w:rFonts w:ascii="Calibri" w:hAnsi="Calibri"/>
          <w:sz w:val="22"/>
          <w:szCs w:val="22"/>
        </w:rPr>
      </w:pPr>
      <w:r w:rsidRPr="006C559D">
        <w:rPr>
          <w:rFonts w:ascii="Calibri" w:hAnsi="Calibri"/>
          <w:sz w:val="22"/>
          <w:szCs w:val="22"/>
        </w:rPr>
        <w:t>Emitent w pierwszym półroczu 2016 roku udzielił następujących gwarancji:</w:t>
      </w:r>
    </w:p>
    <w:p w14:paraId="019B3291" w14:textId="77777777" w:rsidR="00710F07" w:rsidRPr="006C559D" w:rsidRDefault="00710F07" w:rsidP="00710F07">
      <w:pPr>
        <w:tabs>
          <w:tab w:val="left" w:pos="0"/>
        </w:tabs>
        <w:spacing w:line="360" w:lineRule="auto"/>
        <w:ind w:firstLine="567"/>
        <w:jc w:val="both"/>
        <w:rPr>
          <w:rFonts w:ascii="Calibri" w:hAnsi="Calibri"/>
          <w:sz w:val="22"/>
          <w:szCs w:val="22"/>
        </w:rPr>
      </w:pPr>
    </w:p>
    <w:p w14:paraId="39EF82CC" w14:textId="77777777" w:rsidR="00710F07" w:rsidRPr="006C559D" w:rsidRDefault="00710F07" w:rsidP="00D73705">
      <w:pPr>
        <w:pStyle w:val="Akapitzlist"/>
        <w:numPr>
          <w:ilvl w:val="0"/>
          <w:numId w:val="9"/>
        </w:numPr>
        <w:tabs>
          <w:tab w:val="left" w:pos="0"/>
          <w:tab w:val="left" w:pos="567"/>
        </w:tabs>
        <w:spacing w:line="360" w:lineRule="auto"/>
        <w:jc w:val="both"/>
        <w:rPr>
          <w:rFonts w:asciiTheme="minorHAnsi" w:hAnsiTheme="minorHAnsi"/>
          <w:sz w:val="22"/>
          <w:szCs w:val="22"/>
        </w:rPr>
      </w:pPr>
      <w:r w:rsidRPr="006C559D">
        <w:rPr>
          <w:rFonts w:asciiTheme="minorHAnsi" w:hAnsiTheme="minorHAnsi"/>
          <w:sz w:val="22"/>
          <w:szCs w:val="22"/>
        </w:rPr>
        <w:t xml:space="preserve">dobrego wykonania umowy oraz zobowiązań gwarancyjnym dla </w:t>
      </w:r>
      <w:proofErr w:type="spellStart"/>
      <w:r w:rsidRPr="006C559D">
        <w:rPr>
          <w:rFonts w:asciiTheme="minorHAnsi" w:hAnsiTheme="minorHAnsi"/>
          <w:sz w:val="22"/>
          <w:szCs w:val="22"/>
        </w:rPr>
        <w:t>Yara</w:t>
      </w:r>
      <w:proofErr w:type="spellEnd"/>
      <w:r w:rsidRPr="006C559D">
        <w:rPr>
          <w:rFonts w:asciiTheme="minorHAnsi" w:hAnsiTheme="minorHAnsi"/>
          <w:sz w:val="22"/>
          <w:szCs w:val="22"/>
        </w:rPr>
        <w:t xml:space="preserve"> </w:t>
      </w:r>
      <w:proofErr w:type="spellStart"/>
      <w:r w:rsidRPr="006C559D">
        <w:rPr>
          <w:rFonts w:asciiTheme="minorHAnsi" w:hAnsiTheme="minorHAnsi"/>
          <w:sz w:val="22"/>
          <w:szCs w:val="22"/>
        </w:rPr>
        <w:t>Environmental</w:t>
      </w:r>
      <w:proofErr w:type="spellEnd"/>
      <w:r w:rsidRPr="006C559D">
        <w:rPr>
          <w:rFonts w:asciiTheme="minorHAnsi" w:hAnsiTheme="minorHAnsi"/>
          <w:sz w:val="22"/>
          <w:szCs w:val="22"/>
        </w:rPr>
        <w:t xml:space="preserve"> Technologies GmbH w wysokości 4.103,4 tys. zł jako zabezpieczenie należytego wykonania umowy, a od dnia 15.11.2018 roku kwota ta ulega redukcji do wysokości 1.367,8 tys. zł jako zabezpieczenie zobowiązań gwarancyjnych lub zobowiązań wynikających z rękojmi; gwarancja obowiązuje do 30.11.2021 roku,</w:t>
      </w:r>
    </w:p>
    <w:p w14:paraId="3479A6B3" w14:textId="77777777" w:rsidR="00710F07" w:rsidRPr="006C559D" w:rsidRDefault="00710F07" w:rsidP="00D73705">
      <w:pPr>
        <w:pStyle w:val="Akapitzlist"/>
        <w:numPr>
          <w:ilvl w:val="0"/>
          <w:numId w:val="9"/>
        </w:numPr>
        <w:spacing w:line="360" w:lineRule="auto"/>
        <w:jc w:val="both"/>
        <w:rPr>
          <w:rFonts w:asciiTheme="minorHAnsi" w:hAnsiTheme="minorHAnsi"/>
          <w:sz w:val="22"/>
          <w:szCs w:val="22"/>
        </w:rPr>
      </w:pPr>
      <w:r w:rsidRPr="006C559D">
        <w:rPr>
          <w:rFonts w:asciiTheme="minorHAnsi" w:hAnsiTheme="minorHAnsi"/>
          <w:sz w:val="22"/>
          <w:szCs w:val="22"/>
        </w:rPr>
        <w:lastRenderedPageBreak/>
        <w:t xml:space="preserve">gwarancję zwrotu zaliczki dla </w:t>
      </w:r>
      <w:proofErr w:type="spellStart"/>
      <w:r w:rsidRPr="006C559D">
        <w:rPr>
          <w:rFonts w:asciiTheme="minorHAnsi" w:hAnsiTheme="minorHAnsi"/>
          <w:sz w:val="22"/>
          <w:szCs w:val="22"/>
        </w:rPr>
        <w:t>Yara</w:t>
      </w:r>
      <w:proofErr w:type="spellEnd"/>
      <w:r w:rsidRPr="006C559D">
        <w:rPr>
          <w:rFonts w:asciiTheme="minorHAnsi" w:hAnsiTheme="minorHAnsi"/>
          <w:sz w:val="22"/>
          <w:szCs w:val="22"/>
        </w:rPr>
        <w:t xml:space="preserve"> </w:t>
      </w:r>
      <w:proofErr w:type="spellStart"/>
      <w:r w:rsidRPr="006C559D">
        <w:rPr>
          <w:rFonts w:asciiTheme="minorHAnsi" w:hAnsiTheme="minorHAnsi"/>
          <w:sz w:val="22"/>
          <w:szCs w:val="22"/>
        </w:rPr>
        <w:t>Environmental</w:t>
      </w:r>
      <w:proofErr w:type="spellEnd"/>
      <w:r w:rsidRPr="006C559D">
        <w:rPr>
          <w:rFonts w:asciiTheme="minorHAnsi" w:hAnsiTheme="minorHAnsi"/>
          <w:sz w:val="22"/>
          <w:szCs w:val="22"/>
        </w:rPr>
        <w:t xml:space="preserve"> Technologies GmbH w wysokości 3.364,8 tys. zł z  terminem obowiązywania do 15.10.2018 roku.</w:t>
      </w:r>
    </w:p>
    <w:p w14:paraId="39FCF71F" w14:textId="77777777" w:rsidR="00710F07" w:rsidRPr="006C559D" w:rsidRDefault="00710F07" w:rsidP="00D73705">
      <w:pPr>
        <w:pStyle w:val="Akapitzlist"/>
        <w:numPr>
          <w:ilvl w:val="0"/>
          <w:numId w:val="9"/>
        </w:numPr>
        <w:tabs>
          <w:tab w:val="left" w:pos="0"/>
          <w:tab w:val="left" w:pos="567"/>
        </w:tabs>
        <w:spacing w:line="360" w:lineRule="auto"/>
        <w:jc w:val="both"/>
        <w:rPr>
          <w:rFonts w:asciiTheme="minorHAnsi" w:hAnsiTheme="minorHAnsi"/>
          <w:sz w:val="22"/>
          <w:szCs w:val="22"/>
        </w:rPr>
      </w:pPr>
      <w:r w:rsidRPr="006C559D">
        <w:rPr>
          <w:rFonts w:asciiTheme="minorHAnsi" w:hAnsiTheme="minorHAnsi"/>
          <w:sz w:val="22"/>
          <w:szCs w:val="22"/>
        </w:rPr>
        <w:t xml:space="preserve">Gwarancję należytego wykonania i właściwego usunięcia wad dla PGE Energia Odnawialna S.A. w wysokości 144, 9 tys. zł w okresie realizacji kontraktu, a następnie </w:t>
      </w:r>
      <w:r w:rsidR="00D14318">
        <w:rPr>
          <w:rFonts w:asciiTheme="minorHAnsi" w:hAnsiTheme="minorHAnsi"/>
          <w:sz w:val="22"/>
          <w:szCs w:val="22"/>
        </w:rPr>
        <w:br/>
      </w:r>
      <w:r w:rsidRPr="006C559D">
        <w:rPr>
          <w:rFonts w:asciiTheme="minorHAnsi" w:hAnsiTheme="minorHAnsi"/>
          <w:sz w:val="22"/>
          <w:szCs w:val="22"/>
        </w:rPr>
        <w:t xml:space="preserve">w okresie gwarancji do wysokości 43,5 tys. zł., z terminem obowiązywania do </w:t>
      </w:r>
      <w:r w:rsidR="00D14318">
        <w:rPr>
          <w:rFonts w:asciiTheme="minorHAnsi" w:hAnsiTheme="minorHAnsi"/>
          <w:sz w:val="22"/>
          <w:szCs w:val="22"/>
        </w:rPr>
        <w:br/>
      </w:r>
      <w:r w:rsidRPr="006C559D">
        <w:rPr>
          <w:rFonts w:asciiTheme="minorHAnsi" w:hAnsiTheme="minorHAnsi"/>
          <w:sz w:val="22"/>
          <w:szCs w:val="22"/>
        </w:rPr>
        <w:t>15 września 2019 roku,</w:t>
      </w:r>
    </w:p>
    <w:p w14:paraId="38A12ECA" w14:textId="77777777" w:rsidR="00710F07" w:rsidRPr="006C559D" w:rsidRDefault="00710F07" w:rsidP="00D73705">
      <w:pPr>
        <w:pStyle w:val="Akapitzlist"/>
        <w:numPr>
          <w:ilvl w:val="0"/>
          <w:numId w:val="9"/>
        </w:numPr>
        <w:tabs>
          <w:tab w:val="left" w:pos="0"/>
          <w:tab w:val="left" w:pos="567"/>
        </w:tabs>
        <w:spacing w:line="360" w:lineRule="auto"/>
        <w:jc w:val="both"/>
        <w:rPr>
          <w:rFonts w:asciiTheme="minorHAnsi" w:hAnsiTheme="minorHAnsi"/>
          <w:sz w:val="22"/>
          <w:szCs w:val="22"/>
        </w:rPr>
      </w:pPr>
      <w:r w:rsidRPr="006C559D">
        <w:rPr>
          <w:rFonts w:asciiTheme="minorHAnsi" w:hAnsiTheme="minorHAnsi"/>
          <w:sz w:val="22"/>
          <w:szCs w:val="22"/>
        </w:rPr>
        <w:t xml:space="preserve">Gwarancję właściwego usunięcia wad dla PROCHEM S.A. w wysokości 356,8 tys. zł </w:t>
      </w:r>
      <w:r w:rsidRPr="006C559D">
        <w:rPr>
          <w:rFonts w:asciiTheme="minorHAnsi" w:hAnsiTheme="minorHAnsi"/>
          <w:sz w:val="22"/>
          <w:szCs w:val="22"/>
        </w:rPr>
        <w:br/>
        <w:t>z terminem obowiązywania do 22 stycznia 2019 roku.</w:t>
      </w:r>
    </w:p>
    <w:p w14:paraId="1A8CBCA6" w14:textId="77777777" w:rsidR="006C559D" w:rsidRDefault="006C559D" w:rsidP="00347CA3">
      <w:pPr>
        <w:tabs>
          <w:tab w:val="left" w:pos="0"/>
        </w:tabs>
        <w:spacing w:line="360" w:lineRule="auto"/>
        <w:ind w:firstLine="567"/>
        <w:jc w:val="both"/>
        <w:rPr>
          <w:rFonts w:ascii="Calibri" w:hAnsi="Calibri"/>
          <w:sz w:val="22"/>
          <w:szCs w:val="22"/>
        </w:rPr>
      </w:pPr>
    </w:p>
    <w:p w14:paraId="242DE7CD" w14:textId="77777777" w:rsidR="00347CA3" w:rsidRPr="006C559D" w:rsidRDefault="00347CA3" w:rsidP="00347CA3">
      <w:pPr>
        <w:tabs>
          <w:tab w:val="left" w:pos="0"/>
        </w:tabs>
        <w:spacing w:line="360" w:lineRule="auto"/>
        <w:ind w:firstLine="567"/>
        <w:jc w:val="both"/>
        <w:rPr>
          <w:rFonts w:ascii="Calibri" w:hAnsi="Calibri"/>
          <w:sz w:val="22"/>
          <w:szCs w:val="22"/>
        </w:rPr>
      </w:pPr>
      <w:r w:rsidRPr="006C559D">
        <w:rPr>
          <w:rFonts w:ascii="Calibri" w:hAnsi="Calibri"/>
          <w:sz w:val="22"/>
          <w:szCs w:val="22"/>
        </w:rPr>
        <w:t xml:space="preserve">Spółka ZBACH Spółka z o.o. w pierwszym półroczu 2016 roku nie udzieliła poręczeń kredytu lub pożyczki, jak również nie udzieliła gwarancji łącznie jednemu podmiotowi o wartości przekraczającej co najmniej 10% kapitałów własnych. </w:t>
      </w:r>
    </w:p>
    <w:p w14:paraId="10225F7E" w14:textId="77777777" w:rsidR="00347CA3" w:rsidRPr="006C559D" w:rsidRDefault="00347CA3" w:rsidP="00347CA3">
      <w:pPr>
        <w:tabs>
          <w:tab w:val="left" w:pos="0"/>
        </w:tabs>
        <w:spacing w:line="360" w:lineRule="auto"/>
        <w:jc w:val="both"/>
        <w:rPr>
          <w:rFonts w:ascii="Calibri" w:hAnsi="Calibri"/>
          <w:sz w:val="22"/>
          <w:szCs w:val="22"/>
        </w:rPr>
      </w:pPr>
    </w:p>
    <w:p w14:paraId="11B62B36" w14:textId="77777777" w:rsidR="00347CA3" w:rsidRDefault="00347CA3" w:rsidP="00347CA3">
      <w:pPr>
        <w:tabs>
          <w:tab w:val="left" w:pos="0"/>
        </w:tabs>
        <w:spacing w:line="360" w:lineRule="auto"/>
        <w:ind w:firstLine="567"/>
        <w:jc w:val="both"/>
        <w:rPr>
          <w:rFonts w:ascii="Calibri" w:hAnsi="Calibri"/>
          <w:sz w:val="22"/>
          <w:szCs w:val="22"/>
        </w:rPr>
      </w:pPr>
      <w:r w:rsidRPr="006C559D">
        <w:rPr>
          <w:rFonts w:ascii="Calibri" w:hAnsi="Calibri"/>
          <w:sz w:val="22"/>
          <w:szCs w:val="22"/>
        </w:rPr>
        <w:t>Dodatkowo, Spółka ZBACH Sp. z o.o. w pierwszym półroczu 2016 roku,</w:t>
      </w:r>
      <w:r w:rsidR="006C559D">
        <w:rPr>
          <w:rFonts w:ascii="Calibri" w:hAnsi="Calibri"/>
          <w:sz w:val="22"/>
          <w:szCs w:val="22"/>
        </w:rPr>
        <w:t xml:space="preserve"> </w:t>
      </w:r>
      <w:r w:rsidRPr="006C559D">
        <w:rPr>
          <w:rFonts w:ascii="Calibri" w:hAnsi="Calibri"/>
          <w:sz w:val="22"/>
          <w:szCs w:val="22"/>
        </w:rPr>
        <w:t>udzieliła następujących gwarancji bankowych i ubezpieczeniowych:</w:t>
      </w:r>
    </w:p>
    <w:p w14:paraId="14A46035" w14:textId="77777777" w:rsidR="000A3917" w:rsidRPr="006C559D" w:rsidRDefault="000A3917" w:rsidP="00347CA3">
      <w:pPr>
        <w:tabs>
          <w:tab w:val="left" w:pos="0"/>
        </w:tabs>
        <w:spacing w:line="360" w:lineRule="auto"/>
        <w:ind w:firstLine="567"/>
        <w:jc w:val="both"/>
        <w:rPr>
          <w:rFonts w:ascii="Calibri" w:hAnsi="Calibri"/>
          <w:sz w:val="22"/>
          <w:szCs w:val="22"/>
        </w:rPr>
      </w:pPr>
    </w:p>
    <w:p w14:paraId="010B7D77" w14:textId="62044F69" w:rsidR="00347CA3" w:rsidRPr="006C559D" w:rsidRDefault="00347CA3" w:rsidP="00D73705">
      <w:pPr>
        <w:numPr>
          <w:ilvl w:val="0"/>
          <w:numId w:val="13"/>
        </w:numPr>
        <w:spacing w:line="360" w:lineRule="auto"/>
        <w:ind w:left="1134"/>
        <w:jc w:val="both"/>
        <w:rPr>
          <w:rFonts w:ascii="Calibri" w:hAnsi="Calibri"/>
          <w:sz w:val="22"/>
          <w:szCs w:val="22"/>
        </w:rPr>
      </w:pPr>
      <w:r w:rsidRPr="006C559D">
        <w:rPr>
          <w:rFonts w:ascii="Calibri" w:hAnsi="Calibri"/>
          <w:sz w:val="22"/>
          <w:szCs w:val="22"/>
        </w:rPr>
        <w:t>Gwarancję ubezpieczeniową usunięcia wad i usterek wystawioną przez TUZ Towarzystwo Ubezpieczeń Wzajemnych do Umowy na rzecz kontrahenta PROCHEM S.A. Warszawa z terminem obowiązywania do 21.11.2017 roku.</w:t>
      </w:r>
    </w:p>
    <w:p w14:paraId="30D8F827" w14:textId="77777777" w:rsidR="00347CA3" w:rsidRPr="006C559D" w:rsidRDefault="00347CA3" w:rsidP="00D73705">
      <w:pPr>
        <w:numPr>
          <w:ilvl w:val="0"/>
          <w:numId w:val="13"/>
        </w:numPr>
        <w:spacing w:line="360" w:lineRule="auto"/>
        <w:ind w:left="1134"/>
        <w:jc w:val="both"/>
        <w:rPr>
          <w:rFonts w:ascii="Calibri" w:hAnsi="Calibri"/>
          <w:sz w:val="22"/>
          <w:szCs w:val="22"/>
        </w:rPr>
      </w:pPr>
      <w:r w:rsidRPr="006C559D">
        <w:rPr>
          <w:rFonts w:ascii="Calibri" w:hAnsi="Calibri"/>
          <w:sz w:val="22"/>
          <w:szCs w:val="22"/>
        </w:rPr>
        <w:t xml:space="preserve">Gwarancję bankową wystawioną przez ING Bank Śląski S.A. na rzecz kontrahenta EKOBENZ Sp. z o.o. Lublin jako zabezpieczenie z tytułu rękojmi i gwarancji </w:t>
      </w:r>
      <w:r w:rsidRPr="006C559D">
        <w:rPr>
          <w:rFonts w:ascii="Calibri" w:hAnsi="Calibri"/>
          <w:sz w:val="22"/>
          <w:szCs w:val="22"/>
        </w:rPr>
        <w:br/>
        <w:t>z terminem obowiązywania do 28.01.2019 roku.</w:t>
      </w:r>
    </w:p>
    <w:p w14:paraId="0EB4B34F" w14:textId="77777777" w:rsidR="00B51F3F" w:rsidRPr="00621278" w:rsidRDefault="00B51F3F" w:rsidP="00E63E16">
      <w:pPr>
        <w:tabs>
          <w:tab w:val="left" w:pos="0"/>
        </w:tabs>
        <w:spacing w:line="360" w:lineRule="auto"/>
        <w:ind w:left="142" w:firstLine="425"/>
        <w:jc w:val="both"/>
        <w:rPr>
          <w:rFonts w:asciiTheme="minorHAnsi" w:hAnsiTheme="minorHAnsi"/>
          <w:sz w:val="22"/>
          <w:szCs w:val="22"/>
          <w:highlight w:val="yellow"/>
        </w:rPr>
      </w:pPr>
    </w:p>
    <w:p w14:paraId="454F9316" w14:textId="77777777" w:rsidR="00360EFC" w:rsidRPr="00360EFC" w:rsidRDefault="00360EFC" w:rsidP="00360EFC">
      <w:pPr>
        <w:spacing w:line="360" w:lineRule="auto"/>
        <w:ind w:firstLine="567"/>
        <w:jc w:val="both"/>
        <w:rPr>
          <w:rFonts w:asciiTheme="minorHAnsi" w:hAnsiTheme="minorHAnsi"/>
          <w:sz w:val="22"/>
          <w:szCs w:val="22"/>
        </w:rPr>
      </w:pPr>
      <w:r w:rsidRPr="00360EFC">
        <w:rPr>
          <w:rFonts w:asciiTheme="minorHAnsi" w:hAnsiTheme="minorHAnsi"/>
          <w:sz w:val="22"/>
          <w:szCs w:val="22"/>
        </w:rPr>
        <w:t>Pozostałe Podmioty zależne: ZE ZEN Sp. z o.o., K-</w:t>
      </w:r>
      <w:proofErr w:type="spellStart"/>
      <w:r w:rsidRPr="00360EFC">
        <w:rPr>
          <w:rFonts w:asciiTheme="minorHAnsi" w:hAnsiTheme="minorHAnsi"/>
          <w:sz w:val="22"/>
          <w:szCs w:val="22"/>
        </w:rPr>
        <w:t>Protos</w:t>
      </w:r>
      <w:proofErr w:type="spellEnd"/>
      <w:r w:rsidRPr="00360EFC">
        <w:rPr>
          <w:rFonts w:asciiTheme="minorHAnsi" w:hAnsiTheme="minorHAnsi"/>
          <w:sz w:val="22"/>
          <w:szCs w:val="22"/>
        </w:rPr>
        <w:t xml:space="preserve"> </w:t>
      </w:r>
      <w:proofErr w:type="spellStart"/>
      <w:r w:rsidRPr="00360EFC">
        <w:rPr>
          <w:rFonts w:asciiTheme="minorHAnsi" w:hAnsiTheme="minorHAnsi"/>
          <w:sz w:val="22"/>
          <w:szCs w:val="22"/>
        </w:rPr>
        <w:t>a.s</w:t>
      </w:r>
      <w:proofErr w:type="spellEnd"/>
      <w:r w:rsidRPr="00360EFC">
        <w:rPr>
          <w:rFonts w:asciiTheme="minorHAnsi" w:hAnsiTheme="minorHAnsi"/>
          <w:sz w:val="22"/>
          <w:szCs w:val="22"/>
        </w:rPr>
        <w:t>., MD-</w:t>
      </w:r>
      <w:proofErr w:type="spellStart"/>
      <w:r w:rsidRPr="00360EFC">
        <w:rPr>
          <w:rFonts w:asciiTheme="minorHAnsi" w:hAnsiTheme="minorHAnsi"/>
          <w:sz w:val="22"/>
          <w:szCs w:val="22"/>
        </w:rPr>
        <w:t>proeco</w:t>
      </w:r>
      <w:proofErr w:type="spellEnd"/>
      <w:r w:rsidRPr="00360EFC">
        <w:rPr>
          <w:rFonts w:asciiTheme="minorHAnsi" w:hAnsiTheme="minorHAnsi"/>
          <w:sz w:val="22"/>
          <w:szCs w:val="22"/>
        </w:rPr>
        <w:t xml:space="preserve"> Sp. z o.o., </w:t>
      </w:r>
      <w:r>
        <w:rPr>
          <w:rFonts w:asciiTheme="minorHAnsi" w:hAnsiTheme="minorHAnsi"/>
          <w:sz w:val="22"/>
          <w:szCs w:val="22"/>
        </w:rPr>
        <w:br/>
      </w:r>
      <w:r w:rsidRPr="00360EFC">
        <w:rPr>
          <w:rFonts w:asciiTheme="minorHAnsi" w:hAnsiTheme="minorHAnsi"/>
          <w:sz w:val="22"/>
          <w:szCs w:val="22"/>
        </w:rPr>
        <w:t xml:space="preserve">Petro </w:t>
      </w:r>
      <w:proofErr w:type="spellStart"/>
      <w:r w:rsidRPr="00360EFC">
        <w:rPr>
          <w:rFonts w:asciiTheme="minorHAnsi" w:hAnsiTheme="minorHAnsi"/>
          <w:sz w:val="22"/>
          <w:szCs w:val="22"/>
        </w:rPr>
        <w:t>EnergoRem</w:t>
      </w:r>
      <w:proofErr w:type="spellEnd"/>
      <w:r w:rsidRPr="00360EFC">
        <w:rPr>
          <w:rFonts w:asciiTheme="minorHAnsi" w:hAnsiTheme="minorHAnsi"/>
          <w:sz w:val="22"/>
          <w:szCs w:val="22"/>
        </w:rPr>
        <w:t xml:space="preserve"> Sp. z o.o. oraz MONEA XII Sp. z o.o. w pierwszym półroczu 2016 r. nie udzielały poręczeń kredytów i pożyczek oraz gwarancji o wartości przekraczających łącznie co najmniej </w:t>
      </w:r>
      <w:r>
        <w:rPr>
          <w:rFonts w:asciiTheme="minorHAnsi" w:hAnsiTheme="minorHAnsi"/>
          <w:sz w:val="22"/>
          <w:szCs w:val="22"/>
        </w:rPr>
        <w:br/>
      </w:r>
      <w:r w:rsidRPr="00360EFC">
        <w:rPr>
          <w:rFonts w:asciiTheme="minorHAnsi" w:hAnsiTheme="minorHAnsi"/>
          <w:sz w:val="22"/>
          <w:szCs w:val="22"/>
        </w:rPr>
        <w:t>10 % kapitałów własnych Emitenta.</w:t>
      </w:r>
    </w:p>
    <w:p w14:paraId="18CA89B9" w14:textId="77777777" w:rsidR="0060058D" w:rsidRPr="00183773" w:rsidRDefault="0060058D">
      <w:pPr>
        <w:rPr>
          <w:rFonts w:asciiTheme="minorHAnsi" w:hAnsiTheme="minorHAnsi"/>
          <w:highlight w:val="green"/>
        </w:rPr>
      </w:pPr>
    </w:p>
    <w:p w14:paraId="2D124E62" w14:textId="77777777" w:rsidR="00D74020" w:rsidRPr="00360EFC" w:rsidRDefault="00D74020" w:rsidP="00C96EFE">
      <w:pPr>
        <w:tabs>
          <w:tab w:val="left" w:pos="0"/>
          <w:tab w:val="left" w:pos="540"/>
        </w:tabs>
        <w:ind w:left="540" w:hanging="540"/>
        <w:jc w:val="both"/>
        <w:rPr>
          <w:rFonts w:ascii="Calibri" w:hAnsi="Calibri"/>
          <w:b/>
        </w:rPr>
      </w:pPr>
      <w:r w:rsidRPr="00360EFC">
        <w:rPr>
          <w:rFonts w:ascii="Calibri" w:hAnsi="Calibri" w:cs="Arial"/>
        </w:rPr>
        <w:t>1</w:t>
      </w:r>
      <w:r w:rsidR="003535BD" w:rsidRPr="00360EFC">
        <w:rPr>
          <w:rFonts w:ascii="Calibri" w:hAnsi="Calibri" w:cs="Arial"/>
        </w:rPr>
        <w:t>2</w:t>
      </w:r>
      <w:r w:rsidRPr="00360EFC">
        <w:rPr>
          <w:rFonts w:ascii="Calibri" w:hAnsi="Calibri" w:cs="Arial"/>
        </w:rPr>
        <w:t>.</w:t>
      </w:r>
      <w:r w:rsidRPr="00360EFC">
        <w:rPr>
          <w:rFonts w:ascii="Calibri" w:hAnsi="Calibri" w:cs="Arial"/>
          <w:b/>
        </w:rPr>
        <w:tab/>
      </w:r>
      <w:r w:rsidR="00C96EFE" w:rsidRPr="00360EFC">
        <w:rPr>
          <w:rFonts w:ascii="Calibri" w:hAnsi="Calibri"/>
          <w:b/>
        </w:rPr>
        <w:t>INFORMACJE O ZAWARCIU PRZEZ EMITENTA LUB JEDNOSTKĘ OD NIEGO ZALEŻNĄ JEDNEJ LUB WIELU TRANSAKCJI Z PODMIOTAMI POWIĄZANYMI, JEŻELI POJEDYŃCZO LUB ŁĄCZNIE SĄ ONE ISTOTNE I ZOSTAŁY ZAWARTE NA INNYCH WARUNKACH NIŻ RYNKOWE.</w:t>
      </w:r>
    </w:p>
    <w:p w14:paraId="3255C6B7" w14:textId="7E1F1453" w:rsidR="00C96EFE" w:rsidRPr="00D13239" w:rsidRDefault="008541DE" w:rsidP="00C96EFE">
      <w:pPr>
        <w:pStyle w:val="p1"/>
        <w:spacing w:line="360" w:lineRule="auto"/>
        <w:ind w:firstLine="567"/>
        <w:jc w:val="both"/>
        <w:rPr>
          <w:rFonts w:asciiTheme="minorHAnsi" w:hAnsiTheme="minorHAnsi" w:cs="Arial"/>
          <w:sz w:val="22"/>
          <w:szCs w:val="22"/>
        </w:rPr>
      </w:pPr>
      <w:r w:rsidRPr="00D13239">
        <w:rPr>
          <w:rFonts w:asciiTheme="minorHAnsi" w:hAnsiTheme="minorHAnsi" w:cs="Arial"/>
          <w:sz w:val="22"/>
          <w:szCs w:val="22"/>
        </w:rPr>
        <w:t xml:space="preserve">Transakcje dokonane z podmiotami powiązanymi zostały opisane w </w:t>
      </w:r>
      <w:r w:rsidR="00A0231B">
        <w:rPr>
          <w:rFonts w:asciiTheme="minorHAnsi" w:hAnsiTheme="minorHAnsi" w:cs="Arial"/>
          <w:sz w:val="22"/>
          <w:szCs w:val="22"/>
        </w:rPr>
        <w:t xml:space="preserve">śródrocznym skróconym </w:t>
      </w:r>
      <w:r w:rsidRPr="00D13239">
        <w:rPr>
          <w:rFonts w:asciiTheme="minorHAnsi" w:hAnsiTheme="minorHAnsi" w:cs="Arial"/>
          <w:sz w:val="22"/>
          <w:szCs w:val="22"/>
        </w:rPr>
        <w:t>skonsolidowanym sprawozdaniu finansowym za I półrocze 201</w:t>
      </w:r>
      <w:r w:rsidR="00D13239">
        <w:rPr>
          <w:rFonts w:asciiTheme="minorHAnsi" w:hAnsiTheme="minorHAnsi" w:cs="Arial"/>
          <w:sz w:val="22"/>
          <w:szCs w:val="22"/>
        </w:rPr>
        <w:t>6</w:t>
      </w:r>
      <w:r w:rsidRPr="00D13239">
        <w:rPr>
          <w:rFonts w:asciiTheme="minorHAnsi" w:hAnsiTheme="minorHAnsi" w:cs="Arial"/>
          <w:sz w:val="22"/>
          <w:szCs w:val="22"/>
        </w:rPr>
        <w:t xml:space="preserve"> roku, w punkcie </w:t>
      </w:r>
      <w:r w:rsidR="00A0231B">
        <w:rPr>
          <w:rFonts w:asciiTheme="minorHAnsi" w:hAnsiTheme="minorHAnsi" w:cs="Arial"/>
          <w:sz w:val="22"/>
          <w:szCs w:val="22"/>
        </w:rPr>
        <w:t>6.5.5</w:t>
      </w:r>
      <w:r w:rsidR="00D13239">
        <w:rPr>
          <w:rFonts w:asciiTheme="minorHAnsi" w:hAnsiTheme="minorHAnsi" w:cs="Arial"/>
          <w:sz w:val="22"/>
          <w:szCs w:val="22"/>
        </w:rPr>
        <w:t xml:space="preserve"> </w:t>
      </w:r>
      <w:r w:rsidRPr="00D13239">
        <w:rPr>
          <w:rFonts w:asciiTheme="minorHAnsi" w:hAnsiTheme="minorHAnsi" w:cs="Arial"/>
          <w:sz w:val="22"/>
          <w:szCs w:val="22"/>
        </w:rPr>
        <w:t xml:space="preserve">dodatkowych </w:t>
      </w:r>
      <w:r w:rsidRPr="00D13239">
        <w:rPr>
          <w:rFonts w:asciiTheme="minorHAnsi" w:hAnsiTheme="minorHAnsi" w:cs="Arial"/>
          <w:sz w:val="22"/>
          <w:szCs w:val="22"/>
        </w:rPr>
        <w:lastRenderedPageBreak/>
        <w:t>not objaśniających do sprawozdania finansowego</w:t>
      </w:r>
      <w:r w:rsidR="00D20C6E" w:rsidRPr="00D13239">
        <w:rPr>
          <w:rFonts w:asciiTheme="minorHAnsi" w:hAnsiTheme="minorHAnsi" w:cs="Arial"/>
          <w:sz w:val="22"/>
          <w:szCs w:val="22"/>
        </w:rPr>
        <w:t>.</w:t>
      </w:r>
      <w:r w:rsidR="00BC35F5" w:rsidRPr="00D13239">
        <w:rPr>
          <w:rFonts w:asciiTheme="minorHAnsi" w:hAnsiTheme="minorHAnsi" w:cs="Arial"/>
          <w:sz w:val="22"/>
          <w:szCs w:val="22"/>
        </w:rPr>
        <w:t xml:space="preserve"> Ponadto Zarząd Emitenta oświadcza, iż Grupa </w:t>
      </w:r>
      <w:r w:rsidR="002E4153">
        <w:rPr>
          <w:rFonts w:asciiTheme="minorHAnsi" w:hAnsiTheme="minorHAnsi" w:cs="Arial"/>
          <w:sz w:val="22"/>
          <w:szCs w:val="22"/>
        </w:rPr>
        <w:t>CHEMOSERVIS-DWORY</w:t>
      </w:r>
      <w:r w:rsidR="00BC35F5" w:rsidRPr="00D13239">
        <w:rPr>
          <w:rFonts w:asciiTheme="minorHAnsi" w:hAnsiTheme="minorHAnsi" w:cs="Arial"/>
          <w:sz w:val="22"/>
          <w:szCs w:val="22"/>
        </w:rPr>
        <w:t xml:space="preserve"> nie zaw</w:t>
      </w:r>
      <w:r w:rsidR="00594C63" w:rsidRPr="00D13239">
        <w:rPr>
          <w:rFonts w:asciiTheme="minorHAnsi" w:hAnsiTheme="minorHAnsi" w:cs="Arial"/>
          <w:sz w:val="22"/>
          <w:szCs w:val="22"/>
        </w:rPr>
        <w:t xml:space="preserve">ierała </w:t>
      </w:r>
      <w:r w:rsidR="00BC35F5" w:rsidRPr="00D13239">
        <w:rPr>
          <w:rFonts w:asciiTheme="minorHAnsi" w:hAnsiTheme="minorHAnsi" w:cs="Arial"/>
          <w:sz w:val="22"/>
          <w:szCs w:val="22"/>
        </w:rPr>
        <w:t xml:space="preserve">transakcji </w:t>
      </w:r>
      <w:r w:rsidR="00594C63" w:rsidRPr="00D13239">
        <w:rPr>
          <w:rFonts w:asciiTheme="minorHAnsi" w:hAnsiTheme="minorHAnsi" w:cs="Arial"/>
          <w:sz w:val="22"/>
          <w:szCs w:val="22"/>
        </w:rPr>
        <w:t xml:space="preserve">z podmiotami powiązanymi </w:t>
      </w:r>
      <w:r w:rsidR="00BC35F5" w:rsidRPr="00D13239">
        <w:rPr>
          <w:rFonts w:asciiTheme="minorHAnsi" w:hAnsiTheme="minorHAnsi" w:cs="Arial"/>
          <w:sz w:val="22"/>
          <w:szCs w:val="22"/>
        </w:rPr>
        <w:t>na zasadach innych niż rynkowe.</w:t>
      </w:r>
    </w:p>
    <w:p w14:paraId="1FB52E67" w14:textId="77777777" w:rsidR="00D74020" w:rsidRPr="00360EFC" w:rsidRDefault="00D74020" w:rsidP="000F1812">
      <w:pPr>
        <w:tabs>
          <w:tab w:val="left" w:pos="0"/>
          <w:tab w:val="left" w:pos="540"/>
        </w:tabs>
        <w:jc w:val="both"/>
        <w:rPr>
          <w:rFonts w:ascii="Calibri" w:hAnsi="Calibri" w:cs="Arial"/>
          <w:b/>
        </w:rPr>
      </w:pPr>
      <w:r w:rsidRPr="00360EFC">
        <w:rPr>
          <w:rFonts w:ascii="Calibri" w:hAnsi="Calibri"/>
        </w:rPr>
        <w:t>1</w:t>
      </w:r>
      <w:r w:rsidR="003535BD" w:rsidRPr="00360EFC">
        <w:rPr>
          <w:rFonts w:ascii="Calibri" w:hAnsi="Calibri"/>
        </w:rPr>
        <w:t>3</w:t>
      </w:r>
      <w:r w:rsidRPr="00360EFC">
        <w:rPr>
          <w:rFonts w:ascii="Calibri" w:hAnsi="Calibri"/>
        </w:rPr>
        <w:t>.</w:t>
      </w:r>
      <w:r w:rsidRPr="00360EFC">
        <w:rPr>
          <w:rFonts w:ascii="Calibri" w:hAnsi="Calibri"/>
          <w:b/>
        </w:rPr>
        <w:tab/>
        <w:t xml:space="preserve">INFORMACJE DOTYCZĄCE ZJAWISKA SEZONOWOŚCI ORAZ CYKLICZNOŚCI </w:t>
      </w:r>
      <w:r w:rsidRPr="00360EFC">
        <w:rPr>
          <w:rFonts w:ascii="Calibri" w:hAnsi="Calibri"/>
          <w:b/>
        </w:rPr>
        <w:tab/>
        <w:t xml:space="preserve">DZIAŁALNOŚCI </w:t>
      </w:r>
      <w:r w:rsidR="007A2906" w:rsidRPr="00360EFC">
        <w:rPr>
          <w:rFonts w:ascii="Calibri" w:hAnsi="Calibri"/>
          <w:b/>
        </w:rPr>
        <w:t>GRUPY KAPITAŁOWEJ</w:t>
      </w:r>
      <w:r w:rsidRPr="00360EFC">
        <w:rPr>
          <w:rFonts w:ascii="Calibri" w:hAnsi="Calibri"/>
          <w:b/>
        </w:rPr>
        <w:t xml:space="preserve"> W PREZENTOWANYM OKRESIE.</w:t>
      </w:r>
    </w:p>
    <w:p w14:paraId="04C1E9AE" w14:textId="77777777" w:rsidR="00015850" w:rsidRPr="00183773" w:rsidRDefault="00015850" w:rsidP="00015850">
      <w:pPr>
        <w:tabs>
          <w:tab w:val="left" w:pos="0"/>
        </w:tabs>
        <w:spacing w:line="360" w:lineRule="auto"/>
        <w:ind w:firstLine="540"/>
        <w:jc w:val="both"/>
        <w:rPr>
          <w:rFonts w:ascii="Calibri" w:hAnsi="Calibri" w:cs="Arial"/>
          <w:highlight w:val="green"/>
        </w:rPr>
      </w:pPr>
    </w:p>
    <w:p w14:paraId="1E2E7DE6" w14:textId="77777777" w:rsidR="0004330F" w:rsidRPr="00D13239" w:rsidRDefault="004A47D0" w:rsidP="00D021BC">
      <w:pPr>
        <w:tabs>
          <w:tab w:val="left" w:pos="0"/>
        </w:tabs>
        <w:spacing w:line="360" w:lineRule="auto"/>
        <w:ind w:firstLine="540"/>
        <w:jc w:val="both"/>
        <w:rPr>
          <w:rFonts w:asciiTheme="minorHAnsi" w:hAnsiTheme="minorHAnsi" w:cs="Arial"/>
          <w:sz w:val="22"/>
          <w:szCs w:val="22"/>
        </w:rPr>
      </w:pPr>
      <w:r w:rsidRPr="00D13239">
        <w:rPr>
          <w:rFonts w:asciiTheme="minorHAnsi" w:hAnsiTheme="minorHAnsi" w:cs="Arial"/>
          <w:sz w:val="22"/>
          <w:szCs w:val="22"/>
        </w:rPr>
        <w:t xml:space="preserve">Zjawisko sezonowości jak i cykliczności nie dotyczy </w:t>
      </w:r>
      <w:r w:rsidR="00005C8F" w:rsidRPr="00D13239">
        <w:rPr>
          <w:rFonts w:asciiTheme="minorHAnsi" w:hAnsiTheme="minorHAnsi" w:cs="Arial"/>
          <w:sz w:val="22"/>
          <w:szCs w:val="22"/>
        </w:rPr>
        <w:t>Grupy</w:t>
      </w:r>
      <w:r w:rsidRPr="00D13239">
        <w:rPr>
          <w:rFonts w:asciiTheme="minorHAnsi" w:hAnsiTheme="minorHAnsi" w:cs="Arial"/>
          <w:sz w:val="22"/>
          <w:szCs w:val="22"/>
        </w:rPr>
        <w:t xml:space="preserve"> </w:t>
      </w:r>
      <w:r w:rsidR="002E4153">
        <w:rPr>
          <w:rFonts w:asciiTheme="minorHAnsi" w:hAnsiTheme="minorHAnsi" w:cs="Arial"/>
          <w:sz w:val="22"/>
          <w:szCs w:val="22"/>
        </w:rPr>
        <w:t>CHEMOSERVIS-DWORY</w:t>
      </w:r>
      <w:r w:rsidR="001A0FA6" w:rsidRPr="00D13239">
        <w:rPr>
          <w:rFonts w:asciiTheme="minorHAnsi" w:hAnsiTheme="minorHAnsi" w:cs="Arial"/>
          <w:sz w:val="22"/>
          <w:szCs w:val="22"/>
        </w:rPr>
        <w:t>.</w:t>
      </w:r>
    </w:p>
    <w:p w14:paraId="78A0912E" w14:textId="77777777" w:rsidR="00FB18C3" w:rsidRPr="00710F07" w:rsidRDefault="00FB18C3" w:rsidP="002B3E63">
      <w:pPr>
        <w:tabs>
          <w:tab w:val="left" w:pos="0"/>
        </w:tabs>
        <w:spacing w:line="360" w:lineRule="auto"/>
        <w:ind w:firstLine="539"/>
        <w:jc w:val="both"/>
        <w:rPr>
          <w:rFonts w:asciiTheme="minorHAnsi" w:hAnsiTheme="minorHAnsi" w:cs="Arial"/>
          <w:sz w:val="22"/>
          <w:szCs w:val="22"/>
          <w:highlight w:val="lightGray"/>
        </w:rPr>
      </w:pPr>
    </w:p>
    <w:p w14:paraId="42EE8D7E" w14:textId="77777777" w:rsidR="003142B7" w:rsidRPr="00710F07" w:rsidRDefault="003142B7" w:rsidP="00413493">
      <w:pPr>
        <w:tabs>
          <w:tab w:val="left" w:pos="0"/>
        </w:tabs>
        <w:spacing w:line="360" w:lineRule="auto"/>
        <w:jc w:val="both"/>
        <w:rPr>
          <w:rFonts w:ascii="Calibri" w:hAnsi="Calibri" w:cs="Arial"/>
          <w:highlight w:val="lightGray"/>
        </w:rPr>
      </w:pPr>
    </w:p>
    <w:p w14:paraId="54B6F74F" w14:textId="77777777" w:rsidR="0082466C" w:rsidRPr="00360EFC" w:rsidRDefault="0082466C" w:rsidP="005C0C20">
      <w:pPr>
        <w:tabs>
          <w:tab w:val="left" w:pos="0"/>
          <w:tab w:val="left" w:pos="540"/>
        </w:tabs>
        <w:spacing w:after="100" w:afterAutospacing="1"/>
        <w:jc w:val="both"/>
        <w:rPr>
          <w:rFonts w:ascii="Calibri" w:hAnsi="Calibri" w:cs="Arial"/>
          <w:b/>
          <w:color w:val="FF0000"/>
        </w:rPr>
      </w:pPr>
      <w:r w:rsidRPr="00360EFC">
        <w:rPr>
          <w:rFonts w:ascii="Calibri" w:hAnsi="Calibri" w:cs="Arial"/>
        </w:rPr>
        <w:t>1</w:t>
      </w:r>
      <w:r w:rsidR="003535BD" w:rsidRPr="00360EFC">
        <w:rPr>
          <w:rFonts w:ascii="Calibri" w:hAnsi="Calibri" w:cs="Arial"/>
        </w:rPr>
        <w:t>4</w:t>
      </w:r>
      <w:r w:rsidRPr="00360EFC">
        <w:rPr>
          <w:rFonts w:ascii="Calibri" w:hAnsi="Calibri" w:cs="Arial"/>
        </w:rPr>
        <w:t>.</w:t>
      </w:r>
      <w:r w:rsidRPr="00360EFC">
        <w:rPr>
          <w:rFonts w:ascii="Calibri" w:hAnsi="Calibri" w:cs="Arial"/>
          <w:b/>
        </w:rPr>
        <w:tab/>
        <w:t xml:space="preserve">INFORMACJE DOTYCZĄCE EMISJI, WYKUPU I SPŁATY </w:t>
      </w:r>
      <w:r w:rsidR="00032AF9" w:rsidRPr="00360EFC">
        <w:rPr>
          <w:rFonts w:ascii="Calibri" w:hAnsi="Calibri" w:cs="Arial"/>
          <w:b/>
        </w:rPr>
        <w:t>D</w:t>
      </w:r>
      <w:r w:rsidRPr="00360EFC">
        <w:rPr>
          <w:rFonts w:ascii="Calibri" w:hAnsi="Calibri" w:cs="Arial"/>
          <w:b/>
        </w:rPr>
        <w:t xml:space="preserve">ŁUŻNYCH I KAPITAŁOWYCH </w:t>
      </w:r>
      <w:r w:rsidRPr="00360EFC">
        <w:rPr>
          <w:rFonts w:ascii="Calibri" w:hAnsi="Calibri" w:cs="Arial"/>
          <w:b/>
        </w:rPr>
        <w:tab/>
        <w:t>PAPIERÓW WARTOŚCIOWYCH</w:t>
      </w:r>
      <w:r w:rsidR="00005C8F" w:rsidRPr="00360EFC">
        <w:rPr>
          <w:rFonts w:ascii="Calibri" w:hAnsi="Calibri" w:cs="Arial"/>
          <w:b/>
        </w:rPr>
        <w:t xml:space="preserve"> EMITENTA</w:t>
      </w:r>
      <w:r w:rsidRPr="00360EFC">
        <w:rPr>
          <w:rFonts w:ascii="Calibri" w:hAnsi="Calibri" w:cs="Arial"/>
          <w:b/>
        </w:rPr>
        <w:t>.</w:t>
      </w:r>
    </w:p>
    <w:p w14:paraId="0A3A780E" w14:textId="77777777" w:rsidR="00710F07" w:rsidRPr="00360EFC" w:rsidRDefault="00710F07" w:rsidP="00710F07">
      <w:pPr>
        <w:spacing w:line="360" w:lineRule="auto"/>
        <w:jc w:val="both"/>
        <w:rPr>
          <w:rFonts w:asciiTheme="minorHAnsi" w:eastAsia="Calibri" w:hAnsiTheme="minorHAnsi"/>
          <w:color w:val="000000"/>
          <w:sz w:val="22"/>
          <w:szCs w:val="22"/>
        </w:rPr>
      </w:pPr>
      <w:r w:rsidRPr="00360EFC">
        <w:rPr>
          <w:rFonts w:asciiTheme="minorHAnsi" w:hAnsiTheme="minorHAnsi"/>
          <w:sz w:val="22"/>
          <w:szCs w:val="22"/>
        </w:rPr>
        <w:t xml:space="preserve">W dniu 30 marca 2016 roku, Spółka </w:t>
      </w:r>
      <w:r w:rsidR="002E4153">
        <w:rPr>
          <w:rFonts w:asciiTheme="minorHAnsi" w:hAnsiTheme="minorHAnsi"/>
          <w:sz w:val="22"/>
          <w:szCs w:val="22"/>
        </w:rPr>
        <w:t>CHEMOSERVIS-DWORY</w:t>
      </w:r>
      <w:r w:rsidRPr="00360EFC">
        <w:rPr>
          <w:rFonts w:asciiTheme="minorHAnsi" w:hAnsiTheme="minorHAnsi"/>
          <w:sz w:val="22"/>
          <w:szCs w:val="22"/>
        </w:rPr>
        <w:t xml:space="preserve"> S.A. dokonała emisji 27.000 obligacji zwykłych na </w:t>
      </w:r>
      <w:r w:rsidRPr="00360EFC">
        <w:rPr>
          <w:rFonts w:asciiTheme="minorHAnsi" w:eastAsia="Calibri" w:hAnsiTheme="minorHAnsi"/>
          <w:color w:val="000000"/>
          <w:sz w:val="22"/>
          <w:szCs w:val="22"/>
        </w:rPr>
        <w:t xml:space="preserve">okaziciela serii B, zabezpieczonych, o wartości nominalnej 1.000,00 zł każda i o łącznej wartości nominalnej 27.000.000,00 złotych. Cena emisyjna jest równa wartości nominalnej Obligacji. </w:t>
      </w:r>
    </w:p>
    <w:p w14:paraId="001C6936" w14:textId="77777777" w:rsidR="00710F07" w:rsidRDefault="00710F07" w:rsidP="00710F07">
      <w:pPr>
        <w:pStyle w:val="BSWWListaN2"/>
        <w:widowControl w:val="0"/>
        <w:numPr>
          <w:ilvl w:val="0"/>
          <w:numId w:val="0"/>
        </w:numPr>
        <w:spacing w:before="0" w:after="0" w:line="360" w:lineRule="auto"/>
        <w:rPr>
          <w:rFonts w:asciiTheme="minorHAnsi" w:hAnsiTheme="minorHAnsi" w:cs="Times New Roman"/>
          <w:color w:val="000000"/>
          <w:sz w:val="22"/>
        </w:rPr>
      </w:pPr>
      <w:r w:rsidRPr="00360EFC">
        <w:rPr>
          <w:rFonts w:asciiTheme="minorHAnsi" w:hAnsiTheme="minorHAnsi" w:cs="Times New Roman"/>
          <w:color w:val="000000"/>
          <w:sz w:val="22"/>
        </w:rPr>
        <w:t>Środki pozyskane z emisji Obligacji Emitent przeznaczy:</w:t>
      </w:r>
    </w:p>
    <w:p w14:paraId="5CFCF1F7" w14:textId="77777777" w:rsidR="00360EFC" w:rsidRPr="00360EFC" w:rsidRDefault="00360EFC" w:rsidP="00710F07">
      <w:pPr>
        <w:pStyle w:val="BSWWListaN2"/>
        <w:widowControl w:val="0"/>
        <w:numPr>
          <w:ilvl w:val="0"/>
          <w:numId w:val="0"/>
        </w:numPr>
        <w:spacing w:before="0" w:after="0" w:line="360" w:lineRule="auto"/>
        <w:rPr>
          <w:rFonts w:asciiTheme="minorHAnsi" w:hAnsiTheme="minorHAnsi" w:cs="Times New Roman"/>
          <w:color w:val="000000"/>
          <w:sz w:val="22"/>
        </w:rPr>
      </w:pPr>
    </w:p>
    <w:p w14:paraId="6EDB7728" w14:textId="77777777" w:rsidR="00710F07" w:rsidRPr="00360EFC" w:rsidRDefault="00710F07" w:rsidP="00D73705">
      <w:pPr>
        <w:pStyle w:val="BSWWListaN2"/>
        <w:widowControl w:val="0"/>
        <w:numPr>
          <w:ilvl w:val="0"/>
          <w:numId w:val="17"/>
        </w:numPr>
        <w:spacing w:before="0" w:after="0" w:line="360" w:lineRule="auto"/>
        <w:ind w:left="1134" w:hanging="567"/>
        <w:rPr>
          <w:rFonts w:asciiTheme="minorHAnsi" w:hAnsiTheme="minorHAnsi" w:cs="Times New Roman"/>
          <w:color w:val="000000"/>
          <w:sz w:val="22"/>
        </w:rPr>
      </w:pPr>
      <w:r w:rsidRPr="00360EFC">
        <w:rPr>
          <w:rFonts w:asciiTheme="minorHAnsi" w:hAnsiTheme="minorHAnsi" w:cs="Times New Roman"/>
          <w:color w:val="000000"/>
          <w:sz w:val="22"/>
        </w:rPr>
        <w:t xml:space="preserve">10.500.000,00 (dziesięć milionów pięćset tysięcy) złotych – na nabycie w celu umorzenia 10.500 sztuk obligacji serii A wyemitowanych przez Emitenta, </w:t>
      </w:r>
    </w:p>
    <w:p w14:paraId="74772D5E" w14:textId="77777777" w:rsidR="00710F07" w:rsidRPr="00360EFC" w:rsidRDefault="00710F07" w:rsidP="00D73705">
      <w:pPr>
        <w:pStyle w:val="BSWWListaN2"/>
        <w:widowControl w:val="0"/>
        <w:numPr>
          <w:ilvl w:val="0"/>
          <w:numId w:val="17"/>
        </w:numPr>
        <w:spacing w:before="0" w:after="0" w:line="360" w:lineRule="auto"/>
        <w:ind w:left="1134" w:hanging="567"/>
        <w:rPr>
          <w:rFonts w:asciiTheme="minorHAnsi" w:hAnsiTheme="minorHAnsi" w:cs="Times New Roman"/>
          <w:color w:val="000000"/>
          <w:sz w:val="22"/>
        </w:rPr>
      </w:pPr>
      <w:r w:rsidRPr="00360EFC">
        <w:rPr>
          <w:rFonts w:asciiTheme="minorHAnsi" w:hAnsiTheme="minorHAnsi" w:cs="Times New Roman"/>
          <w:color w:val="000000"/>
          <w:sz w:val="22"/>
        </w:rPr>
        <w:t>kwotę 4.000.000,00 (cztery miliony) zł - na bieżącą działalność operacyjną Emitenta,</w:t>
      </w:r>
    </w:p>
    <w:p w14:paraId="1B146876" w14:textId="77777777" w:rsidR="00710F07" w:rsidRDefault="00710F07" w:rsidP="00D73705">
      <w:pPr>
        <w:pStyle w:val="BSWWListaN2"/>
        <w:widowControl w:val="0"/>
        <w:numPr>
          <w:ilvl w:val="0"/>
          <w:numId w:val="17"/>
        </w:numPr>
        <w:spacing w:before="0" w:after="0" w:line="360" w:lineRule="auto"/>
        <w:ind w:left="1134" w:hanging="567"/>
        <w:rPr>
          <w:rFonts w:asciiTheme="minorHAnsi" w:hAnsiTheme="minorHAnsi" w:cs="Times New Roman"/>
          <w:color w:val="000000"/>
          <w:sz w:val="22"/>
        </w:rPr>
      </w:pPr>
      <w:r w:rsidRPr="00360EFC">
        <w:rPr>
          <w:rFonts w:asciiTheme="minorHAnsi" w:hAnsiTheme="minorHAnsi" w:cs="Times New Roman"/>
          <w:color w:val="000000"/>
          <w:sz w:val="22"/>
        </w:rPr>
        <w:t xml:space="preserve">kwotę 12.500.000,00 (dwanaście milionów pięćset tysięcy) zł – na nabycie 9.812.000 (dziewięć milionów osiemset dwanaście tysięcy) sztuk akcji w kapitale zakładowym </w:t>
      </w:r>
      <w:proofErr w:type="spellStart"/>
      <w:r w:rsidRPr="00360EFC">
        <w:rPr>
          <w:rFonts w:asciiTheme="minorHAnsi" w:hAnsiTheme="minorHAnsi" w:cs="Times New Roman"/>
          <w:color w:val="000000"/>
          <w:sz w:val="22"/>
        </w:rPr>
        <w:t>Bumech</w:t>
      </w:r>
      <w:proofErr w:type="spellEnd"/>
      <w:r w:rsidRPr="00360EFC">
        <w:rPr>
          <w:rFonts w:asciiTheme="minorHAnsi" w:hAnsiTheme="minorHAnsi" w:cs="Times New Roman"/>
          <w:color w:val="000000"/>
          <w:sz w:val="22"/>
        </w:rPr>
        <w:t xml:space="preserve"> S.A. z siedzibą w Katowicach oraz 1.500 sztuk obligacji serii A1 wyemitowanych przez </w:t>
      </w:r>
      <w:proofErr w:type="spellStart"/>
      <w:r w:rsidRPr="00360EFC">
        <w:rPr>
          <w:rFonts w:asciiTheme="minorHAnsi" w:hAnsiTheme="minorHAnsi" w:cs="Times New Roman"/>
          <w:color w:val="000000"/>
          <w:sz w:val="22"/>
        </w:rPr>
        <w:t>Bumech</w:t>
      </w:r>
      <w:proofErr w:type="spellEnd"/>
      <w:r w:rsidRPr="00360EFC">
        <w:rPr>
          <w:rFonts w:asciiTheme="minorHAnsi" w:hAnsiTheme="minorHAnsi" w:cs="Times New Roman"/>
          <w:color w:val="000000"/>
          <w:sz w:val="22"/>
        </w:rPr>
        <w:t xml:space="preserve"> S.A. z siedzibą w Katowicach.</w:t>
      </w:r>
    </w:p>
    <w:p w14:paraId="78F82D56" w14:textId="77777777" w:rsidR="00360EFC" w:rsidRPr="00360EFC" w:rsidRDefault="00360EFC" w:rsidP="00360EFC">
      <w:pPr>
        <w:pStyle w:val="BSWWListaN2"/>
        <w:widowControl w:val="0"/>
        <w:numPr>
          <w:ilvl w:val="0"/>
          <w:numId w:val="0"/>
        </w:numPr>
        <w:spacing w:before="0" w:after="0" w:line="360" w:lineRule="auto"/>
        <w:ind w:left="1134"/>
        <w:rPr>
          <w:rFonts w:asciiTheme="minorHAnsi" w:hAnsiTheme="minorHAnsi" w:cs="Times New Roman"/>
          <w:color w:val="000000"/>
          <w:sz w:val="22"/>
        </w:rPr>
      </w:pPr>
    </w:p>
    <w:p w14:paraId="63F03E77" w14:textId="77777777" w:rsidR="00710F07" w:rsidRPr="00360EFC" w:rsidRDefault="00710F07" w:rsidP="00710F07">
      <w:pPr>
        <w:spacing w:line="360" w:lineRule="auto"/>
        <w:jc w:val="both"/>
        <w:rPr>
          <w:rFonts w:asciiTheme="minorHAnsi" w:eastAsia="Calibri" w:hAnsiTheme="minorHAnsi"/>
          <w:color w:val="000000"/>
          <w:sz w:val="22"/>
          <w:szCs w:val="22"/>
        </w:rPr>
      </w:pPr>
      <w:r w:rsidRPr="00360EFC">
        <w:rPr>
          <w:rFonts w:asciiTheme="minorHAnsi" w:eastAsia="Calibri" w:hAnsiTheme="minorHAnsi"/>
          <w:color w:val="000000"/>
          <w:sz w:val="22"/>
          <w:szCs w:val="22"/>
        </w:rPr>
        <w:t xml:space="preserve">Obligacje są oprocentowane począwszy od dnia 31 marca 2016 r. według rocznej stopy procentowej w wysokości 7% z możliwością podwyższenia stopy procentowej o 0,5 </w:t>
      </w:r>
      <w:proofErr w:type="spellStart"/>
      <w:r w:rsidRPr="00360EFC">
        <w:rPr>
          <w:rFonts w:asciiTheme="minorHAnsi" w:eastAsia="Calibri" w:hAnsiTheme="minorHAnsi"/>
          <w:color w:val="000000"/>
          <w:sz w:val="22"/>
          <w:szCs w:val="22"/>
        </w:rPr>
        <w:t>pp</w:t>
      </w:r>
      <w:proofErr w:type="spellEnd"/>
      <w:r w:rsidRPr="00360EFC">
        <w:rPr>
          <w:rFonts w:asciiTheme="minorHAnsi" w:eastAsia="Calibri" w:hAnsiTheme="minorHAnsi"/>
          <w:color w:val="000000"/>
          <w:sz w:val="22"/>
          <w:szCs w:val="22"/>
        </w:rPr>
        <w:t xml:space="preserve"> na zasadach określonych </w:t>
      </w:r>
      <w:r w:rsidR="009C77A3">
        <w:rPr>
          <w:rFonts w:asciiTheme="minorHAnsi" w:eastAsia="Calibri" w:hAnsiTheme="minorHAnsi"/>
          <w:color w:val="000000"/>
          <w:sz w:val="22"/>
          <w:szCs w:val="22"/>
        </w:rPr>
        <w:br/>
      </w:r>
      <w:r w:rsidRPr="00360EFC">
        <w:rPr>
          <w:rFonts w:asciiTheme="minorHAnsi" w:eastAsia="Calibri" w:hAnsiTheme="minorHAnsi"/>
          <w:color w:val="000000"/>
          <w:sz w:val="22"/>
          <w:szCs w:val="22"/>
        </w:rPr>
        <w:t>w Warunkach Emisji. Odsetki będą płatne w okresach półrocznych z dołu.</w:t>
      </w:r>
    </w:p>
    <w:p w14:paraId="12994FBF" w14:textId="77777777" w:rsidR="00710F07" w:rsidRDefault="00710F07" w:rsidP="00710F07">
      <w:pPr>
        <w:spacing w:line="360" w:lineRule="auto"/>
        <w:jc w:val="both"/>
        <w:rPr>
          <w:rFonts w:asciiTheme="minorHAnsi" w:eastAsia="Calibri" w:hAnsiTheme="minorHAnsi"/>
          <w:color w:val="000000"/>
          <w:sz w:val="22"/>
          <w:szCs w:val="22"/>
        </w:rPr>
      </w:pPr>
      <w:r w:rsidRPr="00360EFC">
        <w:rPr>
          <w:rFonts w:asciiTheme="minorHAnsi" w:eastAsia="Calibri" w:hAnsiTheme="minorHAnsi"/>
          <w:color w:val="000000"/>
          <w:sz w:val="22"/>
          <w:szCs w:val="22"/>
        </w:rPr>
        <w:t>Termin wykupu Obligacji został określony na dzień 30 marca 2019 roku przy czym Emitentowi przysługuje uprawnienie do żądania wcześniejszego wykupu Obligacji. W takim wypadku Emitent zobowiązany będzie do zapłaty kwoty równej 100,5 % wartości nominalnej każdej Obligacji powiększonej o należne odsetki na datę wykupu Obligacji.</w:t>
      </w:r>
    </w:p>
    <w:p w14:paraId="1E95172C" w14:textId="77777777" w:rsidR="00360EFC" w:rsidRPr="00360EFC" w:rsidRDefault="00360EFC" w:rsidP="00710F07">
      <w:pPr>
        <w:spacing w:line="360" w:lineRule="auto"/>
        <w:jc w:val="both"/>
        <w:rPr>
          <w:rFonts w:asciiTheme="minorHAnsi" w:eastAsia="Calibri" w:hAnsiTheme="minorHAnsi"/>
          <w:color w:val="000000"/>
          <w:sz w:val="22"/>
          <w:szCs w:val="22"/>
        </w:rPr>
      </w:pPr>
    </w:p>
    <w:p w14:paraId="095BAD17" w14:textId="77777777" w:rsidR="001F4E2B" w:rsidRDefault="001F4E2B" w:rsidP="00360EFC">
      <w:pPr>
        <w:spacing w:line="360" w:lineRule="auto"/>
        <w:ind w:firstLine="567"/>
        <w:jc w:val="both"/>
        <w:rPr>
          <w:rFonts w:asciiTheme="minorHAnsi" w:eastAsia="Calibri" w:hAnsiTheme="minorHAnsi"/>
          <w:color w:val="000000"/>
          <w:sz w:val="22"/>
          <w:szCs w:val="22"/>
        </w:rPr>
      </w:pPr>
    </w:p>
    <w:p w14:paraId="58A6C315" w14:textId="77777777" w:rsidR="00710F07" w:rsidRDefault="00710F07" w:rsidP="00360EFC">
      <w:pPr>
        <w:spacing w:line="360" w:lineRule="auto"/>
        <w:ind w:firstLine="567"/>
        <w:jc w:val="both"/>
        <w:rPr>
          <w:rFonts w:asciiTheme="minorHAnsi" w:eastAsia="Calibri" w:hAnsiTheme="minorHAnsi"/>
          <w:color w:val="000000"/>
          <w:sz w:val="22"/>
          <w:szCs w:val="22"/>
        </w:rPr>
      </w:pPr>
      <w:r w:rsidRPr="00360EFC">
        <w:rPr>
          <w:rFonts w:asciiTheme="minorHAnsi" w:eastAsia="Calibri" w:hAnsiTheme="minorHAnsi"/>
          <w:color w:val="000000"/>
          <w:sz w:val="22"/>
          <w:szCs w:val="22"/>
        </w:rPr>
        <w:lastRenderedPageBreak/>
        <w:t>Obligacje są obligacjami zabezpieczonymi w następujący sposób:</w:t>
      </w:r>
    </w:p>
    <w:p w14:paraId="1096DD24" w14:textId="77777777" w:rsidR="00360EFC" w:rsidRPr="00360EFC" w:rsidRDefault="00360EFC" w:rsidP="00710F07">
      <w:pPr>
        <w:spacing w:line="360" w:lineRule="auto"/>
        <w:jc w:val="both"/>
        <w:rPr>
          <w:rFonts w:asciiTheme="minorHAnsi" w:eastAsia="Calibri" w:hAnsiTheme="minorHAnsi"/>
          <w:color w:val="000000"/>
          <w:sz w:val="22"/>
          <w:szCs w:val="22"/>
        </w:rPr>
      </w:pPr>
    </w:p>
    <w:p w14:paraId="06AE5FC2"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hipoteką umowną łączną ustanowioną do kwoty 40.500.000 zł., ustanowioną na rzecz Administratora Zabezpieczeń, pełniącego funkcję administratora hipoteki w rozumieniu art. 31 ust. 4 </w:t>
      </w:r>
      <w:proofErr w:type="spellStart"/>
      <w:r w:rsidRPr="00360EFC">
        <w:rPr>
          <w:rFonts w:asciiTheme="minorHAnsi" w:hAnsiTheme="minorHAnsi"/>
          <w:sz w:val="22"/>
          <w:szCs w:val="22"/>
        </w:rPr>
        <w:t>Ustawyo</w:t>
      </w:r>
      <w:proofErr w:type="spellEnd"/>
      <w:r w:rsidRPr="00360EFC">
        <w:rPr>
          <w:rFonts w:asciiTheme="minorHAnsi" w:hAnsiTheme="minorHAnsi"/>
          <w:sz w:val="22"/>
          <w:szCs w:val="22"/>
        </w:rPr>
        <w:t xml:space="preserve"> Obligacjach; na nieruchomościach, dla których Sąd Rejonowy </w:t>
      </w:r>
      <w:r w:rsidR="00032BDF">
        <w:rPr>
          <w:rFonts w:asciiTheme="minorHAnsi" w:hAnsiTheme="minorHAnsi"/>
          <w:sz w:val="22"/>
          <w:szCs w:val="22"/>
        </w:rPr>
        <w:br/>
      </w:r>
      <w:r w:rsidRPr="00360EFC">
        <w:rPr>
          <w:rFonts w:asciiTheme="minorHAnsi" w:hAnsiTheme="minorHAnsi"/>
          <w:sz w:val="22"/>
          <w:szCs w:val="22"/>
        </w:rPr>
        <w:t xml:space="preserve">w Oświęcimiu V Wydział Ksiąg Wieczystych prowadzi księgi wieczyste o numerach: KR1E/00060659/6, KR1E/00047981/5, KR1E/00059759/7 oraz na nieruchomości dla której Sąd Rejonowy w Bydgoszczy X Wydział Ksiąg Wieczystych prowadzi księgę wieczystą o numerze BY1B/00199181/0. Przedmiotowe nieruchomości należą do podmiotów wchodzących w skład Grupy Kapitałowej Emitenta tj. Chemoservis –Dwory S.A., MD-PROECO Sp. z o.o. Dla przedmiotowych nieruchomości zostały sporządzone operaty szacunkowe, zgodnie z którymi ich wartość została określona na łączną kwotę </w:t>
      </w:r>
      <w:r w:rsidR="00BA0312">
        <w:rPr>
          <w:rFonts w:asciiTheme="minorHAnsi" w:hAnsiTheme="minorHAnsi"/>
          <w:sz w:val="22"/>
          <w:szCs w:val="22"/>
        </w:rPr>
        <w:br/>
      </w:r>
      <w:r w:rsidRPr="00360EFC">
        <w:rPr>
          <w:rFonts w:asciiTheme="minorHAnsi" w:hAnsiTheme="minorHAnsi"/>
          <w:sz w:val="22"/>
          <w:szCs w:val="22"/>
        </w:rPr>
        <w:t>w wysokości – 16.612.224,00 zł;</w:t>
      </w:r>
    </w:p>
    <w:p w14:paraId="6A9C595C" w14:textId="1D0C056D"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poręczeniem udzielonym przez każdego z poręczycieli na rzecz Administratora Zabezpieczeń do kwoty 40.500.000 zł. Poręczycielami są następujące podmioty: (i) Zakład Energetyczny ZEN Sp. z o.o. zarejestrowany pod numerem KRS 0000077295 </w:t>
      </w:r>
      <w:r w:rsidR="008A7A53">
        <w:rPr>
          <w:rFonts w:asciiTheme="minorHAnsi" w:hAnsiTheme="minorHAnsi"/>
          <w:sz w:val="22"/>
          <w:szCs w:val="22"/>
        </w:rPr>
        <w:br/>
      </w:r>
      <w:r w:rsidRPr="00360EFC">
        <w:rPr>
          <w:rFonts w:asciiTheme="minorHAnsi" w:hAnsiTheme="minorHAnsi"/>
          <w:sz w:val="22"/>
          <w:szCs w:val="22"/>
        </w:rPr>
        <w:t>(„ZE ZEN”), (ii) K-</w:t>
      </w:r>
      <w:proofErr w:type="spellStart"/>
      <w:r w:rsidRPr="00360EFC">
        <w:rPr>
          <w:rFonts w:asciiTheme="minorHAnsi" w:hAnsiTheme="minorHAnsi"/>
          <w:sz w:val="22"/>
          <w:szCs w:val="22"/>
        </w:rPr>
        <w:t>Protos</w:t>
      </w:r>
      <w:proofErr w:type="spellEnd"/>
      <w:r w:rsidRPr="00360EFC">
        <w:rPr>
          <w:rFonts w:asciiTheme="minorHAnsi" w:hAnsiTheme="minorHAnsi"/>
          <w:sz w:val="22"/>
          <w:szCs w:val="22"/>
        </w:rPr>
        <w:t xml:space="preserve"> </w:t>
      </w:r>
      <w:proofErr w:type="spellStart"/>
      <w:r w:rsidRPr="00360EFC">
        <w:rPr>
          <w:rFonts w:asciiTheme="minorHAnsi" w:hAnsiTheme="minorHAnsi"/>
          <w:sz w:val="22"/>
          <w:szCs w:val="22"/>
        </w:rPr>
        <w:t>a.s</w:t>
      </w:r>
      <w:proofErr w:type="spellEnd"/>
      <w:r w:rsidRPr="00360EFC">
        <w:rPr>
          <w:rFonts w:asciiTheme="minorHAnsi" w:hAnsiTheme="minorHAnsi"/>
          <w:sz w:val="22"/>
          <w:szCs w:val="22"/>
        </w:rPr>
        <w:t>. zarejestrowany w rejestrze handlowym prowadzonym przez Sąd Miejski w Pradze, sekcja B, numer 4999 („K-</w:t>
      </w:r>
      <w:proofErr w:type="spellStart"/>
      <w:r w:rsidRPr="00360EFC">
        <w:rPr>
          <w:rFonts w:asciiTheme="minorHAnsi" w:hAnsiTheme="minorHAnsi"/>
          <w:sz w:val="22"/>
          <w:szCs w:val="22"/>
        </w:rPr>
        <w:t>Protos</w:t>
      </w:r>
      <w:proofErr w:type="spellEnd"/>
      <w:r w:rsidRPr="00360EFC">
        <w:rPr>
          <w:rFonts w:asciiTheme="minorHAnsi" w:hAnsiTheme="minorHAnsi"/>
          <w:sz w:val="22"/>
          <w:szCs w:val="22"/>
        </w:rPr>
        <w:t xml:space="preserve">”), (iii) </w:t>
      </w:r>
      <w:proofErr w:type="spellStart"/>
      <w:r w:rsidRPr="00360EFC">
        <w:rPr>
          <w:rFonts w:asciiTheme="minorHAnsi" w:hAnsiTheme="minorHAnsi"/>
          <w:sz w:val="22"/>
          <w:szCs w:val="22"/>
        </w:rPr>
        <w:t>Balticservis</w:t>
      </w:r>
      <w:proofErr w:type="spellEnd"/>
      <w:r w:rsidRPr="00360EFC">
        <w:rPr>
          <w:rFonts w:asciiTheme="minorHAnsi" w:hAnsiTheme="minorHAnsi"/>
          <w:sz w:val="22"/>
          <w:szCs w:val="22"/>
        </w:rPr>
        <w:t xml:space="preserve"> Sp. z o.o. zarejestrowana pod numerem KRS 0000532434 („</w:t>
      </w:r>
      <w:proofErr w:type="spellStart"/>
      <w:r w:rsidRPr="00360EFC">
        <w:rPr>
          <w:rFonts w:asciiTheme="minorHAnsi" w:hAnsiTheme="minorHAnsi"/>
          <w:sz w:val="22"/>
          <w:szCs w:val="22"/>
        </w:rPr>
        <w:t>Balticservis</w:t>
      </w:r>
      <w:proofErr w:type="spellEnd"/>
      <w:r w:rsidRPr="00360EFC">
        <w:rPr>
          <w:rFonts w:asciiTheme="minorHAnsi" w:hAnsiTheme="minorHAnsi"/>
          <w:sz w:val="22"/>
          <w:szCs w:val="22"/>
        </w:rPr>
        <w:t xml:space="preserve">”), (iv) „MD-PROECO” </w:t>
      </w:r>
      <w:r w:rsidR="001F4E2B">
        <w:rPr>
          <w:rFonts w:asciiTheme="minorHAnsi" w:hAnsiTheme="minorHAnsi"/>
          <w:sz w:val="22"/>
          <w:szCs w:val="22"/>
        </w:rPr>
        <w:br/>
      </w:r>
      <w:r w:rsidRPr="00360EFC">
        <w:rPr>
          <w:rFonts w:asciiTheme="minorHAnsi" w:hAnsiTheme="minorHAnsi"/>
          <w:sz w:val="22"/>
          <w:szCs w:val="22"/>
        </w:rPr>
        <w:t>Sp. z o.o. zarejestrowana pod numerem KRS 0000078142 („MD-PROECO”) oraz przez Pana Michała Dębskiego;</w:t>
      </w:r>
    </w:p>
    <w:p w14:paraId="0B1D0DFE" w14:textId="7138F7AB"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zastawem rejestrowym ustanowionym przez Emitenta na rzecz Administratora Zabezpieczeń na wierzytelnościach Emitenta o zmiennym składzie składający się </w:t>
      </w:r>
      <w:r w:rsidR="001F4E2B">
        <w:rPr>
          <w:rFonts w:asciiTheme="minorHAnsi" w:hAnsiTheme="minorHAnsi"/>
          <w:sz w:val="22"/>
          <w:szCs w:val="22"/>
        </w:rPr>
        <w:br/>
      </w:r>
      <w:r w:rsidRPr="00360EFC">
        <w:rPr>
          <w:rFonts w:asciiTheme="minorHAnsi" w:hAnsiTheme="minorHAnsi"/>
          <w:sz w:val="22"/>
          <w:szCs w:val="22"/>
        </w:rPr>
        <w:t>z wierzytelności aktualnych i przyszłych przysługujących każdorazowo Emitentowi z tytułu dostaw towarów i usług, do najwyższej sumy zabezpieczenia równej 40.500.000 zł, z najwyższym pierwszeństwem zaspokojenia, wartość przedmiotu zastawu została oszacowana przez uprawniony podmiot na kwotę – 9.565.763,30 zł;</w:t>
      </w:r>
    </w:p>
    <w:p w14:paraId="74AE8E81"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zastawem rejestrowym ustanowionym przez Emitenta na rzecz Administratora Zabezpieczeń na 5.550 udziałach spółki ZE ZEN, do najwyższej sumy zabezpieczenia równej 40.500.000 zł, z najwyższym pierwszeństwem zaspokojenia, wartość przedmiotu zastawu została oszacowana przez uprawniony podmiot na kwotę – 6.522.225,52 zł;</w:t>
      </w:r>
    </w:p>
    <w:p w14:paraId="679DE4C5"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zastawem rejestrowym ustanowionym przez Emitenta na rzecz Administratora Zabezpieczeń na 18.333 udziałach spółki MD-PROECO, do najwyższej sumy </w:t>
      </w:r>
      <w:r w:rsidRPr="00360EFC">
        <w:rPr>
          <w:rFonts w:asciiTheme="minorHAnsi" w:hAnsiTheme="minorHAnsi"/>
          <w:sz w:val="22"/>
          <w:szCs w:val="22"/>
        </w:rPr>
        <w:lastRenderedPageBreak/>
        <w:t>zabezpieczenia równej 40.500.000 zł, z najwyższym pierwszeństwem zaspokojenia, wartość przedmiotu zastawu została oszacowana przez uprawniony podmiot na kwotę – 6.239.274,22 zł;</w:t>
      </w:r>
    </w:p>
    <w:p w14:paraId="2F5E47CA"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zastawem zwykłym ustanowionym według prawa czeskiego przez Emitenta na rzecz Administratora Zabezpieczeń na 19.710 akcjach imiennych spółki K-</w:t>
      </w:r>
      <w:proofErr w:type="spellStart"/>
      <w:r w:rsidRPr="00360EFC">
        <w:rPr>
          <w:rFonts w:asciiTheme="minorHAnsi" w:hAnsiTheme="minorHAnsi"/>
          <w:sz w:val="22"/>
          <w:szCs w:val="22"/>
        </w:rPr>
        <w:t>Protos</w:t>
      </w:r>
      <w:proofErr w:type="spellEnd"/>
      <w:r w:rsidRPr="00360EFC">
        <w:rPr>
          <w:rFonts w:asciiTheme="minorHAnsi" w:hAnsiTheme="minorHAnsi"/>
          <w:sz w:val="22"/>
          <w:szCs w:val="22"/>
        </w:rPr>
        <w:t>, stanowiących 100% udziału w kapitale zakładowym i głosach tej spółki, z najwyższym pierwszeństwem zaspokojenia do kwoty 40.500.000 zł lub równowartości tej kwoty w EUR lub CZK; wartość przedmiotu zastawu została oszacowana przez uprawniony podmiot na kwotę – 12.450.099,60 zł;</w:t>
      </w:r>
    </w:p>
    <w:p w14:paraId="4EF4CB47"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zastawem rejestrowym ustanowionym przez ZE ZEN, na rzecz Administratora Zabezpieczeń na Mieniu Ruchomym tej spółki, do najwyższej sumy zabezpieczenia równej 40.500.000 zł, z najwyższym pierwszeństwem zaspokojenia; wartość przedmiotu zastawu została oszacowana przez uprawniony podmiot na kwotę – </w:t>
      </w:r>
      <w:r w:rsidRPr="00360EFC">
        <w:rPr>
          <w:rFonts w:asciiTheme="minorHAnsi" w:hAnsiTheme="minorHAnsi"/>
          <w:bCs/>
          <w:sz w:val="22"/>
          <w:szCs w:val="22"/>
        </w:rPr>
        <w:t>29.959.191,08</w:t>
      </w:r>
      <w:r w:rsidRPr="00360EFC">
        <w:rPr>
          <w:rFonts w:asciiTheme="minorHAnsi" w:hAnsiTheme="minorHAnsi"/>
          <w:b/>
          <w:bCs/>
          <w:sz w:val="22"/>
          <w:szCs w:val="22"/>
        </w:rPr>
        <w:t xml:space="preserve"> </w:t>
      </w:r>
      <w:r w:rsidRPr="00360EFC">
        <w:rPr>
          <w:rFonts w:asciiTheme="minorHAnsi" w:hAnsiTheme="minorHAnsi"/>
          <w:sz w:val="22"/>
          <w:szCs w:val="22"/>
        </w:rPr>
        <w:t>zł;</w:t>
      </w:r>
    </w:p>
    <w:p w14:paraId="202733CB"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zastawem rejestrowym ustanowionym przez </w:t>
      </w:r>
      <w:proofErr w:type="spellStart"/>
      <w:r w:rsidRPr="00360EFC">
        <w:rPr>
          <w:rFonts w:asciiTheme="minorHAnsi" w:hAnsiTheme="minorHAnsi"/>
          <w:sz w:val="22"/>
          <w:szCs w:val="22"/>
        </w:rPr>
        <w:t>Balticservis</w:t>
      </w:r>
      <w:proofErr w:type="spellEnd"/>
      <w:r w:rsidRPr="00360EFC">
        <w:rPr>
          <w:rFonts w:asciiTheme="minorHAnsi" w:hAnsiTheme="minorHAnsi"/>
          <w:sz w:val="22"/>
          <w:szCs w:val="22"/>
        </w:rPr>
        <w:t xml:space="preserve"> na rzecz Administratora Zabezpieczeń na mieniu ruchomym tej spółki, do najwyższej sumy zabezpieczenia do kwoty 40.500.000 zł, z najwyższym pierwszeństwem zaspokojenia, wartość przedmiotu zastawu została oszacowana przez uprawniony podmiot na kwotę – 1.337.039,05 zł;</w:t>
      </w:r>
    </w:p>
    <w:p w14:paraId="1AFAB3C9"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zastawem rejestrowym ustanowionym przez MD-PROECO na rzecz Administratora Zabezpieczeń na środkach trwałych tej spółki, do najwyższej sumy zabezpieczenia do kwoty 40.500.000 zł, z najwyższym pierwszeństwem zaspokojenia, wartość przedmiotu zastawu została oszacowana przez uprawniony podmiot na kwotę – </w:t>
      </w:r>
      <w:r w:rsidRPr="00360EFC">
        <w:rPr>
          <w:rFonts w:asciiTheme="minorHAnsi" w:hAnsiTheme="minorHAnsi"/>
          <w:bCs/>
          <w:sz w:val="22"/>
          <w:szCs w:val="22"/>
        </w:rPr>
        <w:t>9.514.456,73</w:t>
      </w:r>
      <w:r w:rsidRPr="00360EFC">
        <w:rPr>
          <w:rFonts w:asciiTheme="minorHAnsi" w:hAnsiTheme="minorHAnsi"/>
          <w:sz w:val="22"/>
          <w:szCs w:val="22"/>
        </w:rPr>
        <w:t xml:space="preserve"> zł;</w:t>
      </w:r>
    </w:p>
    <w:p w14:paraId="1ECFF2F9"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 xml:space="preserve">zastawem rejestrowym ustanowionym przez MD-PROECO na rzecz Administratora Zabezpieczeń na mieniu ruchomym tej spółki, do najwyższej sumy zabezpieczenia do kwoty 40.500.000 zł, z najwyższym pierwszeństwem zaspokojenia, wartość przedmiotu zastawu została oszacowana przez uprawniony podmiot na kwotę – </w:t>
      </w:r>
      <w:r w:rsidRPr="00360EFC">
        <w:rPr>
          <w:rFonts w:asciiTheme="minorHAnsi" w:hAnsiTheme="minorHAnsi"/>
          <w:bCs/>
          <w:sz w:val="22"/>
          <w:szCs w:val="22"/>
        </w:rPr>
        <w:t>10.736.041,98</w:t>
      </w:r>
      <w:r w:rsidRPr="00360EFC">
        <w:rPr>
          <w:rFonts w:asciiTheme="minorHAnsi" w:hAnsiTheme="minorHAnsi"/>
          <w:sz w:val="22"/>
          <w:szCs w:val="22"/>
        </w:rPr>
        <w:t xml:space="preserve"> zł;</w:t>
      </w:r>
    </w:p>
    <w:p w14:paraId="2AA902D7"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bookmarkStart w:id="1" w:name="_Ref446609096"/>
      <w:r w:rsidRPr="00360EFC">
        <w:rPr>
          <w:rFonts w:asciiTheme="minorHAnsi" w:hAnsiTheme="minorHAnsi"/>
          <w:sz w:val="22"/>
          <w:szCs w:val="22"/>
        </w:rPr>
        <w:t xml:space="preserve">poprzez zawarcie między </w:t>
      </w:r>
      <w:proofErr w:type="spellStart"/>
      <w:r w:rsidRPr="00360EFC">
        <w:rPr>
          <w:rFonts w:asciiTheme="minorHAnsi" w:hAnsiTheme="minorHAnsi"/>
          <w:sz w:val="22"/>
          <w:szCs w:val="22"/>
        </w:rPr>
        <w:t>Balticservis</w:t>
      </w:r>
      <w:proofErr w:type="spellEnd"/>
      <w:r w:rsidRPr="00360EFC">
        <w:rPr>
          <w:rFonts w:asciiTheme="minorHAnsi" w:hAnsiTheme="minorHAnsi"/>
          <w:sz w:val="22"/>
          <w:szCs w:val="22"/>
        </w:rPr>
        <w:t xml:space="preserve"> a Administratorem Zabezpieczeń umów przelewu wierzytelności pieniężnych przysługujących </w:t>
      </w:r>
      <w:proofErr w:type="spellStart"/>
      <w:r w:rsidRPr="00360EFC">
        <w:rPr>
          <w:rFonts w:asciiTheme="minorHAnsi" w:hAnsiTheme="minorHAnsi"/>
          <w:sz w:val="22"/>
          <w:szCs w:val="22"/>
        </w:rPr>
        <w:t>Balticservis</w:t>
      </w:r>
      <w:proofErr w:type="spellEnd"/>
      <w:r w:rsidRPr="00360EFC">
        <w:rPr>
          <w:rFonts w:asciiTheme="minorHAnsi" w:hAnsiTheme="minorHAnsi"/>
          <w:sz w:val="22"/>
          <w:szCs w:val="22"/>
        </w:rPr>
        <w:t xml:space="preserve"> z tytułu świadczonych usług</w:t>
      </w:r>
      <w:bookmarkEnd w:id="1"/>
      <w:r w:rsidRPr="00360EFC">
        <w:rPr>
          <w:rFonts w:asciiTheme="minorHAnsi" w:hAnsiTheme="minorHAnsi"/>
          <w:sz w:val="22"/>
          <w:szCs w:val="22"/>
        </w:rPr>
        <w:t>;</w:t>
      </w:r>
    </w:p>
    <w:p w14:paraId="30DEB76A" w14:textId="77777777" w:rsidR="00710F07" w:rsidRPr="00360EFC" w:rsidRDefault="00710F07" w:rsidP="00D73705">
      <w:pPr>
        <w:pStyle w:val="Akapitzlist"/>
        <w:numPr>
          <w:ilvl w:val="0"/>
          <w:numId w:val="16"/>
        </w:numPr>
        <w:spacing w:after="200" w:line="360" w:lineRule="auto"/>
        <w:ind w:left="1134" w:hanging="567"/>
        <w:jc w:val="both"/>
        <w:rPr>
          <w:rFonts w:asciiTheme="minorHAnsi" w:hAnsiTheme="minorHAnsi"/>
          <w:color w:val="000000"/>
          <w:sz w:val="22"/>
          <w:szCs w:val="22"/>
        </w:rPr>
      </w:pPr>
      <w:r w:rsidRPr="00360EFC">
        <w:rPr>
          <w:rFonts w:asciiTheme="minorHAnsi" w:hAnsiTheme="minorHAnsi"/>
          <w:sz w:val="22"/>
          <w:szCs w:val="22"/>
        </w:rPr>
        <w:t>poprzez zawarcie między MD-PROECO a Administratorem Zabezpieczeń umów przelewu wierzytelności pieniężnych przysługujących MD-PROECO z tytułu świadczonych usług;</w:t>
      </w:r>
    </w:p>
    <w:p w14:paraId="6B2F3805" w14:textId="77777777" w:rsidR="00710F07" w:rsidRPr="00360EFC" w:rsidRDefault="00710F07" w:rsidP="00D73705">
      <w:pPr>
        <w:pStyle w:val="Akapitzlist"/>
        <w:numPr>
          <w:ilvl w:val="0"/>
          <w:numId w:val="16"/>
        </w:numPr>
        <w:spacing w:after="200" w:line="360" w:lineRule="auto"/>
        <w:ind w:left="1134" w:hanging="567"/>
        <w:jc w:val="both"/>
        <w:rPr>
          <w:rStyle w:val="BSWWDefinicja"/>
          <w:rFonts w:asciiTheme="minorHAnsi" w:hAnsiTheme="minorHAnsi"/>
          <w:sz w:val="22"/>
          <w:szCs w:val="22"/>
        </w:rPr>
      </w:pPr>
      <w:r w:rsidRPr="00360EFC">
        <w:rPr>
          <w:rFonts w:asciiTheme="minorHAnsi" w:hAnsiTheme="minorHAnsi"/>
          <w:sz w:val="22"/>
          <w:szCs w:val="22"/>
        </w:rPr>
        <w:t xml:space="preserve">poprzez złożenie przez Emitenta, na rzecz Administratora Zabezpieczeń, nieodwołalnej oferty sprzedaży wszystkich udziałów spółki MONEA XII sp. z o.o. za cenę określoną na podstawie  wyceny tej spółki sporządzonej przez biegłego wskazanego przez Administratora zastawu, według stanu na dzień przejęcia </w:t>
      </w:r>
      <w:r w:rsidRPr="00360EFC">
        <w:rPr>
          <w:rStyle w:val="BSWWDefinicja"/>
          <w:rFonts w:asciiTheme="minorHAnsi" w:hAnsiTheme="minorHAnsi"/>
          <w:b w:val="0"/>
          <w:sz w:val="22"/>
          <w:szCs w:val="22"/>
        </w:rPr>
        <w:t>kontroli;</w:t>
      </w:r>
    </w:p>
    <w:p w14:paraId="0D8501D8" w14:textId="77777777" w:rsidR="00710F07" w:rsidRPr="00360EFC" w:rsidRDefault="00710F07" w:rsidP="00D73705">
      <w:pPr>
        <w:pStyle w:val="Akapitzlist"/>
        <w:numPr>
          <w:ilvl w:val="0"/>
          <w:numId w:val="16"/>
        </w:numPr>
        <w:spacing w:line="360" w:lineRule="auto"/>
        <w:ind w:left="1134" w:hanging="567"/>
        <w:jc w:val="both"/>
        <w:rPr>
          <w:rFonts w:asciiTheme="minorHAnsi" w:hAnsiTheme="minorHAnsi"/>
          <w:b/>
          <w:color w:val="000000"/>
          <w:sz w:val="22"/>
          <w:szCs w:val="22"/>
        </w:rPr>
      </w:pPr>
      <w:r w:rsidRPr="00360EFC">
        <w:rPr>
          <w:rFonts w:asciiTheme="minorHAnsi" w:hAnsiTheme="minorHAnsi"/>
          <w:sz w:val="22"/>
          <w:szCs w:val="22"/>
        </w:rPr>
        <w:lastRenderedPageBreak/>
        <w:t>poprzez zawarcie między MD-PROECO a Administratorem Zabezpieczeń umowy przelewu wierzytelności przysługujących MD-PROECO</w:t>
      </w:r>
      <w:r w:rsidRPr="00360EFC" w:rsidDel="00170AB0">
        <w:rPr>
          <w:rFonts w:asciiTheme="minorHAnsi" w:hAnsiTheme="minorHAnsi"/>
          <w:sz w:val="22"/>
          <w:szCs w:val="22"/>
        </w:rPr>
        <w:t xml:space="preserve"> </w:t>
      </w:r>
      <w:r w:rsidRPr="00360EFC">
        <w:rPr>
          <w:rFonts w:asciiTheme="minorHAnsi" w:hAnsiTheme="minorHAnsi"/>
          <w:sz w:val="22"/>
          <w:szCs w:val="22"/>
        </w:rPr>
        <w:t>od Infrastruktura Kapuściska S.A. z siedzibą w Bydgoszczy w upadłości likwidacyjnej (zgłoszenie wierzytelności MD-PROECO w sprawie upadłości likwidacyjnej Infrastruktura Kapuściska S.A. z siedzibą w Bydgoszczy prowadzonej przez Sąd Rejonowy w Bydgoszczy XV Wydział Gospodarczy XV GUP 6/14).</w:t>
      </w:r>
    </w:p>
    <w:p w14:paraId="42A46FD8" w14:textId="77777777" w:rsidR="00710F07" w:rsidRPr="00360EFC" w:rsidRDefault="00710F07" w:rsidP="00710F07">
      <w:pPr>
        <w:spacing w:line="360" w:lineRule="auto"/>
        <w:ind w:firstLine="709"/>
        <w:jc w:val="both"/>
        <w:rPr>
          <w:rFonts w:ascii="Calibri" w:hAnsi="Calibri"/>
          <w:sz w:val="22"/>
          <w:szCs w:val="22"/>
        </w:rPr>
      </w:pPr>
    </w:p>
    <w:p w14:paraId="39638A09" w14:textId="77777777" w:rsidR="00710F07" w:rsidRPr="00360EFC" w:rsidRDefault="00710F07" w:rsidP="00710F07">
      <w:pPr>
        <w:spacing w:line="360" w:lineRule="auto"/>
        <w:ind w:firstLine="709"/>
        <w:jc w:val="both"/>
        <w:rPr>
          <w:rFonts w:ascii="Calibri" w:hAnsi="Calibri"/>
          <w:sz w:val="22"/>
          <w:szCs w:val="22"/>
        </w:rPr>
      </w:pPr>
      <w:r w:rsidRPr="00360EFC">
        <w:rPr>
          <w:rFonts w:ascii="Calibri" w:hAnsi="Calibri"/>
          <w:sz w:val="22"/>
          <w:szCs w:val="22"/>
        </w:rPr>
        <w:t xml:space="preserve">W pierwszym kwartale 2015 roku, w dniu 6 marca, Emitent na podstawie Uchwały Zarządu Jednostki Dominującej </w:t>
      </w:r>
      <w:r w:rsidR="002E4153">
        <w:rPr>
          <w:rFonts w:ascii="Calibri" w:hAnsi="Calibri"/>
          <w:sz w:val="22"/>
          <w:szCs w:val="22"/>
        </w:rPr>
        <w:t>CHEMOSERVIS-DWORY</w:t>
      </w:r>
      <w:r w:rsidRPr="00360EFC">
        <w:rPr>
          <w:rFonts w:ascii="Calibri" w:hAnsi="Calibri"/>
          <w:sz w:val="22"/>
          <w:szCs w:val="22"/>
        </w:rPr>
        <w:t xml:space="preserve"> S.A. w sprawie przydziału obligacji w oparciu o przyjęte zapisy na obligacje, przeprowadził emisję trzyletnich obligacji w ilości 15.000 sztuk w łącznej wartości 15 mln zł. Oprocentowanie obligacji zostało ustalone na poziomie WIBOR 6M + 525 punktów bazowych, przy czym odsetki od obligacji wypłacane są w okresach półrocznych. </w:t>
      </w:r>
    </w:p>
    <w:p w14:paraId="3AB34992" w14:textId="77777777" w:rsidR="00710F07" w:rsidRPr="00360EFC" w:rsidRDefault="00710F07" w:rsidP="00710F07">
      <w:pPr>
        <w:spacing w:line="360" w:lineRule="auto"/>
        <w:ind w:firstLine="709"/>
        <w:jc w:val="both"/>
        <w:rPr>
          <w:rFonts w:ascii="Calibri" w:hAnsi="Calibri"/>
          <w:sz w:val="22"/>
          <w:szCs w:val="22"/>
        </w:rPr>
      </w:pPr>
      <w:r w:rsidRPr="00360EFC">
        <w:rPr>
          <w:rFonts w:ascii="Calibri" w:hAnsi="Calibri"/>
          <w:sz w:val="22"/>
          <w:szCs w:val="22"/>
        </w:rPr>
        <w:t xml:space="preserve">W dniu 30 marca 2015 roku Zarząd Krajowego Depozytu Papierów Wartościowych S.A. podjął Uchwałę Nr 193/15 o zarejestrowaniu z dniem 1 kwietnia 2015 roku obligacji serii A w Krajowym Depozycie Papierów Wartościowych. Na podstawie Uchwały Nr 529/2015 Zarządu Giełdy Papierów Wartościowych S.A. w dniu 8 czerwca 2015 roku Zarząd Emitenta postanowił wprowadzić do alternatywnego systemu obrotu na </w:t>
      </w:r>
      <w:proofErr w:type="spellStart"/>
      <w:r w:rsidRPr="00360EFC">
        <w:rPr>
          <w:rFonts w:ascii="Calibri" w:hAnsi="Calibri"/>
          <w:sz w:val="22"/>
          <w:szCs w:val="22"/>
        </w:rPr>
        <w:t>Catalyst</w:t>
      </w:r>
      <w:proofErr w:type="spellEnd"/>
      <w:r w:rsidRPr="00360EFC">
        <w:rPr>
          <w:rFonts w:ascii="Calibri" w:hAnsi="Calibri"/>
          <w:sz w:val="22"/>
          <w:szCs w:val="22"/>
        </w:rPr>
        <w:t xml:space="preserve"> piętnaście tysięcy sztuk obligacji serii A. Jako pierwszy dzień notowań obligacji ustalono dzień 18 czerwca 2015 roku.</w:t>
      </w:r>
    </w:p>
    <w:p w14:paraId="0B1A38C3" w14:textId="77777777" w:rsidR="00710F07" w:rsidRPr="00360EFC" w:rsidRDefault="00710F07" w:rsidP="00710F07">
      <w:pPr>
        <w:autoSpaceDE w:val="0"/>
        <w:autoSpaceDN w:val="0"/>
        <w:adjustRightInd w:val="0"/>
        <w:spacing w:line="360" w:lineRule="auto"/>
        <w:jc w:val="both"/>
        <w:rPr>
          <w:rFonts w:ascii="Calibri" w:hAnsi="Calibri" w:cs="Calibri"/>
          <w:sz w:val="22"/>
          <w:szCs w:val="22"/>
        </w:rPr>
      </w:pPr>
      <w:r w:rsidRPr="00360EFC">
        <w:rPr>
          <w:rFonts w:ascii="Calibri" w:hAnsi="Calibri" w:cs="Calibri"/>
          <w:sz w:val="22"/>
          <w:szCs w:val="22"/>
        </w:rPr>
        <w:t xml:space="preserve">W dniu 15 kwietnia 2016 roku, na podstawie otrzymanych zawiadomień o wymagalności z żądaniem przedwczesnego wykupu, Jednostka Dominująca </w:t>
      </w:r>
      <w:r w:rsidR="002E4153">
        <w:rPr>
          <w:rFonts w:ascii="Calibri" w:hAnsi="Calibri" w:cs="Calibri"/>
          <w:sz w:val="22"/>
          <w:szCs w:val="22"/>
        </w:rPr>
        <w:t>CHEMOSERVIS-DWORY</w:t>
      </w:r>
      <w:r w:rsidRPr="00360EFC">
        <w:rPr>
          <w:rFonts w:ascii="Calibri" w:hAnsi="Calibri" w:cs="Calibri"/>
          <w:sz w:val="22"/>
          <w:szCs w:val="22"/>
        </w:rPr>
        <w:t xml:space="preserve"> S.A. dokonała wykupu obligacji serii A w łącznej liczbie 967 sztuk obligacji serii A wraz z należnymi odsetkami za okres od początku trzeciego okresu odsetkowego do dnia wykupu.  </w:t>
      </w:r>
    </w:p>
    <w:p w14:paraId="080058B3" w14:textId="3182497E" w:rsidR="00710F07" w:rsidRPr="00360EFC" w:rsidRDefault="00710F07" w:rsidP="00710F07">
      <w:pPr>
        <w:spacing w:line="360" w:lineRule="auto"/>
        <w:ind w:firstLine="709"/>
        <w:jc w:val="both"/>
        <w:rPr>
          <w:rFonts w:ascii="Calibri" w:hAnsi="Calibri"/>
          <w:sz w:val="22"/>
          <w:szCs w:val="22"/>
        </w:rPr>
      </w:pPr>
      <w:r w:rsidRPr="00360EFC">
        <w:rPr>
          <w:rFonts w:ascii="Calibri" w:hAnsi="Calibri"/>
          <w:sz w:val="22"/>
          <w:szCs w:val="22"/>
        </w:rPr>
        <w:t>Na dzień publikacji niniejszego raportu w wyniku częściowego umorzenia oraz wcześniejszego wykupu części obligacji stan obligacji serii A wynosi 3.533 sztuk. W dniu 7 czerwca 2016 roku Emitent zgodnie z warunkami emisji obligacji dokonał wcześniejszego wykupu 2.961 sztuk obligacji serii B za kwotę nominalną 2.961 tys. PLN oraz kwoty należnych odsetek w wysokości 38 tys. PLN. W dniu 5 sierpnia 2016 roku Emitent wykupił kolejne 975 sztuk obligacji serii B za cenę nominalną 975 tys. PLN oraz kwotę należnych odsetek w wysokości 25 tys. PLN</w:t>
      </w:r>
    </w:p>
    <w:p w14:paraId="105785ED" w14:textId="77777777" w:rsidR="000A3917" w:rsidRDefault="000A3917" w:rsidP="001C0BB4">
      <w:pPr>
        <w:tabs>
          <w:tab w:val="left" w:pos="567"/>
        </w:tabs>
        <w:ind w:left="567" w:hanging="567"/>
        <w:jc w:val="both"/>
        <w:rPr>
          <w:rFonts w:asciiTheme="minorHAnsi" w:eastAsiaTheme="minorHAnsi" w:hAnsiTheme="minorHAnsi" w:cs="Arial"/>
          <w:lang w:eastAsia="en-US"/>
        </w:rPr>
      </w:pPr>
    </w:p>
    <w:p w14:paraId="08B97FBC" w14:textId="77777777" w:rsidR="001C0BB4" w:rsidRPr="00360EFC" w:rsidRDefault="001C0BB4" w:rsidP="00BA0312">
      <w:pPr>
        <w:tabs>
          <w:tab w:val="left" w:pos="567"/>
        </w:tabs>
        <w:ind w:left="567" w:hanging="567"/>
        <w:jc w:val="both"/>
        <w:rPr>
          <w:rFonts w:asciiTheme="minorHAnsi" w:eastAsiaTheme="minorHAnsi" w:hAnsiTheme="minorHAnsi" w:cs="Arial"/>
          <w:b/>
          <w:lang w:eastAsia="en-US"/>
        </w:rPr>
      </w:pPr>
      <w:r w:rsidRPr="00360EFC">
        <w:rPr>
          <w:rFonts w:asciiTheme="minorHAnsi" w:eastAsiaTheme="minorHAnsi" w:hAnsiTheme="minorHAnsi" w:cs="Arial"/>
          <w:lang w:eastAsia="en-US"/>
        </w:rPr>
        <w:t>15.</w:t>
      </w:r>
      <w:r w:rsidRPr="00360EFC">
        <w:rPr>
          <w:rFonts w:asciiTheme="minorHAnsi" w:eastAsiaTheme="minorHAnsi" w:hAnsiTheme="minorHAnsi" w:cs="Arial"/>
          <w:lang w:eastAsia="en-US"/>
        </w:rPr>
        <w:tab/>
      </w:r>
      <w:r w:rsidRPr="00360EFC">
        <w:rPr>
          <w:rFonts w:asciiTheme="minorHAnsi" w:eastAsiaTheme="minorHAnsi" w:hAnsiTheme="minorHAnsi" w:cs="Arial"/>
          <w:b/>
          <w:lang w:eastAsia="en-US"/>
        </w:rPr>
        <w:t>INFORMACJE DOTYCZĄCE WYPŁACONEJ (LUB ZADEKLAROWANEJ) DYWIDENDY, ŁĄCZNIE I W PRZELICZENIU NA JEDNĄ AKCJĘ, Z PODZIAŁEM NA AK</w:t>
      </w:r>
      <w:r w:rsidR="00BA0312">
        <w:rPr>
          <w:rFonts w:asciiTheme="minorHAnsi" w:eastAsiaTheme="minorHAnsi" w:hAnsiTheme="minorHAnsi" w:cs="Arial"/>
          <w:b/>
          <w:lang w:eastAsia="en-US"/>
        </w:rPr>
        <w:t xml:space="preserve">CJE ZWYKŁE </w:t>
      </w:r>
      <w:r w:rsidR="00BA0312">
        <w:rPr>
          <w:rFonts w:asciiTheme="minorHAnsi" w:eastAsiaTheme="minorHAnsi" w:hAnsiTheme="minorHAnsi" w:cs="Arial"/>
          <w:b/>
          <w:lang w:eastAsia="en-US"/>
        </w:rPr>
        <w:br/>
        <w:t xml:space="preserve">I </w:t>
      </w:r>
      <w:r w:rsidRPr="00360EFC">
        <w:rPr>
          <w:rFonts w:asciiTheme="minorHAnsi" w:eastAsiaTheme="minorHAnsi" w:hAnsiTheme="minorHAnsi" w:cs="Arial"/>
          <w:b/>
          <w:lang w:eastAsia="en-US"/>
        </w:rPr>
        <w:t>UPRZYWILEJOWANE.</w:t>
      </w:r>
    </w:p>
    <w:p w14:paraId="4F661056" w14:textId="77777777" w:rsidR="001C0BB4" w:rsidRPr="001A5C90" w:rsidRDefault="001C0BB4" w:rsidP="001C0BB4">
      <w:pPr>
        <w:tabs>
          <w:tab w:val="left" w:pos="567"/>
        </w:tabs>
        <w:ind w:left="567" w:hanging="567"/>
        <w:jc w:val="both"/>
        <w:rPr>
          <w:rFonts w:asciiTheme="minorHAnsi" w:eastAsiaTheme="minorHAnsi" w:hAnsiTheme="minorHAnsi" w:cs="Arial"/>
          <w:b/>
          <w:highlight w:val="lightGray"/>
          <w:lang w:eastAsia="en-US"/>
        </w:rPr>
      </w:pPr>
    </w:p>
    <w:p w14:paraId="198D8032" w14:textId="77777777" w:rsidR="00874BD5" w:rsidRPr="00945BED" w:rsidRDefault="007E1FB0" w:rsidP="00874BD5">
      <w:pPr>
        <w:tabs>
          <w:tab w:val="left" w:pos="567"/>
        </w:tabs>
        <w:spacing w:line="360" w:lineRule="auto"/>
        <w:jc w:val="both"/>
        <w:rPr>
          <w:rFonts w:asciiTheme="minorHAnsi" w:eastAsiaTheme="minorHAnsi" w:hAnsiTheme="minorHAnsi" w:cs="Arial"/>
          <w:color w:val="FF0000"/>
          <w:sz w:val="22"/>
          <w:szCs w:val="22"/>
          <w:lang w:eastAsia="en-US"/>
        </w:rPr>
      </w:pPr>
      <w:r w:rsidRPr="00945BED">
        <w:rPr>
          <w:rFonts w:asciiTheme="minorHAnsi" w:eastAsiaTheme="minorHAnsi" w:hAnsiTheme="minorHAnsi" w:cstheme="minorHAnsi"/>
          <w:lang w:eastAsia="en-US"/>
        </w:rPr>
        <w:tab/>
      </w:r>
      <w:r w:rsidRPr="00945BED">
        <w:rPr>
          <w:rFonts w:asciiTheme="minorHAnsi" w:eastAsiaTheme="minorHAnsi" w:hAnsiTheme="minorHAnsi" w:cstheme="minorHAnsi"/>
          <w:sz w:val="22"/>
          <w:szCs w:val="22"/>
          <w:lang w:eastAsia="en-US"/>
        </w:rPr>
        <w:t xml:space="preserve">W prezentowanym okresie Jednostka Dominująca </w:t>
      </w:r>
      <w:r w:rsidR="002E4153">
        <w:rPr>
          <w:rFonts w:asciiTheme="minorHAnsi" w:eastAsiaTheme="minorHAnsi" w:hAnsiTheme="minorHAnsi" w:cstheme="minorHAnsi"/>
          <w:sz w:val="22"/>
          <w:szCs w:val="22"/>
          <w:lang w:eastAsia="en-US"/>
        </w:rPr>
        <w:t>CHEMOSERVIS-DWORY</w:t>
      </w:r>
      <w:r w:rsidRPr="00945BED">
        <w:rPr>
          <w:rFonts w:asciiTheme="minorHAnsi" w:eastAsiaTheme="minorHAnsi" w:hAnsiTheme="minorHAnsi" w:cstheme="minorHAnsi"/>
          <w:sz w:val="22"/>
          <w:szCs w:val="22"/>
          <w:lang w:eastAsia="en-US"/>
        </w:rPr>
        <w:t xml:space="preserve"> S.A. nie deklarowała </w:t>
      </w:r>
      <w:r w:rsidR="00360EFC">
        <w:rPr>
          <w:rFonts w:asciiTheme="minorHAnsi" w:eastAsiaTheme="minorHAnsi" w:hAnsiTheme="minorHAnsi" w:cstheme="minorHAnsi"/>
          <w:sz w:val="22"/>
          <w:szCs w:val="22"/>
          <w:lang w:eastAsia="en-US"/>
        </w:rPr>
        <w:br/>
      </w:r>
      <w:r w:rsidRPr="00945BED">
        <w:rPr>
          <w:rFonts w:asciiTheme="minorHAnsi" w:eastAsiaTheme="minorHAnsi" w:hAnsiTheme="minorHAnsi" w:cstheme="minorHAnsi"/>
          <w:sz w:val="22"/>
          <w:szCs w:val="22"/>
          <w:lang w:eastAsia="en-US"/>
        </w:rPr>
        <w:t>i nie wypłacała dywidendy.</w:t>
      </w:r>
      <w:r w:rsidR="00360EFC">
        <w:rPr>
          <w:rFonts w:asciiTheme="minorHAnsi" w:eastAsiaTheme="minorHAnsi" w:hAnsiTheme="minorHAnsi" w:cstheme="minorHAnsi"/>
          <w:sz w:val="22"/>
          <w:szCs w:val="22"/>
          <w:lang w:eastAsia="en-US"/>
        </w:rPr>
        <w:t xml:space="preserve"> </w:t>
      </w:r>
      <w:r w:rsidR="00874BD5" w:rsidRPr="00945BED">
        <w:rPr>
          <w:rFonts w:asciiTheme="minorHAnsi" w:eastAsiaTheme="minorHAnsi" w:hAnsiTheme="minorHAnsi" w:cs="Arial"/>
          <w:sz w:val="22"/>
          <w:szCs w:val="22"/>
          <w:lang w:eastAsia="en-US"/>
        </w:rPr>
        <w:t xml:space="preserve">Zgodnie z uchwałą Zwyczajnego Walnego Zgromadzenia Akcjonariuszy Emitenta z dnia 8 sierpnia 2016 roku, zysk netto za 2015 rok </w:t>
      </w:r>
      <w:r w:rsidR="00874BD5" w:rsidRPr="00945BED">
        <w:rPr>
          <w:rFonts w:ascii="Calibri" w:hAnsi="Calibri" w:cs="Arial"/>
          <w:bCs/>
          <w:sz w:val="22"/>
          <w:szCs w:val="22"/>
        </w:rPr>
        <w:t xml:space="preserve">w wysokości 3.294.352,20 zł został </w:t>
      </w:r>
      <w:r w:rsidR="00874BD5" w:rsidRPr="00945BED">
        <w:rPr>
          <w:rFonts w:ascii="Calibri" w:hAnsi="Calibri" w:cs="Arial"/>
          <w:bCs/>
          <w:sz w:val="22"/>
          <w:szCs w:val="22"/>
        </w:rPr>
        <w:lastRenderedPageBreak/>
        <w:t>przeznaczony na pokrycie straty wynikającej pozostałych całkowitych dochodów w kwocie netto -3.077,45 zł, zaś pozostała część w wysokości 3.291.274,75 zł</w:t>
      </w:r>
      <w:r w:rsidR="00874BD5" w:rsidRPr="00945BED" w:rsidDel="00BD2A18">
        <w:rPr>
          <w:rFonts w:asciiTheme="minorHAnsi" w:eastAsiaTheme="minorHAnsi" w:hAnsiTheme="minorHAnsi" w:cs="Arial"/>
          <w:sz w:val="22"/>
          <w:szCs w:val="22"/>
          <w:lang w:eastAsia="en-US"/>
        </w:rPr>
        <w:t xml:space="preserve"> </w:t>
      </w:r>
      <w:r w:rsidR="00874BD5" w:rsidRPr="00945BED">
        <w:rPr>
          <w:rFonts w:asciiTheme="minorHAnsi" w:eastAsiaTheme="minorHAnsi" w:hAnsiTheme="minorHAnsi" w:cs="Arial"/>
          <w:sz w:val="22"/>
          <w:szCs w:val="22"/>
          <w:lang w:eastAsia="en-US"/>
        </w:rPr>
        <w:t xml:space="preserve">została przeznaczona na zasilenie kapitału zapasowego Spółki. </w:t>
      </w:r>
    </w:p>
    <w:p w14:paraId="647BC68B" w14:textId="77777777" w:rsidR="003D2FE3" w:rsidRPr="00945BED" w:rsidRDefault="003D2FE3" w:rsidP="00360EFC">
      <w:pPr>
        <w:autoSpaceDE w:val="0"/>
        <w:autoSpaceDN w:val="0"/>
        <w:adjustRightInd w:val="0"/>
        <w:spacing w:line="360" w:lineRule="auto"/>
        <w:ind w:firstLine="567"/>
        <w:jc w:val="both"/>
        <w:rPr>
          <w:rFonts w:ascii="Calibri" w:hAnsi="Calibri" w:cs="Calibri"/>
          <w:sz w:val="22"/>
          <w:szCs w:val="22"/>
        </w:rPr>
      </w:pPr>
      <w:r w:rsidRPr="00945BED">
        <w:rPr>
          <w:rFonts w:ascii="Calibri" w:hAnsi="Calibri" w:cs="Calibri"/>
          <w:sz w:val="22"/>
          <w:szCs w:val="22"/>
        </w:rPr>
        <w:t xml:space="preserve">W dniu 6 maja 2016 roku na podstawie Uchwały Zwyczajnego Zgromadzenia Wspólników Spółki Zależnej Zakład Energetyczny ZEN Sp. z o.o. została przyznana Spółce </w:t>
      </w:r>
      <w:r w:rsidR="002E4153">
        <w:rPr>
          <w:rFonts w:ascii="Calibri" w:hAnsi="Calibri" w:cs="Calibri"/>
          <w:sz w:val="22"/>
          <w:szCs w:val="22"/>
        </w:rPr>
        <w:t>CHEMOSERVIS-DWORY</w:t>
      </w:r>
      <w:r w:rsidRPr="00945BED">
        <w:rPr>
          <w:rFonts w:ascii="Calibri" w:hAnsi="Calibri" w:cs="Calibri"/>
          <w:sz w:val="22"/>
          <w:szCs w:val="22"/>
        </w:rPr>
        <w:t xml:space="preserve"> S.A. dywidenda z zysku wypracowanego za 2015 rok w wysokości 250 tys. PLN.</w:t>
      </w:r>
    </w:p>
    <w:p w14:paraId="7B7CAE2A" w14:textId="2F13F5F0" w:rsidR="003D2FE3" w:rsidRPr="003D2FE3" w:rsidRDefault="003D2FE3" w:rsidP="00360EFC">
      <w:pPr>
        <w:spacing w:line="360" w:lineRule="auto"/>
        <w:ind w:firstLine="567"/>
        <w:jc w:val="both"/>
        <w:rPr>
          <w:rFonts w:ascii="Calibri" w:hAnsi="Calibri"/>
          <w:sz w:val="22"/>
          <w:szCs w:val="22"/>
        </w:rPr>
      </w:pPr>
      <w:r w:rsidRPr="00945BED">
        <w:rPr>
          <w:rFonts w:ascii="Calibri" w:hAnsi="Calibri"/>
          <w:sz w:val="22"/>
          <w:szCs w:val="22"/>
        </w:rPr>
        <w:t xml:space="preserve">W dniu 20 maja 2016 roku, na podstawie Uchwały Zwyczajnego Walnego Zgromadzenia Akcjonariuszy Spółki Zależnej K-PROTOS </w:t>
      </w:r>
      <w:proofErr w:type="spellStart"/>
      <w:r w:rsidRPr="00945BED">
        <w:rPr>
          <w:rFonts w:ascii="Calibri" w:hAnsi="Calibri"/>
          <w:sz w:val="22"/>
          <w:szCs w:val="22"/>
        </w:rPr>
        <w:t>a.s</w:t>
      </w:r>
      <w:proofErr w:type="spellEnd"/>
      <w:r w:rsidRPr="00945BED">
        <w:rPr>
          <w:rFonts w:ascii="Calibri" w:hAnsi="Calibri"/>
          <w:sz w:val="22"/>
          <w:szCs w:val="22"/>
        </w:rPr>
        <w:t xml:space="preserve">. została przyznana Spółce </w:t>
      </w:r>
      <w:r w:rsidR="002E4153">
        <w:rPr>
          <w:rFonts w:ascii="Calibri" w:hAnsi="Calibri"/>
          <w:sz w:val="22"/>
          <w:szCs w:val="22"/>
        </w:rPr>
        <w:t>CHEMOSERVIS-DWORY</w:t>
      </w:r>
      <w:r w:rsidRPr="00945BED">
        <w:rPr>
          <w:rFonts w:ascii="Calibri" w:hAnsi="Calibri"/>
          <w:sz w:val="22"/>
          <w:szCs w:val="22"/>
        </w:rPr>
        <w:t xml:space="preserve"> S.A. dywidenda z zysku wypracowanego za 2015 rok w wysokości 7,</w:t>
      </w:r>
      <w:r w:rsidR="00A0231B">
        <w:rPr>
          <w:rFonts w:ascii="Calibri" w:hAnsi="Calibri"/>
          <w:sz w:val="22"/>
          <w:szCs w:val="22"/>
        </w:rPr>
        <w:t>3</w:t>
      </w:r>
      <w:r w:rsidRPr="00945BED">
        <w:rPr>
          <w:rFonts w:ascii="Calibri" w:hAnsi="Calibri"/>
          <w:sz w:val="22"/>
          <w:szCs w:val="22"/>
        </w:rPr>
        <w:t xml:space="preserve"> mln CZK (po przewalutowaniu </w:t>
      </w:r>
      <w:r w:rsidR="00A0231B">
        <w:rPr>
          <w:rFonts w:ascii="Calibri" w:hAnsi="Calibri"/>
          <w:sz w:val="22"/>
          <w:szCs w:val="22"/>
        </w:rPr>
        <w:br/>
        <w:t xml:space="preserve">i rozliczeniu różnic kursowych </w:t>
      </w:r>
      <w:r w:rsidRPr="00945BED">
        <w:rPr>
          <w:rFonts w:ascii="Calibri" w:hAnsi="Calibri"/>
          <w:sz w:val="22"/>
          <w:szCs w:val="22"/>
        </w:rPr>
        <w:t>kwota 1.1</w:t>
      </w:r>
      <w:r w:rsidR="00A0231B">
        <w:rPr>
          <w:rFonts w:ascii="Calibri" w:hAnsi="Calibri"/>
          <w:sz w:val="22"/>
          <w:szCs w:val="22"/>
        </w:rPr>
        <w:t>44</w:t>
      </w:r>
      <w:r w:rsidRPr="00945BED">
        <w:rPr>
          <w:rFonts w:ascii="Calibri" w:hAnsi="Calibri"/>
          <w:sz w:val="22"/>
          <w:szCs w:val="22"/>
        </w:rPr>
        <w:t xml:space="preserve"> tys. PLN).</w:t>
      </w:r>
    </w:p>
    <w:p w14:paraId="79328222" w14:textId="77777777" w:rsidR="00AB30C7" w:rsidRPr="00360EFC" w:rsidRDefault="00855F3B" w:rsidP="00005C8F">
      <w:pPr>
        <w:pStyle w:val="p1"/>
        <w:tabs>
          <w:tab w:val="left" w:pos="540"/>
        </w:tabs>
        <w:ind w:left="540" w:hanging="540"/>
        <w:jc w:val="both"/>
        <w:rPr>
          <w:rFonts w:ascii="Calibri" w:hAnsi="Calibri" w:cs="Arial"/>
          <w:b/>
          <w:caps/>
        </w:rPr>
      </w:pPr>
      <w:r w:rsidRPr="00360EFC">
        <w:rPr>
          <w:rFonts w:ascii="Calibri" w:hAnsi="Calibri" w:cs="Arial"/>
          <w:caps/>
        </w:rPr>
        <w:t>1</w:t>
      </w:r>
      <w:r w:rsidR="001C0BB4" w:rsidRPr="00360EFC">
        <w:rPr>
          <w:rFonts w:ascii="Calibri" w:hAnsi="Calibri" w:cs="Arial"/>
          <w:caps/>
        </w:rPr>
        <w:t>6</w:t>
      </w:r>
      <w:r w:rsidR="00AB30C7" w:rsidRPr="00360EFC">
        <w:rPr>
          <w:rFonts w:ascii="Calibri" w:hAnsi="Calibri" w:cs="Arial"/>
          <w:caps/>
        </w:rPr>
        <w:t>.</w:t>
      </w:r>
      <w:r w:rsidR="00AB30C7" w:rsidRPr="00360EFC">
        <w:rPr>
          <w:rFonts w:ascii="Calibri" w:hAnsi="Calibri" w:cs="Arial"/>
          <w:b/>
          <w:caps/>
        </w:rPr>
        <w:tab/>
        <w:t xml:space="preserve">Oświadczenie zarządu </w:t>
      </w:r>
      <w:r w:rsidR="00005C8F" w:rsidRPr="00360EFC">
        <w:rPr>
          <w:rFonts w:ascii="Calibri" w:hAnsi="Calibri" w:cs="Arial"/>
          <w:b/>
          <w:caps/>
        </w:rPr>
        <w:t>EMITENTA</w:t>
      </w:r>
      <w:r w:rsidR="00D74020" w:rsidRPr="00360EFC">
        <w:rPr>
          <w:rFonts w:ascii="Calibri" w:hAnsi="Calibri" w:cs="Arial"/>
          <w:b/>
          <w:caps/>
        </w:rPr>
        <w:t xml:space="preserve"> </w:t>
      </w:r>
      <w:r w:rsidR="00AB30C7" w:rsidRPr="00360EFC">
        <w:rPr>
          <w:rFonts w:ascii="Calibri" w:hAnsi="Calibri" w:cs="Arial"/>
          <w:b/>
          <w:caps/>
        </w:rPr>
        <w:t xml:space="preserve">ze wskazaniem ich nazwisk i stanowisk, że wedle </w:t>
      </w:r>
      <w:r w:rsidR="00006E18" w:rsidRPr="00360EFC">
        <w:rPr>
          <w:rFonts w:ascii="Calibri" w:hAnsi="Calibri" w:cs="Arial"/>
          <w:b/>
          <w:caps/>
        </w:rPr>
        <w:t>ich</w:t>
      </w:r>
      <w:r w:rsidR="00006E18" w:rsidRPr="00360EFC">
        <w:rPr>
          <w:rFonts w:ascii="Calibri" w:hAnsi="Calibri" w:cs="Arial"/>
          <w:caps/>
        </w:rPr>
        <w:t xml:space="preserve"> </w:t>
      </w:r>
      <w:r w:rsidR="00006E18" w:rsidRPr="00360EFC">
        <w:rPr>
          <w:rFonts w:ascii="Calibri" w:hAnsi="Calibri" w:cs="Arial"/>
          <w:b/>
          <w:caps/>
        </w:rPr>
        <w:t xml:space="preserve">najlepszej </w:t>
      </w:r>
      <w:r w:rsidR="00AB30C7" w:rsidRPr="00360EFC">
        <w:rPr>
          <w:rFonts w:ascii="Calibri" w:hAnsi="Calibri" w:cs="Arial"/>
          <w:b/>
          <w:caps/>
        </w:rPr>
        <w:t xml:space="preserve">wiedzy, półroczne skrócone sprawozdanie finansowe i dane porównywalne sporządzone zostały zgodnie </w:t>
      </w:r>
      <w:r w:rsidR="00005C8F" w:rsidRPr="00360EFC">
        <w:rPr>
          <w:rFonts w:ascii="Calibri" w:hAnsi="Calibri" w:cs="Arial"/>
          <w:b/>
          <w:caps/>
        </w:rPr>
        <w:br/>
      </w:r>
      <w:r w:rsidR="00AB30C7" w:rsidRPr="00360EFC">
        <w:rPr>
          <w:rFonts w:ascii="Calibri" w:hAnsi="Calibri" w:cs="Arial"/>
          <w:b/>
          <w:caps/>
        </w:rPr>
        <w:t xml:space="preserve">z obowiązującymi zasadami rachunkowości oraz że odzwierciedlają </w:t>
      </w:r>
      <w:r w:rsidR="00005C8F" w:rsidRPr="00360EFC">
        <w:rPr>
          <w:rFonts w:ascii="Calibri" w:hAnsi="Calibri" w:cs="Arial"/>
          <w:b/>
          <w:caps/>
        </w:rPr>
        <w:br/>
      </w:r>
      <w:r w:rsidR="00AB30C7" w:rsidRPr="00360EFC">
        <w:rPr>
          <w:rFonts w:ascii="Calibri" w:hAnsi="Calibri" w:cs="Arial"/>
          <w:b/>
          <w:caps/>
        </w:rPr>
        <w:t xml:space="preserve">w sposób prawdziwy, rzetelny i jasny sytuację majątkową i finansową emitenta oraz jego wynik finansowy, oraz że półroczne sprawozdanie </w:t>
      </w:r>
      <w:r w:rsidR="00005C8F" w:rsidRPr="00360EFC">
        <w:rPr>
          <w:rFonts w:ascii="Calibri" w:hAnsi="Calibri" w:cs="Arial"/>
          <w:b/>
          <w:caps/>
        </w:rPr>
        <w:br/>
      </w:r>
      <w:r w:rsidR="00AB30C7" w:rsidRPr="00360EFC">
        <w:rPr>
          <w:rFonts w:ascii="Calibri" w:hAnsi="Calibri" w:cs="Arial"/>
          <w:b/>
          <w:caps/>
        </w:rPr>
        <w:t xml:space="preserve">z działalności emitenta zawiera prawdziwy </w:t>
      </w:r>
      <w:r w:rsidR="00D74020" w:rsidRPr="00360EFC">
        <w:rPr>
          <w:rFonts w:ascii="Calibri" w:hAnsi="Calibri" w:cs="Arial"/>
          <w:b/>
          <w:caps/>
        </w:rPr>
        <w:tab/>
      </w:r>
      <w:r w:rsidR="00AB30C7" w:rsidRPr="00360EFC">
        <w:rPr>
          <w:rFonts w:ascii="Calibri" w:hAnsi="Calibri" w:cs="Arial"/>
          <w:b/>
          <w:caps/>
        </w:rPr>
        <w:t>obraz rozwoju i osiągnięć oraz sytuacji em</w:t>
      </w:r>
      <w:r w:rsidR="001A0FA6" w:rsidRPr="00360EFC">
        <w:rPr>
          <w:rFonts w:ascii="Calibri" w:hAnsi="Calibri" w:cs="Arial"/>
          <w:b/>
          <w:caps/>
        </w:rPr>
        <w:t>itenta.</w:t>
      </w:r>
    </w:p>
    <w:p w14:paraId="21B73C61" w14:textId="4AD244AC" w:rsidR="00AB30C7" w:rsidRPr="00945BED" w:rsidRDefault="004154A0" w:rsidP="00115882">
      <w:pPr>
        <w:tabs>
          <w:tab w:val="left" w:pos="540"/>
        </w:tabs>
        <w:spacing w:line="360" w:lineRule="auto"/>
        <w:jc w:val="both"/>
        <w:rPr>
          <w:rFonts w:ascii="Calibri" w:hAnsi="Calibri"/>
          <w:sz w:val="22"/>
          <w:szCs w:val="22"/>
        </w:rPr>
      </w:pPr>
      <w:r w:rsidRPr="00945BED">
        <w:rPr>
          <w:rFonts w:ascii="Calibri" w:hAnsi="Calibri"/>
          <w:b/>
        </w:rPr>
        <w:tab/>
      </w:r>
      <w:r w:rsidRPr="00945BED">
        <w:rPr>
          <w:rFonts w:ascii="Calibri" w:hAnsi="Calibri"/>
          <w:sz w:val="22"/>
          <w:szCs w:val="22"/>
        </w:rPr>
        <w:t xml:space="preserve">Zarząd </w:t>
      </w:r>
      <w:r w:rsidR="00005C8F" w:rsidRPr="00945BED">
        <w:rPr>
          <w:rFonts w:ascii="Calibri" w:hAnsi="Calibri"/>
          <w:sz w:val="22"/>
          <w:szCs w:val="22"/>
        </w:rPr>
        <w:t>Em</w:t>
      </w:r>
      <w:r w:rsidRPr="00945BED">
        <w:rPr>
          <w:rFonts w:ascii="Calibri" w:hAnsi="Calibri"/>
          <w:sz w:val="22"/>
          <w:szCs w:val="22"/>
        </w:rPr>
        <w:t>i</w:t>
      </w:r>
      <w:r w:rsidR="00005C8F" w:rsidRPr="00945BED">
        <w:rPr>
          <w:rFonts w:ascii="Calibri" w:hAnsi="Calibri"/>
          <w:sz w:val="22"/>
          <w:szCs w:val="22"/>
        </w:rPr>
        <w:t>tenta</w:t>
      </w:r>
      <w:r w:rsidR="000C0AC8" w:rsidRPr="00945BED">
        <w:rPr>
          <w:rFonts w:ascii="Calibri" w:hAnsi="Calibri"/>
          <w:sz w:val="22"/>
          <w:szCs w:val="22"/>
        </w:rPr>
        <w:t xml:space="preserve">, w składzie Prezes Zarządu – Pan </w:t>
      </w:r>
      <w:r w:rsidR="00AA38B9" w:rsidRPr="00945BED">
        <w:rPr>
          <w:rFonts w:ascii="Calibri" w:hAnsi="Calibri"/>
          <w:sz w:val="22"/>
          <w:szCs w:val="22"/>
        </w:rPr>
        <w:t>Wojciech Mazur</w:t>
      </w:r>
      <w:r w:rsidR="000C0AC8" w:rsidRPr="00945BED">
        <w:rPr>
          <w:rFonts w:ascii="Calibri" w:hAnsi="Calibri"/>
          <w:sz w:val="22"/>
          <w:szCs w:val="22"/>
        </w:rPr>
        <w:t xml:space="preserve"> </w:t>
      </w:r>
      <w:r w:rsidRPr="00945BED">
        <w:rPr>
          <w:rFonts w:ascii="Calibri" w:hAnsi="Calibri"/>
          <w:sz w:val="22"/>
          <w:szCs w:val="22"/>
        </w:rPr>
        <w:t xml:space="preserve">oświadcza, iż wedle najlepszej wiedzy, półroczne skrócone </w:t>
      </w:r>
      <w:r w:rsidR="00E34CBA" w:rsidRPr="00945BED">
        <w:rPr>
          <w:rFonts w:ascii="Calibri" w:hAnsi="Calibri"/>
          <w:sz w:val="22"/>
          <w:szCs w:val="22"/>
        </w:rPr>
        <w:t>skonsolidowane sprawozdanie finansowe oraz dane porównywalne za poprzedni analogiczny okres</w:t>
      </w:r>
      <w:r w:rsidR="00F22AD0" w:rsidRPr="00945BED">
        <w:rPr>
          <w:rFonts w:ascii="Calibri" w:hAnsi="Calibri"/>
          <w:sz w:val="22"/>
          <w:szCs w:val="22"/>
        </w:rPr>
        <w:t xml:space="preserve"> zostały sporządzone zgodnie z </w:t>
      </w:r>
      <w:r w:rsidR="00E34CBA" w:rsidRPr="00945BED">
        <w:rPr>
          <w:rFonts w:ascii="Calibri" w:hAnsi="Calibri"/>
          <w:sz w:val="22"/>
          <w:szCs w:val="22"/>
        </w:rPr>
        <w:t>obowiązującymi zasadami rachunkowości oraz odzwierciedlają w s</w:t>
      </w:r>
      <w:r w:rsidR="00594C63" w:rsidRPr="00945BED">
        <w:rPr>
          <w:rFonts w:ascii="Calibri" w:hAnsi="Calibri"/>
          <w:sz w:val="22"/>
          <w:szCs w:val="22"/>
        </w:rPr>
        <w:t>posób prawdziwy, rzetelny i jasny</w:t>
      </w:r>
      <w:r w:rsidR="00E34CBA" w:rsidRPr="00945BED">
        <w:rPr>
          <w:rFonts w:ascii="Calibri" w:hAnsi="Calibri"/>
          <w:sz w:val="22"/>
          <w:szCs w:val="22"/>
        </w:rPr>
        <w:t xml:space="preserve"> sytuację majątkową i finansową Grupy Kapitałowej </w:t>
      </w:r>
      <w:r w:rsidR="002E4153">
        <w:rPr>
          <w:rFonts w:ascii="Calibri" w:hAnsi="Calibri"/>
          <w:sz w:val="22"/>
          <w:szCs w:val="22"/>
        </w:rPr>
        <w:t>CHEMOSERVIS-DWORY</w:t>
      </w:r>
      <w:r w:rsidR="00E34CBA" w:rsidRPr="00945BED">
        <w:rPr>
          <w:rFonts w:ascii="Calibri" w:hAnsi="Calibri"/>
          <w:sz w:val="22"/>
          <w:szCs w:val="22"/>
        </w:rPr>
        <w:t xml:space="preserve"> oraz jej wynik finansowy. Zarząd Emitenta oświadcza również, iż skonsolidowane sprawozdanie z działalności Grupy zawiera prawdziwy obraz rozwoju i osiągnięć</w:t>
      </w:r>
      <w:r w:rsidR="00AB4E8E" w:rsidRPr="00945BED">
        <w:rPr>
          <w:rFonts w:ascii="Calibri" w:hAnsi="Calibri"/>
          <w:sz w:val="22"/>
          <w:szCs w:val="22"/>
        </w:rPr>
        <w:t xml:space="preserve"> oraz sytuacji Emitenta</w:t>
      </w:r>
      <w:r w:rsidR="00F22AD0" w:rsidRPr="00945BED">
        <w:rPr>
          <w:rFonts w:ascii="Calibri" w:hAnsi="Calibri"/>
          <w:sz w:val="22"/>
          <w:szCs w:val="22"/>
        </w:rPr>
        <w:t>, w tym opis podstawowych zagrożeń</w:t>
      </w:r>
      <w:r w:rsidR="00135CFB">
        <w:rPr>
          <w:rFonts w:ascii="Calibri" w:hAnsi="Calibri"/>
          <w:sz w:val="22"/>
          <w:szCs w:val="22"/>
        </w:rPr>
        <w:t xml:space="preserve"> </w:t>
      </w:r>
      <w:r w:rsidR="00135CFB">
        <w:rPr>
          <w:rFonts w:ascii="Calibri" w:hAnsi="Calibri"/>
          <w:sz w:val="22"/>
          <w:szCs w:val="22"/>
        </w:rPr>
        <w:br/>
      </w:r>
      <w:r w:rsidR="00F22AD0" w:rsidRPr="00945BED">
        <w:rPr>
          <w:rFonts w:ascii="Calibri" w:hAnsi="Calibri"/>
          <w:sz w:val="22"/>
          <w:szCs w:val="22"/>
        </w:rPr>
        <w:t>i ryzyka</w:t>
      </w:r>
      <w:r w:rsidR="00E34CBA" w:rsidRPr="00945BED">
        <w:rPr>
          <w:rFonts w:ascii="Calibri" w:hAnsi="Calibri"/>
          <w:sz w:val="22"/>
          <w:szCs w:val="22"/>
        </w:rPr>
        <w:t>.</w:t>
      </w:r>
    </w:p>
    <w:p w14:paraId="0D94099E" w14:textId="77777777" w:rsidR="00BA32B7" w:rsidRPr="00183773" w:rsidRDefault="00BA32B7" w:rsidP="00115882">
      <w:pPr>
        <w:tabs>
          <w:tab w:val="left" w:pos="540"/>
        </w:tabs>
        <w:spacing w:line="360" w:lineRule="auto"/>
        <w:jc w:val="both"/>
        <w:rPr>
          <w:rFonts w:ascii="Calibri" w:hAnsi="Calibri"/>
          <w:sz w:val="22"/>
          <w:szCs w:val="22"/>
          <w:highlight w:val="green"/>
        </w:rPr>
      </w:pPr>
    </w:p>
    <w:p w14:paraId="68D400DA" w14:textId="77777777" w:rsidR="00135CFB" w:rsidRDefault="00135CFB">
      <w:pPr>
        <w:rPr>
          <w:rFonts w:ascii="Calibri" w:hAnsi="Calibri"/>
        </w:rPr>
      </w:pPr>
      <w:r>
        <w:rPr>
          <w:rFonts w:ascii="Calibri" w:hAnsi="Calibri"/>
        </w:rPr>
        <w:br w:type="page"/>
      </w:r>
    </w:p>
    <w:p w14:paraId="0341A49B" w14:textId="7FA144A9" w:rsidR="00002E0E" w:rsidRPr="00360EFC" w:rsidRDefault="00F0244C" w:rsidP="005A2A34">
      <w:pPr>
        <w:tabs>
          <w:tab w:val="left" w:pos="540"/>
        </w:tabs>
        <w:jc w:val="both"/>
        <w:rPr>
          <w:rFonts w:ascii="Calibri" w:hAnsi="Calibri"/>
          <w:b/>
        </w:rPr>
      </w:pPr>
      <w:r w:rsidRPr="00360EFC">
        <w:rPr>
          <w:rFonts w:ascii="Calibri" w:hAnsi="Calibri"/>
        </w:rPr>
        <w:lastRenderedPageBreak/>
        <w:t>1</w:t>
      </w:r>
      <w:r w:rsidR="001C0BB4" w:rsidRPr="00360EFC">
        <w:rPr>
          <w:rFonts w:ascii="Calibri" w:hAnsi="Calibri"/>
        </w:rPr>
        <w:t>7</w:t>
      </w:r>
      <w:r w:rsidRPr="00360EFC">
        <w:rPr>
          <w:rFonts w:ascii="Calibri" w:hAnsi="Calibri"/>
        </w:rPr>
        <w:t>.</w:t>
      </w:r>
      <w:r w:rsidRPr="00360EFC">
        <w:rPr>
          <w:rFonts w:ascii="Calibri" w:hAnsi="Calibri"/>
          <w:b/>
        </w:rPr>
        <w:tab/>
        <w:t xml:space="preserve">OŚWIADCZENIE ZARZĄDU, IŻ PODMIOT UPRAWNIONY DO BADANIA SPRAWOZDANIA </w:t>
      </w:r>
      <w:r w:rsidRPr="00360EFC">
        <w:rPr>
          <w:rFonts w:ascii="Calibri" w:hAnsi="Calibri"/>
          <w:b/>
        </w:rPr>
        <w:tab/>
        <w:t>FI</w:t>
      </w:r>
      <w:r w:rsidR="00A673D4">
        <w:rPr>
          <w:rFonts w:ascii="Calibri" w:hAnsi="Calibri"/>
          <w:b/>
        </w:rPr>
        <w:t xml:space="preserve">NANSOWEGO, DOKONUJĄCY PRZEGLĄDU </w:t>
      </w:r>
      <w:r w:rsidRPr="00360EFC">
        <w:rPr>
          <w:rFonts w:ascii="Calibri" w:hAnsi="Calibri"/>
          <w:b/>
        </w:rPr>
        <w:t xml:space="preserve">PÓŁROCZNEGO SKRÓCONEGO </w:t>
      </w:r>
      <w:r w:rsidR="0074126C" w:rsidRPr="00360EFC">
        <w:rPr>
          <w:rFonts w:ascii="Calibri" w:hAnsi="Calibri"/>
          <w:b/>
        </w:rPr>
        <w:tab/>
        <w:t xml:space="preserve">SPRAWOZDANIA </w:t>
      </w:r>
      <w:r w:rsidRPr="00360EFC">
        <w:rPr>
          <w:rFonts w:ascii="Calibri" w:hAnsi="Calibri"/>
          <w:b/>
        </w:rPr>
        <w:t xml:space="preserve">FINANSOWEGO, ZOSTAŁ WYBRANY ZGODNIE Z PRZEPISAMI PRAWA </w:t>
      </w:r>
      <w:r w:rsidR="0074126C" w:rsidRPr="00360EFC">
        <w:rPr>
          <w:rFonts w:ascii="Calibri" w:hAnsi="Calibri"/>
          <w:b/>
        </w:rPr>
        <w:tab/>
      </w:r>
      <w:r w:rsidRPr="00360EFC">
        <w:rPr>
          <w:rFonts w:ascii="Calibri" w:hAnsi="Calibri"/>
          <w:b/>
        </w:rPr>
        <w:t xml:space="preserve">ORAZ ŻE PODMIOT TEN ORAZ BIEGLI REWIDENCI, DOKONUJĄCY TEGO PRZEGLĄDU </w:t>
      </w:r>
      <w:r w:rsidR="0074126C" w:rsidRPr="00360EFC">
        <w:rPr>
          <w:rFonts w:ascii="Calibri" w:hAnsi="Calibri"/>
          <w:b/>
        </w:rPr>
        <w:tab/>
      </w:r>
      <w:r w:rsidRPr="00360EFC">
        <w:rPr>
          <w:rFonts w:ascii="Calibri" w:hAnsi="Calibri"/>
          <w:b/>
        </w:rPr>
        <w:t>ALBO BADANIA, SPEŁNILI WARUNKI DO WYDANIA BEZSTRONNEGO I NIEZALEŻNEGO</w:t>
      </w:r>
    </w:p>
    <w:p w14:paraId="08547640" w14:textId="77777777" w:rsidR="00F0244C" w:rsidRPr="00360EFC" w:rsidRDefault="005A2A34" w:rsidP="005A2A34">
      <w:pPr>
        <w:tabs>
          <w:tab w:val="left" w:pos="540"/>
        </w:tabs>
        <w:jc w:val="both"/>
        <w:rPr>
          <w:rFonts w:ascii="Calibri" w:hAnsi="Calibri"/>
          <w:b/>
        </w:rPr>
      </w:pPr>
      <w:r w:rsidRPr="00360EFC">
        <w:rPr>
          <w:rFonts w:ascii="Calibri" w:hAnsi="Calibri"/>
          <w:b/>
        </w:rPr>
        <w:tab/>
      </w:r>
      <w:r w:rsidR="00F0244C" w:rsidRPr="00360EFC">
        <w:rPr>
          <w:rFonts w:ascii="Calibri" w:hAnsi="Calibri"/>
          <w:b/>
        </w:rPr>
        <w:t xml:space="preserve">RAPORTU Z PRZEGLĄDU ALBO OPINII O BADANYM </w:t>
      </w:r>
      <w:r w:rsidR="00F0244C" w:rsidRPr="00360EFC">
        <w:rPr>
          <w:rFonts w:ascii="Calibri" w:hAnsi="Calibri"/>
          <w:b/>
        </w:rPr>
        <w:tab/>
        <w:t>PÓŁROCZNYM</w:t>
      </w:r>
      <w:r w:rsidR="00A673D4">
        <w:rPr>
          <w:rFonts w:ascii="Calibri" w:hAnsi="Calibri"/>
          <w:b/>
        </w:rPr>
        <w:t xml:space="preserve"> </w:t>
      </w:r>
      <w:r w:rsidR="00F0244C" w:rsidRPr="00360EFC">
        <w:rPr>
          <w:rFonts w:ascii="Calibri" w:hAnsi="Calibri"/>
          <w:b/>
        </w:rPr>
        <w:t xml:space="preserve">SKRÓCONYM </w:t>
      </w:r>
      <w:r w:rsidR="0074126C" w:rsidRPr="00360EFC">
        <w:rPr>
          <w:rFonts w:ascii="Calibri" w:hAnsi="Calibri"/>
          <w:b/>
        </w:rPr>
        <w:t xml:space="preserve"> </w:t>
      </w:r>
      <w:r w:rsidRPr="00360EFC">
        <w:rPr>
          <w:rFonts w:ascii="Calibri" w:hAnsi="Calibri"/>
          <w:b/>
        </w:rPr>
        <w:tab/>
      </w:r>
      <w:r w:rsidR="00AB4E8E" w:rsidRPr="00360EFC">
        <w:rPr>
          <w:rFonts w:ascii="Calibri" w:hAnsi="Calibri"/>
          <w:b/>
        </w:rPr>
        <w:t>S</w:t>
      </w:r>
      <w:r w:rsidR="00F0244C" w:rsidRPr="00360EFC">
        <w:rPr>
          <w:rFonts w:ascii="Calibri" w:hAnsi="Calibri"/>
          <w:b/>
        </w:rPr>
        <w:t xml:space="preserve">PRAWOZDANIU FINANSOWYM, ZGODNIE Z OBOWIĄZUJĄCYMI PRZEPISAMI </w:t>
      </w:r>
      <w:r w:rsidR="0074126C" w:rsidRPr="00360EFC">
        <w:rPr>
          <w:rFonts w:ascii="Calibri" w:hAnsi="Calibri"/>
          <w:b/>
        </w:rPr>
        <w:br/>
      </w:r>
      <w:r w:rsidR="0074126C" w:rsidRPr="00360EFC">
        <w:rPr>
          <w:rFonts w:ascii="Calibri" w:hAnsi="Calibri"/>
          <w:b/>
        </w:rPr>
        <w:tab/>
      </w:r>
      <w:r w:rsidR="00F0244C" w:rsidRPr="00360EFC">
        <w:rPr>
          <w:rFonts w:ascii="Calibri" w:hAnsi="Calibri"/>
          <w:b/>
        </w:rPr>
        <w:t>I NORMAMI ZAWODOWYMI</w:t>
      </w:r>
      <w:r w:rsidR="001A0FA6" w:rsidRPr="00360EFC">
        <w:rPr>
          <w:rFonts w:ascii="Calibri" w:hAnsi="Calibri"/>
          <w:b/>
        </w:rPr>
        <w:t>.</w:t>
      </w:r>
    </w:p>
    <w:p w14:paraId="2B49219D" w14:textId="77777777" w:rsidR="00F0244C" w:rsidRPr="00360EFC" w:rsidRDefault="00F0244C" w:rsidP="00F0244C">
      <w:pPr>
        <w:tabs>
          <w:tab w:val="left" w:pos="540"/>
        </w:tabs>
        <w:jc w:val="both"/>
        <w:rPr>
          <w:rFonts w:ascii="Calibri" w:hAnsi="Calibri"/>
          <w:b/>
        </w:rPr>
      </w:pPr>
    </w:p>
    <w:p w14:paraId="2F9B3C86" w14:textId="11531EB8" w:rsidR="00E34CBA" w:rsidRPr="00360EFC" w:rsidRDefault="00F0244C" w:rsidP="00E34CBA">
      <w:pPr>
        <w:tabs>
          <w:tab w:val="left" w:pos="540"/>
        </w:tabs>
        <w:spacing w:line="360" w:lineRule="auto"/>
        <w:jc w:val="both"/>
        <w:rPr>
          <w:rFonts w:ascii="Calibri" w:hAnsi="Calibri"/>
          <w:sz w:val="22"/>
          <w:szCs w:val="22"/>
        </w:rPr>
      </w:pPr>
      <w:r w:rsidRPr="00360EFC">
        <w:rPr>
          <w:rFonts w:ascii="Calibri" w:hAnsi="Calibri"/>
          <w:b/>
        </w:rPr>
        <w:tab/>
      </w:r>
      <w:r w:rsidRPr="00360EFC">
        <w:rPr>
          <w:rFonts w:ascii="Calibri" w:hAnsi="Calibri"/>
          <w:sz w:val="22"/>
          <w:szCs w:val="22"/>
        </w:rPr>
        <w:t>Zarząd</w:t>
      </w:r>
      <w:r w:rsidR="007324F2" w:rsidRPr="00360EFC">
        <w:rPr>
          <w:rFonts w:ascii="Calibri" w:hAnsi="Calibri"/>
          <w:sz w:val="22"/>
          <w:szCs w:val="22"/>
        </w:rPr>
        <w:t xml:space="preserve"> Emitenta</w:t>
      </w:r>
      <w:r w:rsidRPr="00360EFC">
        <w:rPr>
          <w:rFonts w:ascii="Calibri" w:hAnsi="Calibri"/>
          <w:sz w:val="22"/>
          <w:szCs w:val="22"/>
        </w:rPr>
        <w:t xml:space="preserve"> </w:t>
      </w:r>
      <w:r w:rsidR="00006E18" w:rsidRPr="00360EFC">
        <w:rPr>
          <w:rFonts w:ascii="Calibri" w:hAnsi="Calibri"/>
          <w:sz w:val="22"/>
          <w:szCs w:val="22"/>
        </w:rPr>
        <w:t xml:space="preserve">w składzie Prezes Zarządu – Pan Wojciech Mazur </w:t>
      </w:r>
      <w:r w:rsidRPr="00360EFC">
        <w:rPr>
          <w:rFonts w:ascii="Calibri" w:hAnsi="Calibri"/>
          <w:sz w:val="22"/>
          <w:szCs w:val="22"/>
        </w:rPr>
        <w:t xml:space="preserve">oświadcza, iż podmiot uprawniony do </w:t>
      </w:r>
      <w:r w:rsidR="0074126C" w:rsidRPr="00360EFC">
        <w:rPr>
          <w:rFonts w:ascii="Calibri" w:hAnsi="Calibri"/>
          <w:sz w:val="22"/>
          <w:szCs w:val="22"/>
        </w:rPr>
        <w:t>badania, dokonujący przeglądu</w:t>
      </w:r>
      <w:r w:rsidRPr="00360EFC">
        <w:rPr>
          <w:rFonts w:ascii="Calibri" w:hAnsi="Calibri"/>
          <w:sz w:val="22"/>
          <w:szCs w:val="22"/>
        </w:rPr>
        <w:t xml:space="preserve"> </w:t>
      </w:r>
      <w:r w:rsidR="00033858" w:rsidRPr="00360EFC">
        <w:rPr>
          <w:rFonts w:ascii="Calibri" w:hAnsi="Calibri"/>
          <w:sz w:val="22"/>
          <w:szCs w:val="22"/>
        </w:rPr>
        <w:t xml:space="preserve">skróconego </w:t>
      </w:r>
      <w:r w:rsidR="008C1BCA" w:rsidRPr="00360EFC">
        <w:rPr>
          <w:rFonts w:ascii="Calibri" w:hAnsi="Calibri"/>
          <w:sz w:val="22"/>
          <w:szCs w:val="22"/>
        </w:rPr>
        <w:t xml:space="preserve">skonsolidowanego </w:t>
      </w:r>
      <w:r w:rsidRPr="00360EFC">
        <w:rPr>
          <w:rFonts w:ascii="Calibri" w:hAnsi="Calibri"/>
          <w:sz w:val="22"/>
          <w:szCs w:val="22"/>
        </w:rPr>
        <w:t>sprawozdania</w:t>
      </w:r>
      <w:r w:rsidR="00E34CBA" w:rsidRPr="00360EFC">
        <w:rPr>
          <w:rFonts w:ascii="Calibri" w:hAnsi="Calibri"/>
          <w:sz w:val="22"/>
          <w:szCs w:val="22"/>
        </w:rPr>
        <w:t xml:space="preserve"> finansowego, został wybrany zgodnie z przepisami prawa, jednocześnie Zarząd Emitenta pragnie poinformować, iż biegli rewidenci dokonujący tego przeglądu, spełnili wszystkie warunki dotyczące wydania bezstronnego oraz niezależnego raportu z przeglądu, zgodnie</w:t>
      </w:r>
      <w:r w:rsidR="00751D15" w:rsidRPr="00360EFC">
        <w:rPr>
          <w:rFonts w:ascii="Calibri" w:hAnsi="Calibri"/>
          <w:sz w:val="22"/>
          <w:szCs w:val="22"/>
        </w:rPr>
        <w:t xml:space="preserve"> </w:t>
      </w:r>
      <w:r w:rsidR="00E34CBA" w:rsidRPr="00360EFC">
        <w:rPr>
          <w:rFonts w:ascii="Calibri" w:hAnsi="Calibri"/>
          <w:sz w:val="22"/>
          <w:szCs w:val="22"/>
        </w:rPr>
        <w:t xml:space="preserve">z obowiązującymi przepisami </w:t>
      </w:r>
      <w:r w:rsidR="00135CFB">
        <w:rPr>
          <w:rFonts w:ascii="Calibri" w:hAnsi="Calibri"/>
          <w:sz w:val="22"/>
          <w:szCs w:val="22"/>
        </w:rPr>
        <w:br/>
      </w:r>
      <w:r w:rsidR="00E34CBA" w:rsidRPr="00360EFC">
        <w:rPr>
          <w:rFonts w:ascii="Calibri" w:hAnsi="Calibri"/>
          <w:sz w:val="22"/>
          <w:szCs w:val="22"/>
        </w:rPr>
        <w:t>i normami zawodowymi.</w:t>
      </w:r>
    </w:p>
    <w:p w14:paraId="716DA99F" w14:textId="77777777" w:rsidR="00FB18C3" w:rsidRPr="00183773" w:rsidRDefault="00FB18C3">
      <w:pPr>
        <w:rPr>
          <w:rFonts w:ascii="Calibri" w:hAnsi="Calibri"/>
          <w:highlight w:val="green"/>
        </w:rPr>
      </w:pPr>
      <w:r w:rsidRPr="00183773">
        <w:rPr>
          <w:rFonts w:ascii="Calibri" w:hAnsi="Calibri"/>
          <w:highlight w:val="green"/>
        </w:rPr>
        <w:br w:type="page"/>
      </w:r>
    </w:p>
    <w:p w14:paraId="17111F27" w14:textId="77777777" w:rsidR="006D7011" w:rsidRPr="00D32B5C" w:rsidRDefault="00033858" w:rsidP="009D4811">
      <w:pPr>
        <w:rPr>
          <w:rFonts w:ascii="Calibri" w:hAnsi="Calibri" w:cs="Arial"/>
          <w:b/>
        </w:rPr>
      </w:pPr>
      <w:r w:rsidRPr="00D32B5C">
        <w:rPr>
          <w:rFonts w:ascii="Calibri" w:hAnsi="Calibri" w:cs="Arial"/>
          <w:b/>
        </w:rPr>
        <w:lastRenderedPageBreak/>
        <w:t>AUTORYZACJA</w:t>
      </w:r>
      <w:r w:rsidR="006D7011" w:rsidRPr="00D32B5C">
        <w:rPr>
          <w:rFonts w:ascii="Calibri" w:hAnsi="Calibri" w:cs="Arial"/>
          <w:b/>
        </w:rPr>
        <w:t xml:space="preserve"> ZARZĄDU</w:t>
      </w:r>
      <w:r w:rsidRPr="00D32B5C">
        <w:rPr>
          <w:rFonts w:ascii="Calibri" w:hAnsi="Calibri" w:cs="Arial"/>
          <w:b/>
        </w:rPr>
        <w:t xml:space="preserve"> </w:t>
      </w:r>
      <w:r w:rsidR="007324F2" w:rsidRPr="00D32B5C">
        <w:rPr>
          <w:rFonts w:ascii="Calibri" w:hAnsi="Calibri" w:cs="Arial"/>
          <w:b/>
        </w:rPr>
        <w:t>EMITENTA</w:t>
      </w:r>
    </w:p>
    <w:p w14:paraId="06E4EA12" w14:textId="77777777" w:rsidR="006D7011" w:rsidRPr="00183773" w:rsidRDefault="006D7011" w:rsidP="006D7011">
      <w:pPr>
        <w:jc w:val="both"/>
        <w:rPr>
          <w:rFonts w:ascii="Calibri" w:hAnsi="Calibri" w:cs="Arial"/>
          <w:highlight w:val="green"/>
        </w:rPr>
      </w:pPr>
    </w:p>
    <w:p w14:paraId="16F47248" w14:textId="77777777" w:rsidR="00FB18C3" w:rsidRPr="00945BED" w:rsidRDefault="00FB18C3" w:rsidP="00FB18C3">
      <w:pPr>
        <w:jc w:val="both"/>
        <w:rPr>
          <w:rFonts w:ascii="Calibri" w:hAnsi="Calibri" w:cs="Arial"/>
          <w:sz w:val="22"/>
          <w:szCs w:val="22"/>
        </w:rPr>
      </w:pPr>
      <w:r w:rsidRPr="00945BED">
        <w:rPr>
          <w:rFonts w:ascii="Calibri" w:hAnsi="Calibri" w:cs="Arial"/>
          <w:sz w:val="22"/>
          <w:szCs w:val="22"/>
        </w:rPr>
        <w:t xml:space="preserve">Niniejsze skonsolidowane Sprawozdanie z działalności </w:t>
      </w:r>
      <w:r w:rsidR="00D32B5C">
        <w:rPr>
          <w:rFonts w:ascii="Calibri" w:hAnsi="Calibri" w:cs="Arial"/>
          <w:sz w:val="22"/>
          <w:szCs w:val="22"/>
        </w:rPr>
        <w:t>Grupy Kapitałowej</w:t>
      </w:r>
      <w:r w:rsidRPr="00945BED">
        <w:rPr>
          <w:rFonts w:ascii="Calibri" w:hAnsi="Calibri" w:cs="Arial"/>
          <w:sz w:val="22"/>
          <w:szCs w:val="22"/>
        </w:rPr>
        <w:t xml:space="preserve"> za pierwsze </w:t>
      </w:r>
      <w:r w:rsidR="00D32B5C">
        <w:rPr>
          <w:rFonts w:ascii="Calibri" w:hAnsi="Calibri" w:cs="Arial"/>
          <w:sz w:val="22"/>
          <w:szCs w:val="22"/>
        </w:rPr>
        <w:br/>
      </w:r>
      <w:r w:rsidRPr="00945BED">
        <w:rPr>
          <w:rFonts w:ascii="Calibri" w:hAnsi="Calibri" w:cs="Arial"/>
          <w:sz w:val="22"/>
          <w:szCs w:val="22"/>
        </w:rPr>
        <w:t>półrocze 201</w:t>
      </w:r>
      <w:r w:rsidR="00D32B5C">
        <w:rPr>
          <w:rFonts w:ascii="Calibri" w:hAnsi="Calibri" w:cs="Arial"/>
          <w:sz w:val="22"/>
          <w:szCs w:val="22"/>
        </w:rPr>
        <w:t>6</w:t>
      </w:r>
      <w:r w:rsidRPr="00945BED">
        <w:rPr>
          <w:rFonts w:ascii="Calibri" w:hAnsi="Calibri" w:cs="Arial"/>
          <w:sz w:val="22"/>
          <w:szCs w:val="22"/>
        </w:rPr>
        <w:t xml:space="preserve"> roku, zostało autoryzowane przez Zarząd </w:t>
      </w:r>
      <w:r w:rsidR="00D32B5C">
        <w:rPr>
          <w:rFonts w:ascii="Calibri" w:hAnsi="Calibri" w:cs="Arial"/>
          <w:sz w:val="22"/>
          <w:szCs w:val="22"/>
        </w:rPr>
        <w:t>Emitenta</w:t>
      </w:r>
      <w:r w:rsidRPr="00945BED">
        <w:rPr>
          <w:rFonts w:ascii="Calibri" w:hAnsi="Calibri" w:cs="Arial"/>
          <w:b/>
          <w:sz w:val="22"/>
          <w:szCs w:val="22"/>
        </w:rPr>
        <w:t xml:space="preserve"> </w:t>
      </w:r>
      <w:r w:rsidRPr="00945BED">
        <w:rPr>
          <w:rFonts w:ascii="Calibri" w:hAnsi="Calibri" w:cs="Arial"/>
          <w:sz w:val="22"/>
          <w:szCs w:val="22"/>
        </w:rPr>
        <w:t>w jego siedzibie, w dniu</w:t>
      </w:r>
      <w:r w:rsidRPr="00945BED">
        <w:rPr>
          <w:rFonts w:ascii="Calibri" w:hAnsi="Calibri" w:cs="Arial"/>
          <w:color w:val="FF0000"/>
          <w:sz w:val="22"/>
          <w:szCs w:val="22"/>
        </w:rPr>
        <w:t xml:space="preserve"> </w:t>
      </w:r>
      <w:r w:rsidR="00D32B5C">
        <w:rPr>
          <w:rFonts w:ascii="Calibri" w:hAnsi="Calibri" w:cs="Arial"/>
          <w:color w:val="FF0000"/>
          <w:sz w:val="22"/>
          <w:szCs w:val="22"/>
        </w:rPr>
        <w:br/>
      </w:r>
      <w:r w:rsidRPr="00945BED">
        <w:rPr>
          <w:rFonts w:ascii="Calibri" w:hAnsi="Calibri" w:cs="Arial"/>
          <w:b/>
          <w:sz w:val="22"/>
          <w:szCs w:val="22"/>
        </w:rPr>
        <w:t>2</w:t>
      </w:r>
      <w:r w:rsidR="00E07855">
        <w:rPr>
          <w:rFonts w:ascii="Calibri" w:hAnsi="Calibri" w:cs="Arial"/>
          <w:b/>
          <w:sz w:val="22"/>
          <w:szCs w:val="22"/>
        </w:rPr>
        <w:t>9</w:t>
      </w:r>
      <w:r w:rsidRPr="00945BED">
        <w:rPr>
          <w:rFonts w:ascii="Calibri" w:hAnsi="Calibri" w:cs="Arial"/>
          <w:b/>
          <w:sz w:val="22"/>
          <w:szCs w:val="22"/>
        </w:rPr>
        <w:t xml:space="preserve"> sierpnia</w:t>
      </w:r>
      <w:r w:rsidRPr="00945BED">
        <w:rPr>
          <w:rFonts w:ascii="Calibri" w:hAnsi="Calibri" w:cs="Arial"/>
          <w:b/>
          <w:color w:val="FF0000"/>
          <w:sz w:val="22"/>
          <w:szCs w:val="22"/>
        </w:rPr>
        <w:t xml:space="preserve"> </w:t>
      </w:r>
      <w:r w:rsidRPr="00945BED">
        <w:rPr>
          <w:rFonts w:ascii="Calibri" w:hAnsi="Calibri" w:cs="Arial"/>
          <w:b/>
          <w:sz w:val="22"/>
          <w:szCs w:val="22"/>
        </w:rPr>
        <w:t>201</w:t>
      </w:r>
      <w:r w:rsidR="00D32B5C">
        <w:rPr>
          <w:rFonts w:ascii="Calibri" w:hAnsi="Calibri" w:cs="Arial"/>
          <w:b/>
          <w:sz w:val="22"/>
          <w:szCs w:val="22"/>
        </w:rPr>
        <w:t>6</w:t>
      </w:r>
      <w:r w:rsidRPr="00945BED">
        <w:rPr>
          <w:rFonts w:ascii="Calibri" w:hAnsi="Calibri" w:cs="Arial"/>
          <w:sz w:val="22"/>
          <w:szCs w:val="22"/>
        </w:rPr>
        <w:t xml:space="preserve"> roku.</w:t>
      </w:r>
    </w:p>
    <w:p w14:paraId="3AD10168" w14:textId="77777777" w:rsidR="00FB18C3" w:rsidRPr="00945BED" w:rsidRDefault="00FB18C3" w:rsidP="00FB18C3">
      <w:pPr>
        <w:jc w:val="both"/>
        <w:rPr>
          <w:rFonts w:ascii="Calibri" w:hAnsi="Calibri" w:cs="Arial"/>
        </w:rPr>
      </w:pPr>
    </w:p>
    <w:p w14:paraId="7F2FD708" w14:textId="77777777" w:rsidR="00FB18C3" w:rsidRPr="00945BED" w:rsidRDefault="00FB18C3" w:rsidP="00FB18C3">
      <w:pPr>
        <w:jc w:val="both"/>
        <w:rPr>
          <w:rFonts w:ascii="Calibri" w:hAnsi="Calibri" w:cs="Arial"/>
          <w:color w:val="FF0000"/>
        </w:rPr>
      </w:pPr>
    </w:p>
    <w:p w14:paraId="69594F74" w14:textId="77777777" w:rsidR="00FB18C3" w:rsidRPr="00945BED" w:rsidRDefault="00FB18C3" w:rsidP="00FB18C3">
      <w:pPr>
        <w:jc w:val="both"/>
        <w:rPr>
          <w:rFonts w:ascii="Calibri" w:hAnsi="Calibri" w:cs="Arial"/>
          <w:color w:val="FF0000"/>
        </w:rPr>
      </w:pPr>
    </w:p>
    <w:p w14:paraId="224A1798" w14:textId="77777777" w:rsidR="00FB18C3" w:rsidRPr="00945BED" w:rsidRDefault="00FB18C3" w:rsidP="00FB18C3">
      <w:pPr>
        <w:jc w:val="both"/>
        <w:rPr>
          <w:rFonts w:ascii="Calibri" w:hAnsi="Calibri" w:cs="Arial"/>
          <w:color w:val="FF0000"/>
        </w:rPr>
      </w:pPr>
    </w:p>
    <w:p w14:paraId="0F77DEC4" w14:textId="77777777" w:rsidR="00FB18C3" w:rsidRPr="00945BED" w:rsidRDefault="00FB18C3" w:rsidP="00FB18C3">
      <w:pPr>
        <w:jc w:val="both"/>
        <w:rPr>
          <w:rFonts w:ascii="Calibri" w:hAnsi="Calibri" w:cs="Arial"/>
          <w:color w:val="FF0000"/>
        </w:rPr>
      </w:pPr>
    </w:p>
    <w:p w14:paraId="04A9AFB1" w14:textId="77777777" w:rsidR="00FB18C3" w:rsidRPr="00945BED" w:rsidRDefault="00FB18C3" w:rsidP="00FB18C3">
      <w:pPr>
        <w:jc w:val="both"/>
        <w:rPr>
          <w:rFonts w:ascii="Calibri" w:hAnsi="Calibri" w:cs="Arial"/>
        </w:rPr>
      </w:pPr>
      <w:r w:rsidRPr="00945BED">
        <w:rPr>
          <w:rFonts w:ascii="Calibri" w:hAnsi="Calibri" w:cs="Arial"/>
        </w:rPr>
        <w:t>……………………………………..</w:t>
      </w:r>
    </w:p>
    <w:p w14:paraId="7CC5CC66" w14:textId="77777777" w:rsidR="00FB18C3" w:rsidRPr="00945BED" w:rsidRDefault="00FB18C3" w:rsidP="00FB18C3">
      <w:pPr>
        <w:jc w:val="both"/>
        <w:rPr>
          <w:rFonts w:ascii="Calibri" w:hAnsi="Calibri" w:cs="Arial"/>
          <w:sz w:val="22"/>
          <w:szCs w:val="22"/>
        </w:rPr>
      </w:pPr>
      <w:r w:rsidRPr="00945BED">
        <w:rPr>
          <w:rFonts w:ascii="Calibri" w:hAnsi="Calibri" w:cs="Arial"/>
          <w:sz w:val="22"/>
          <w:szCs w:val="22"/>
        </w:rPr>
        <w:t>Wojciech Mazur</w:t>
      </w:r>
    </w:p>
    <w:p w14:paraId="4B3F609C" w14:textId="77777777" w:rsidR="00FB18C3" w:rsidRPr="00945BED" w:rsidRDefault="00FB18C3" w:rsidP="00FB18C3">
      <w:pPr>
        <w:jc w:val="both"/>
        <w:rPr>
          <w:rFonts w:ascii="Calibri" w:hAnsi="Calibri" w:cs="Arial"/>
          <w:sz w:val="22"/>
          <w:szCs w:val="22"/>
        </w:rPr>
      </w:pPr>
      <w:r w:rsidRPr="00945BED">
        <w:rPr>
          <w:rFonts w:ascii="Calibri" w:hAnsi="Calibri" w:cs="Arial"/>
          <w:sz w:val="22"/>
          <w:szCs w:val="22"/>
        </w:rPr>
        <w:t>(Prezes Zarządu Dyrektor Naczelny)</w:t>
      </w:r>
    </w:p>
    <w:p w14:paraId="596A2EBE" w14:textId="77777777" w:rsidR="00FB18C3" w:rsidRPr="00945BED" w:rsidRDefault="00FB18C3" w:rsidP="00FB18C3">
      <w:pPr>
        <w:jc w:val="both"/>
        <w:rPr>
          <w:rFonts w:ascii="Calibri" w:hAnsi="Calibri" w:cs="Arial"/>
        </w:rPr>
      </w:pPr>
    </w:p>
    <w:p w14:paraId="59900258" w14:textId="77777777" w:rsidR="00FB18C3" w:rsidRPr="00945BED" w:rsidRDefault="00FB18C3" w:rsidP="00FB18C3">
      <w:pPr>
        <w:jc w:val="both"/>
        <w:rPr>
          <w:rFonts w:ascii="Calibri" w:hAnsi="Calibri" w:cs="Arial"/>
        </w:rPr>
      </w:pPr>
    </w:p>
    <w:p w14:paraId="04B6C336" w14:textId="77777777" w:rsidR="00FB18C3" w:rsidRPr="00945BED" w:rsidRDefault="00FB18C3" w:rsidP="00FB18C3">
      <w:pPr>
        <w:jc w:val="both"/>
        <w:rPr>
          <w:rFonts w:ascii="Calibri" w:hAnsi="Calibri" w:cs="Arial"/>
        </w:rPr>
      </w:pPr>
    </w:p>
    <w:p w14:paraId="726BAEE7" w14:textId="77777777" w:rsidR="00FB18C3" w:rsidRPr="00945BED" w:rsidRDefault="00FB18C3" w:rsidP="00FB18C3">
      <w:pPr>
        <w:rPr>
          <w:rFonts w:ascii="Calibri" w:hAnsi="Calibri" w:cs="Arial"/>
        </w:rPr>
      </w:pPr>
    </w:p>
    <w:p w14:paraId="2821CE47" w14:textId="77777777" w:rsidR="00FB18C3" w:rsidRPr="00945BED" w:rsidRDefault="00FB18C3" w:rsidP="00FB18C3">
      <w:pPr>
        <w:rPr>
          <w:rFonts w:ascii="Calibri" w:hAnsi="Calibri" w:cs="Arial"/>
        </w:rPr>
      </w:pPr>
    </w:p>
    <w:p w14:paraId="33F34519" w14:textId="77777777" w:rsidR="00FB18C3" w:rsidRPr="00945BED" w:rsidRDefault="00FB18C3" w:rsidP="00FB18C3">
      <w:pPr>
        <w:jc w:val="both"/>
        <w:rPr>
          <w:rFonts w:ascii="Calibri" w:hAnsi="Calibri" w:cs="Arial"/>
        </w:rPr>
      </w:pPr>
    </w:p>
    <w:p w14:paraId="16AE989E" w14:textId="77777777" w:rsidR="00FB18C3" w:rsidRDefault="00FB18C3" w:rsidP="00FB18C3">
      <w:pPr>
        <w:rPr>
          <w:rFonts w:ascii="Calibri" w:hAnsi="Calibri" w:cs="Arial"/>
          <w:color w:val="FF0000"/>
        </w:rPr>
      </w:pPr>
    </w:p>
    <w:p w14:paraId="43219248" w14:textId="77777777" w:rsidR="00D32B5C" w:rsidRDefault="00D32B5C" w:rsidP="00FB18C3">
      <w:pPr>
        <w:rPr>
          <w:rFonts w:ascii="Calibri" w:hAnsi="Calibri" w:cs="Arial"/>
          <w:color w:val="FF0000"/>
        </w:rPr>
      </w:pPr>
    </w:p>
    <w:p w14:paraId="79F5A66D" w14:textId="77777777" w:rsidR="00D32B5C" w:rsidRDefault="00D32B5C" w:rsidP="00FB18C3">
      <w:pPr>
        <w:rPr>
          <w:rFonts w:ascii="Calibri" w:hAnsi="Calibri" w:cs="Arial"/>
          <w:color w:val="FF0000"/>
        </w:rPr>
      </w:pPr>
    </w:p>
    <w:p w14:paraId="5FFE8E5E" w14:textId="77777777" w:rsidR="00D32B5C" w:rsidRDefault="00D32B5C" w:rsidP="00FB18C3">
      <w:pPr>
        <w:rPr>
          <w:rFonts w:ascii="Calibri" w:hAnsi="Calibri" w:cs="Arial"/>
          <w:color w:val="FF0000"/>
        </w:rPr>
      </w:pPr>
    </w:p>
    <w:p w14:paraId="43A8A635" w14:textId="77777777" w:rsidR="00D32B5C" w:rsidRPr="00945BED" w:rsidRDefault="00D32B5C" w:rsidP="00FB18C3">
      <w:pPr>
        <w:rPr>
          <w:rFonts w:ascii="Calibri" w:hAnsi="Calibri" w:cs="Arial"/>
          <w:color w:val="FF0000"/>
        </w:rPr>
      </w:pPr>
    </w:p>
    <w:p w14:paraId="37FD14F9" w14:textId="77777777" w:rsidR="00FB18C3" w:rsidRPr="00945BED" w:rsidRDefault="00FB18C3" w:rsidP="00FB18C3">
      <w:pPr>
        <w:rPr>
          <w:rFonts w:ascii="Calibri" w:hAnsi="Calibri" w:cs="Arial"/>
          <w:color w:val="FF0000"/>
        </w:rPr>
      </w:pPr>
    </w:p>
    <w:p w14:paraId="031A6682" w14:textId="77777777" w:rsidR="00FB18C3" w:rsidRPr="00945BED" w:rsidRDefault="00FB18C3" w:rsidP="00FB18C3">
      <w:pPr>
        <w:rPr>
          <w:rFonts w:ascii="Calibri" w:hAnsi="Calibri" w:cs="Arial"/>
          <w:color w:val="FF0000"/>
        </w:rPr>
      </w:pPr>
    </w:p>
    <w:p w14:paraId="26DB38BC" w14:textId="77777777" w:rsidR="00FB18C3" w:rsidRPr="00945BED" w:rsidRDefault="00FB18C3" w:rsidP="00FB18C3">
      <w:pPr>
        <w:rPr>
          <w:rFonts w:ascii="Calibri" w:hAnsi="Calibri" w:cs="Arial"/>
          <w:color w:val="FF0000"/>
        </w:rPr>
      </w:pPr>
    </w:p>
    <w:p w14:paraId="431C3DEB" w14:textId="77777777" w:rsidR="00FB18C3" w:rsidRPr="00945BED" w:rsidRDefault="00FB18C3" w:rsidP="00FB18C3">
      <w:pPr>
        <w:rPr>
          <w:rFonts w:ascii="Calibri" w:hAnsi="Calibri" w:cs="Arial"/>
          <w:color w:val="FF0000"/>
        </w:rPr>
      </w:pPr>
    </w:p>
    <w:p w14:paraId="2D804500" w14:textId="77777777" w:rsidR="00FB18C3" w:rsidRPr="00945BED" w:rsidRDefault="00FB18C3" w:rsidP="00FB18C3">
      <w:pPr>
        <w:rPr>
          <w:rFonts w:ascii="Calibri" w:hAnsi="Calibri" w:cs="Arial"/>
          <w:color w:val="FF0000"/>
        </w:rPr>
      </w:pPr>
    </w:p>
    <w:p w14:paraId="2CE3E8AB" w14:textId="77777777" w:rsidR="00FB18C3" w:rsidRPr="00945BED" w:rsidRDefault="00FB18C3" w:rsidP="00FB18C3">
      <w:pPr>
        <w:rPr>
          <w:rFonts w:ascii="Calibri" w:hAnsi="Calibri" w:cs="Arial"/>
          <w:color w:val="FF0000"/>
        </w:rPr>
      </w:pPr>
    </w:p>
    <w:p w14:paraId="3E61AF87" w14:textId="77777777" w:rsidR="00FB18C3" w:rsidRPr="00945BED" w:rsidRDefault="00FB18C3" w:rsidP="00FB18C3">
      <w:pPr>
        <w:rPr>
          <w:rFonts w:ascii="Calibri" w:hAnsi="Calibri" w:cs="Arial"/>
          <w:color w:val="FF0000"/>
        </w:rPr>
      </w:pPr>
    </w:p>
    <w:p w14:paraId="4497ABDA" w14:textId="77777777" w:rsidR="00FB18C3" w:rsidRPr="00945BED" w:rsidRDefault="00FB18C3" w:rsidP="00FB18C3">
      <w:pPr>
        <w:rPr>
          <w:rFonts w:ascii="Calibri" w:hAnsi="Calibri" w:cs="Arial"/>
          <w:color w:val="FF0000"/>
        </w:rPr>
      </w:pPr>
    </w:p>
    <w:p w14:paraId="09A8B3EC" w14:textId="77777777" w:rsidR="00FB18C3" w:rsidRPr="00945BED" w:rsidRDefault="00FB18C3" w:rsidP="00FB18C3">
      <w:pPr>
        <w:rPr>
          <w:rFonts w:ascii="Calibri" w:hAnsi="Calibri" w:cs="Arial"/>
          <w:color w:val="FF0000"/>
        </w:rPr>
      </w:pPr>
    </w:p>
    <w:p w14:paraId="280B2387" w14:textId="77777777" w:rsidR="00FB18C3" w:rsidRPr="00945BED" w:rsidRDefault="00FB18C3" w:rsidP="00FB18C3">
      <w:pPr>
        <w:rPr>
          <w:rFonts w:ascii="Calibri" w:hAnsi="Calibri" w:cs="Arial"/>
          <w:color w:val="FF0000"/>
        </w:rPr>
      </w:pPr>
    </w:p>
    <w:p w14:paraId="4E5EADC3" w14:textId="77777777" w:rsidR="00FB18C3" w:rsidRPr="00945BED" w:rsidRDefault="00FB18C3" w:rsidP="00FB18C3">
      <w:pPr>
        <w:rPr>
          <w:rFonts w:ascii="Calibri" w:hAnsi="Calibri" w:cs="Arial"/>
          <w:color w:val="FF0000"/>
        </w:rPr>
      </w:pPr>
    </w:p>
    <w:p w14:paraId="213CE2C4" w14:textId="77777777" w:rsidR="00FB18C3" w:rsidRPr="00945BED" w:rsidRDefault="00FB18C3" w:rsidP="00FB18C3">
      <w:pPr>
        <w:rPr>
          <w:rFonts w:ascii="Calibri" w:hAnsi="Calibri" w:cs="Arial"/>
          <w:color w:val="FF0000"/>
        </w:rPr>
      </w:pPr>
    </w:p>
    <w:p w14:paraId="37D43346" w14:textId="77777777" w:rsidR="00FB18C3" w:rsidRPr="00945BED" w:rsidRDefault="00FB18C3" w:rsidP="00FB18C3">
      <w:pPr>
        <w:rPr>
          <w:rFonts w:ascii="Calibri" w:hAnsi="Calibri" w:cs="Arial"/>
          <w:color w:val="FF0000"/>
        </w:rPr>
      </w:pPr>
    </w:p>
    <w:p w14:paraId="62BFD580" w14:textId="77777777" w:rsidR="00FB18C3" w:rsidRPr="00945BED" w:rsidRDefault="00FB18C3" w:rsidP="00FB18C3">
      <w:pPr>
        <w:rPr>
          <w:rFonts w:ascii="Calibri" w:hAnsi="Calibri" w:cs="Arial"/>
          <w:color w:val="FF0000"/>
        </w:rPr>
      </w:pPr>
    </w:p>
    <w:p w14:paraId="746E7DDE" w14:textId="77777777" w:rsidR="00FB18C3" w:rsidRPr="00945BED" w:rsidRDefault="00FB18C3" w:rsidP="00FB18C3">
      <w:pPr>
        <w:rPr>
          <w:rFonts w:ascii="Calibri" w:hAnsi="Calibri" w:cs="Arial"/>
          <w:color w:val="FF0000"/>
        </w:rPr>
      </w:pPr>
    </w:p>
    <w:p w14:paraId="4DDF9CD7" w14:textId="77777777" w:rsidR="00FB18C3" w:rsidRPr="00945BED" w:rsidRDefault="00FB18C3" w:rsidP="00FB18C3">
      <w:pPr>
        <w:rPr>
          <w:rFonts w:ascii="Calibri" w:hAnsi="Calibri" w:cs="Arial"/>
          <w:color w:val="FF0000"/>
        </w:rPr>
      </w:pPr>
    </w:p>
    <w:p w14:paraId="1690D33A" w14:textId="77777777" w:rsidR="00FB18C3" w:rsidRPr="00945BED" w:rsidRDefault="00FB18C3" w:rsidP="00FB18C3">
      <w:pPr>
        <w:rPr>
          <w:rFonts w:ascii="Calibri" w:hAnsi="Calibri" w:cs="Arial"/>
          <w:color w:val="FF0000"/>
        </w:rPr>
      </w:pPr>
    </w:p>
    <w:p w14:paraId="4D0419DB" w14:textId="77777777" w:rsidR="00FB18C3" w:rsidRPr="00044679" w:rsidRDefault="00FB18C3" w:rsidP="00FB18C3">
      <w:pPr>
        <w:rPr>
          <w:rFonts w:ascii="Calibri" w:hAnsi="Calibri"/>
          <w:color w:val="FF0000"/>
          <w:sz w:val="22"/>
          <w:szCs w:val="22"/>
        </w:rPr>
      </w:pPr>
      <w:r w:rsidRPr="00945BED">
        <w:rPr>
          <w:rFonts w:ascii="Calibri" w:hAnsi="Calibri" w:cs="Arial"/>
          <w:sz w:val="22"/>
          <w:szCs w:val="22"/>
        </w:rPr>
        <w:t>Oświęcim, dnia</w:t>
      </w:r>
      <w:r w:rsidRPr="00945BED">
        <w:rPr>
          <w:rFonts w:ascii="Calibri" w:hAnsi="Calibri" w:cs="Arial"/>
          <w:color w:val="FF0000"/>
          <w:sz w:val="22"/>
          <w:szCs w:val="22"/>
        </w:rPr>
        <w:t xml:space="preserve"> </w:t>
      </w:r>
      <w:r w:rsidRPr="00945BED">
        <w:rPr>
          <w:rFonts w:ascii="Calibri" w:hAnsi="Calibri" w:cs="Arial"/>
          <w:sz w:val="22"/>
          <w:szCs w:val="22"/>
        </w:rPr>
        <w:t>2</w:t>
      </w:r>
      <w:r w:rsidR="00E07855">
        <w:rPr>
          <w:rFonts w:ascii="Calibri" w:hAnsi="Calibri" w:cs="Arial"/>
          <w:sz w:val="22"/>
          <w:szCs w:val="22"/>
        </w:rPr>
        <w:t>9</w:t>
      </w:r>
      <w:r w:rsidRPr="00945BED">
        <w:rPr>
          <w:rFonts w:ascii="Calibri" w:hAnsi="Calibri" w:cs="Arial"/>
          <w:sz w:val="22"/>
          <w:szCs w:val="22"/>
        </w:rPr>
        <w:t xml:space="preserve"> sierpnia</w:t>
      </w:r>
      <w:r w:rsidRPr="00945BED">
        <w:rPr>
          <w:rFonts w:ascii="Calibri" w:hAnsi="Calibri" w:cs="Arial"/>
          <w:color w:val="FF0000"/>
          <w:sz w:val="22"/>
          <w:szCs w:val="22"/>
        </w:rPr>
        <w:t xml:space="preserve"> </w:t>
      </w:r>
      <w:r w:rsidR="00D32B5C">
        <w:rPr>
          <w:rFonts w:ascii="Calibri" w:hAnsi="Calibri" w:cs="Arial"/>
          <w:sz w:val="22"/>
          <w:szCs w:val="22"/>
        </w:rPr>
        <w:t>2016</w:t>
      </w:r>
      <w:r w:rsidRPr="00945BED">
        <w:rPr>
          <w:rFonts w:ascii="Calibri" w:hAnsi="Calibri" w:cs="Arial"/>
          <w:sz w:val="22"/>
          <w:szCs w:val="22"/>
        </w:rPr>
        <w:t xml:space="preserve"> rok</w:t>
      </w:r>
    </w:p>
    <w:p w14:paraId="3160D2D5" w14:textId="77777777" w:rsidR="006D7011" w:rsidRPr="00563F49" w:rsidRDefault="00E15EC9" w:rsidP="00FB18C3">
      <w:pPr>
        <w:jc w:val="both"/>
        <w:rPr>
          <w:rFonts w:ascii="Calibri" w:hAnsi="Calibri"/>
          <w:color w:val="FF0000"/>
        </w:rPr>
      </w:pPr>
      <w:r>
        <w:rPr>
          <w:rFonts w:ascii="Calibri" w:hAnsi="Calibri"/>
          <w:color w:val="FF0000"/>
        </w:rPr>
        <w:br/>
      </w:r>
      <w:r>
        <w:rPr>
          <w:rFonts w:ascii="Calibri" w:hAnsi="Calibri"/>
          <w:color w:val="FF0000"/>
        </w:rPr>
        <w:br/>
      </w:r>
      <w:r>
        <w:rPr>
          <w:rFonts w:ascii="Calibri" w:hAnsi="Calibri"/>
          <w:color w:val="FF0000"/>
        </w:rPr>
        <w:br/>
      </w:r>
    </w:p>
    <w:sectPr w:rsidR="006D7011" w:rsidRPr="00563F49" w:rsidSect="00B41C6B">
      <w:headerReference w:type="default" r:id="rId11"/>
      <w:footerReference w:type="even" r:id="rId12"/>
      <w:footerReference w:type="default" r:id="rId13"/>
      <w:pgSz w:w="11906" w:h="16838"/>
      <w:pgMar w:top="1418" w:right="1418" w:bottom="1276"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40D118" w15:done="0"/>
  <w15:commentEx w15:paraId="67A2384B" w15:done="0"/>
  <w15:commentEx w15:paraId="55568663" w15:paraIdParent="67A2384B" w15:done="0"/>
  <w15:commentEx w15:paraId="736E6871" w15:done="0"/>
  <w15:commentEx w15:paraId="6DA9A724" w15:done="0"/>
  <w15:commentEx w15:paraId="207E0618" w15:done="0"/>
  <w15:commentEx w15:paraId="1DBC7D7E" w15:done="0"/>
  <w15:commentEx w15:paraId="63271C25" w15:done="0"/>
  <w15:commentEx w15:paraId="6E6F9B51" w15:done="0"/>
  <w15:commentEx w15:paraId="4AA67780" w15:done="0"/>
  <w15:commentEx w15:paraId="6F4333C0" w15:done="0"/>
  <w15:commentEx w15:paraId="00254D2E" w15:done="0"/>
  <w15:commentEx w15:paraId="320E9E13" w15:paraIdParent="00254D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0741" w14:textId="77777777" w:rsidR="008B6DA2" w:rsidRDefault="008B6DA2">
      <w:r>
        <w:separator/>
      </w:r>
    </w:p>
  </w:endnote>
  <w:endnote w:type="continuationSeparator" w:id="0">
    <w:p w14:paraId="125C8FC6" w14:textId="77777777" w:rsidR="008B6DA2" w:rsidRDefault="008B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TTE2864120t00">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7" w:usb1="08070000" w:usb2="00000010" w:usb3="00000000" w:csb0="00020003" w:csb1="00000000"/>
  </w:font>
  <w:font w:name="ArialNarrow,Bold">
    <w:altName w:val="MS Mincho"/>
    <w:panose1 w:val="00000000000000000000"/>
    <w:charset w:val="80"/>
    <w:family w:val="auto"/>
    <w:notTrueType/>
    <w:pitch w:val="default"/>
    <w:sig w:usb0="00000001" w:usb1="08070000" w:usb2="00000010" w:usb3="00000000" w:csb0="00020000"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DE21D" w14:textId="77777777" w:rsidR="00061E70" w:rsidRDefault="00061E70" w:rsidP="006D70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D85E22" w14:textId="77777777" w:rsidR="00061E70" w:rsidRDefault="00061E70" w:rsidP="00E5671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B6C56" w14:textId="5BF94419" w:rsidR="00061E70" w:rsidRPr="00E5671C" w:rsidRDefault="00061E70" w:rsidP="006D7011">
    <w:pPr>
      <w:pStyle w:val="Stopka"/>
      <w:framePr w:wrap="around" w:vAnchor="text" w:hAnchor="margin" w:xAlign="right" w:y="1"/>
      <w:rPr>
        <w:rStyle w:val="Numerstrony"/>
        <w:rFonts w:ascii="Calibri" w:hAnsi="Calibri"/>
      </w:rPr>
    </w:pPr>
    <w:r w:rsidRPr="00E5671C">
      <w:rPr>
        <w:rStyle w:val="Numerstrony"/>
        <w:rFonts w:ascii="Calibri" w:hAnsi="Calibri"/>
      </w:rPr>
      <w:fldChar w:fldCharType="begin"/>
    </w:r>
    <w:r w:rsidRPr="00E5671C">
      <w:rPr>
        <w:rStyle w:val="Numerstrony"/>
        <w:rFonts w:ascii="Calibri" w:hAnsi="Calibri"/>
      </w:rPr>
      <w:instrText xml:space="preserve">PAGE  </w:instrText>
    </w:r>
    <w:r w:rsidRPr="00E5671C">
      <w:rPr>
        <w:rStyle w:val="Numerstrony"/>
        <w:rFonts w:ascii="Calibri" w:hAnsi="Calibri"/>
      </w:rPr>
      <w:fldChar w:fldCharType="separate"/>
    </w:r>
    <w:r w:rsidR="00B15963">
      <w:rPr>
        <w:rStyle w:val="Numerstrony"/>
        <w:rFonts w:ascii="Calibri" w:hAnsi="Calibri"/>
        <w:noProof/>
      </w:rPr>
      <w:t>2</w:t>
    </w:r>
    <w:r w:rsidRPr="00E5671C">
      <w:rPr>
        <w:rStyle w:val="Numerstrony"/>
        <w:rFonts w:ascii="Calibri" w:hAnsi="Calibri"/>
      </w:rPr>
      <w:fldChar w:fldCharType="end"/>
    </w:r>
  </w:p>
  <w:p w14:paraId="04D7F989" w14:textId="77777777" w:rsidR="00061E70" w:rsidRDefault="00061E70" w:rsidP="00E5671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9A625" w14:textId="77777777" w:rsidR="008B6DA2" w:rsidRDefault="008B6DA2">
      <w:r>
        <w:separator/>
      </w:r>
    </w:p>
  </w:footnote>
  <w:footnote w:type="continuationSeparator" w:id="0">
    <w:p w14:paraId="040418E4" w14:textId="77777777" w:rsidR="008B6DA2" w:rsidRDefault="008B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5175A" w14:textId="77777777" w:rsidR="00061E70" w:rsidRDefault="00061E70" w:rsidP="00C76F9A">
    <w:pPr>
      <w:pStyle w:val="Nagwek"/>
      <w:pBdr>
        <w:bottom w:val="outset" w:sz="6" w:space="1" w:color="auto"/>
      </w:pBdr>
      <w:tabs>
        <w:tab w:val="left" w:pos="2410"/>
      </w:tabs>
      <w:rPr>
        <w:rFonts w:ascii="Calibri" w:hAnsi="Calibri"/>
        <w:color w:val="7F7F7F" w:themeColor="text1" w:themeTint="80"/>
        <w:sz w:val="22"/>
        <w:szCs w:val="22"/>
      </w:rPr>
    </w:pPr>
  </w:p>
  <w:p w14:paraId="527E30DD" w14:textId="77777777" w:rsidR="00061E70" w:rsidRPr="00C7408F" w:rsidRDefault="00061E70" w:rsidP="001F4E2B">
    <w:pPr>
      <w:pStyle w:val="Nagwek"/>
      <w:pBdr>
        <w:bottom w:val="outset" w:sz="6" w:space="1" w:color="auto"/>
      </w:pBdr>
      <w:tabs>
        <w:tab w:val="left" w:pos="2410"/>
      </w:tabs>
      <w:ind w:firstLine="3261"/>
      <w:rPr>
        <w:rFonts w:ascii="Calibri" w:hAnsi="Calibri"/>
        <w:color w:val="7F7F7F" w:themeColor="text1" w:themeTint="80"/>
        <w:sz w:val="22"/>
        <w:szCs w:val="22"/>
      </w:rPr>
    </w:pPr>
    <w:r w:rsidRPr="00C7408F">
      <w:rPr>
        <w:rFonts w:ascii="Calibri" w:hAnsi="Calibri"/>
        <w:noProof/>
        <w:color w:val="7F7F7F" w:themeColor="text1" w:themeTint="80"/>
        <w:sz w:val="22"/>
        <w:szCs w:val="22"/>
      </w:rPr>
      <w:drawing>
        <wp:anchor distT="0" distB="0" distL="114300" distR="114300" simplePos="0" relativeHeight="251659264" behindDoc="0" locked="0" layoutInCell="1" allowOverlap="1" wp14:anchorId="0082E638" wp14:editId="38C6AE36">
          <wp:simplePos x="0" y="0"/>
          <wp:positionH relativeFrom="column">
            <wp:posOffset>394970</wp:posOffset>
          </wp:positionH>
          <wp:positionV relativeFrom="paragraph">
            <wp:posOffset>-70485</wp:posOffset>
          </wp:positionV>
          <wp:extent cx="1323975" cy="476250"/>
          <wp:effectExtent l="19050" t="0" r="9525" b="0"/>
          <wp:wrapSquare wrapText="bothSides"/>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323975" cy="476250"/>
                  </a:xfrm>
                  <a:prstGeom prst="rect">
                    <a:avLst/>
                  </a:prstGeom>
                  <a:noFill/>
                  <a:ln w="9525">
                    <a:noFill/>
                    <a:miter lim="800000"/>
                    <a:headEnd/>
                    <a:tailEnd/>
                  </a:ln>
                </pic:spPr>
              </pic:pic>
            </a:graphicData>
          </a:graphic>
        </wp:anchor>
      </w:drawing>
    </w:r>
    <w:r>
      <w:rPr>
        <w:rFonts w:ascii="Calibri" w:hAnsi="Calibri"/>
        <w:color w:val="7F7F7F" w:themeColor="text1" w:themeTint="80"/>
        <w:sz w:val="22"/>
        <w:szCs w:val="22"/>
      </w:rPr>
      <w:t>Skonsolidowane sprawozdanie z działalności Grupy Kapitałowej</w:t>
    </w:r>
    <w:r w:rsidRPr="00C7408F">
      <w:rPr>
        <w:rFonts w:ascii="Calibri" w:hAnsi="Calibri"/>
        <w:color w:val="7F7F7F" w:themeColor="text1" w:themeTint="80"/>
        <w:sz w:val="22"/>
        <w:szCs w:val="22"/>
      </w:rPr>
      <w:t xml:space="preserve"> </w:t>
    </w:r>
  </w:p>
  <w:p w14:paraId="4E255D09" w14:textId="77777777" w:rsidR="00061E70" w:rsidRDefault="00061E70" w:rsidP="001F4E2B">
    <w:pPr>
      <w:pStyle w:val="Nagwek"/>
      <w:pBdr>
        <w:bottom w:val="outset" w:sz="6" w:space="1" w:color="auto"/>
      </w:pBdr>
      <w:tabs>
        <w:tab w:val="left" w:pos="3261"/>
      </w:tabs>
      <w:rPr>
        <w:rFonts w:ascii="Calibri" w:hAnsi="Calibri"/>
        <w:color w:val="7F7F7F" w:themeColor="text1" w:themeTint="80"/>
        <w:sz w:val="22"/>
        <w:szCs w:val="22"/>
      </w:rPr>
    </w:pPr>
    <w:r w:rsidRPr="00C7408F">
      <w:rPr>
        <w:rFonts w:ascii="Calibri" w:hAnsi="Calibri"/>
        <w:color w:val="7F7F7F" w:themeColor="text1" w:themeTint="80"/>
        <w:sz w:val="22"/>
        <w:szCs w:val="22"/>
      </w:rPr>
      <w:tab/>
    </w:r>
    <w:r>
      <w:rPr>
        <w:rFonts w:ascii="Calibri" w:hAnsi="Calibri"/>
        <w:color w:val="7F7F7F" w:themeColor="text1" w:themeTint="80"/>
        <w:sz w:val="22"/>
        <w:szCs w:val="22"/>
      </w:rPr>
      <w:t>za pierwsze półrocze 2016 roku</w:t>
    </w:r>
  </w:p>
  <w:p w14:paraId="0A6EF871" w14:textId="77777777" w:rsidR="00061E70" w:rsidRPr="00785E30" w:rsidRDefault="00061E70" w:rsidP="001F4E2B">
    <w:pPr>
      <w:pStyle w:val="Nagwek"/>
      <w:pBdr>
        <w:bottom w:val="outset" w:sz="6" w:space="1" w:color="auto"/>
      </w:pBdr>
      <w:tabs>
        <w:tab w:val="left" w:pos="3261"/>
      </w:tabs>
      <w:rPr>
        <w:rFonts w:ascii="Calibri" w:hAnsi="Calibri"/>
        <w:color w:val="7F7F7F" w:themeColor="text1" w:themeTint="80"/>
        <w:sz w:val="12"/>
        <w:szCs w:val="12"/>
      </w:rPr>
    </w:pPr>
  </w:p>
  <w:p w14:paraId="5CC022E1" w14:textId="77777777" w:rsidR="00061E70" w:rsidRPr="00F66C6E" w:rsidRDefault="00061E70" w:rsidP="001F4E2B">
    <w:pPr>
      <w:pStyle w:val="Nagwek"/>
      <w:rPr>
        <w:rFonts w:ascii="Calibri" w:hAnsi="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7084"/>
    <w:multiLevelType w:val="hybridMultilevel"/>
    <w:tmpl w:val="D804ACE8"/>
    <w:lvl w:ilvl="0" w:tplc="389658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1EE1CE8"/>
    <w:multiLevelType w:val="hybridMultilevel"/>
    <w:tmpl w:val="2856C6C8"/>
    <w:lvl w:ilvl="0" w:tplc="04150001">
      <w:start w:val="1"/>
      <w:numFmt w:val="bullet"/>
      <w:lvlText w:val=""/>
      <w:lvlJc w:val="left"/>
      <w:pPr>
        <w:ind w:left="720" w:hanging="360"/>
      </w:pPr>
      <w:rPr>
        <w:rFonts w:ascii="Symbol" w:hAnsi="Symbol" w:hint="default"/>
      </w:rPr>
    </w:lvl>
    <w:lvl w:ilvl="1" w:tplc="04150003" w:tentative="1">
      <w:start w:val="1"/>
      <w:numFmt w:val="bullet"/>
      <w:pStyle w:val="wypunktowanie2sprawozdanie"/>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272226"/>
    <w:multiLevelType w:val="hybridMultilevel"/>
    <w:tmpl w:val="0DD0675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
    <w:nsid w:val="122C559F"/>
    <w:multiLevelType w:val="hybridMultilevel"/>
    <w:tmpl w:val="75B873D0"/>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0E0961"/>
    <w:multiLevelType w:val="hybridMultilevel"/>
    <w:tmpl w:val="310E4D7E"/>
    <w:lvl w:ilvl="0" w:tplc="041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E680C"/>
    <w:multiLevelType w:val="hybridMultilevel"/>
    <w:tmpl w:val="E45082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700853"/>
    <w:multiLevelType w:val="hybridMultilevel"/>
    <w:tmpl w:val="2A2AE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0366CE"/>
    <w:multiLevelType w:val="hybridMultilevel"/>
    <w:tmpl w:val="59DC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4073B1"/>
    <w:multiLevelType w:val="hybridMultilevel"/>
    <w:tmpl w:val="5A840D0E"/>
    <w:lvl w:ilvl="0" w:tplc="847048D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9A461F"/>
    <w:multiLevelType w:val="hybridMultilevel"/>
    <w:tmpl w:val="9CFCFA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2A844496"/>
    <w:multiLevelType w:val="multilevel"/>
    <w:tmpl w:val="CC461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E15061A"/>
    <w:multiLevelType w:val="hybridMultilevel"/>
    <w:tmpl w:val="1FBA6B6E"/>
    <w:lvl w:ilvl="0" w:tplc="041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92FB4"/>
    <w:multiLevelType w:val="hybridMultilevel"/>
    <w:tmpl w:val="86CE2516"/>
    <w:lvl w:ilvl="0" w:tplc="09FC6ED0">
      <w:start w:val="1"/>
      <w:numFmt w:val="bullet"/>
      <w:lvlText w:val=""/>
      <w:lvlJc w:val="left"/>
      <w:pPr>
        <w:tabs>
          <w:tab w:val="num" w:pos="927"/>
        </w:tabs>
        <w:ind w:left="927" w:hanging="360"/>
      </w:pPr>
      <w:rPr>
        <w:rFonts w:ascii="Symbol" w:hAnsi="Symbol" w:hint="default"/>
        <w:color w:val="auto"/>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3">
    <w:nsid w:val="36B040DC"/>
    <w:multiLevelType w:val="hybridMultilevel"/>
    <w:tmpl w:val="A680142E"/>
    <w:lvl w:ilvl="0" w:tplc="F70ACF26">
      <w:start w:val="1"/>
      <w:numFmt w:val="bullet"/>
      <w:lvlText w:val=""/>
      <w:lvlJc w:val="left"/>
      <w:pPr>
        <w:tabs>
          <w:tab w:val="num" w:pos="720"/>
        </w:tabs>
        <w:ind w:left="720" w:hanging="360"/>
      </w:pPr>
      <w:rPr>
        <w:rFonts w:ascii="Symbol" w:hAnsi="Symbol" w:hint="default"/>
        <w:color w:val="auto"/>
      </w:rPr>
    </w:lvl>
    <w:lvl w:ilvl="1" w:tplc="09FC6ED0">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176C8F"/>
    <w:multiLevelType w:val="hybridMultilevel"/>
    <w:tmpl w:val="AC524AC4"/>
    <w:lvl w:ilvl="0" w:tplc="D4B4AF3C">
      <w:start w:val="1"/>
      <w:numFmt w:val="bullet"/>
      <w:lvlText w:val=""/>
      <w:lvlJc w:val="left"/>
      <w:pPr>
        <w:tabs>
          <w:tab w:val="num" w:pos="720"/>
        </w:tabs>
        <w:ind w:left="720" w:hanging="360"/>
      </w:pPr>
      <w:rPr>
        <w:rFonts w:ascii="Symbol" w:hAnsi="Symbol" w:hint="default"/>
        <w:color w:val="auto"/>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EA170DF"/>
    <w:multiLevelType w:val="hybridMultilevel"/>
    <w:tmpl w:val="D3C84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427745"/>
    <w:multiLevelType w:val="hybridMultilevel"/>
    <w:tmpl w:val="CDBC55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42057372"/>
    <w:multiLevelType w:val="hybridMultilevel"/>
    <w:tmpl w:val="75CEC4EA"/>
    <w:lvl w:ilvl="0" w:tplc="09FC6ED0">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DA171A9"/>
    <w:multiLevelType w:val="hybridMultilevel"/>
    <w:tmpl w:val="872AF49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4F3311A2"/>
    <w:multiLevelType w:val="hybridMultilevel"/>
    <w:tmpl w:val="6108EDF2"/>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20">
    <w:nsid w:val="54A92D40"/>
    <w:multiLevelType w:val="hybridMultilevel"/>
    <w:tmpl w:val="3FAC2B20"/>
    <w:lvl w:ilvl="0" w:tplc="04150001">
      <w:start w:val="1"/>
      <w:numFmt w:val="bullet"/>
      <w:lvlText w:val=""/>
      <w:lvlJc w:val="left"/>
      <w:pPr>
        <w:ind w:left="927" w:hanging="360"/>
      </w:pPr>
      <w:rPr>
        <w:rFonts w:ascii="Symbol" w:hAnsi="Symbol"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1">
    <w:nsid w:val="55C8308D"/>
    <w:multiLevelType w:val="hybridMultilevel"/>
    <w:tmpl w:val="A34E7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902685E"/>
    <w:multiLevelType w:val="hybridMultilevel"/>
    <w:tmpl w:val="E9A6335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3">
    <w:nsid w:val="59CD5763"/>
    <w:multiLevelType w:val="hybridMultilevel"/>
    <w:tmpl w:val="0A163608"/>
    <w:lvl w:ilvl="0" w:tplc="79308382">
      <w:start w:val="1"/>
      <w:numFmt w:val="bullet"/>
      <w:lvlText w:val=""/>
      <w:lvlJc w:val="left"/>
      <w:pPr>
        <w:ind w:left="1259"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1745FB8"/>
    <w:multiLevelType w:val="hybridMultilevel"/>
    <w:tmpl w:val="AE34976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D95AD2"/>
    <w:multiLevelType w:val="hybridMultilevel"/>
    <w:tmpl w:val="06AC5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B913CD"/>
    <w:multiLevelType w:val="hybridMultilevel"/>
    <w:tmpl w:val="C85ACB74"/>
    <w:lvl w:ilvl="0" w:tplc="F70ACF26">
      <w:start w:val="1"/>
      <w:numFmt w:val="bullet"/>
      <w:lvlText w:val=""/>
      <w:lvlJc w:val="left"/>
      <w:pPr>
        <w:tabs>
          <w:tab w:val="num" w:pos="1713"/>
        </w:tabs>
        <w:ind w:left="1713"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36C4DD8"/>
    <w:multiLevelType w:val="hybridMultilevel"/>
    <w:tmpl w:val="2272B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AE328A0"/>
    <w:multiLevelType w:val="hybridMultilevel"/>
    <w:tmpl w:val="AA38B7FE"/>
    <w:lvl w:ilvl="0" w:tplc="04150001">
      <w:start w:val="1"/>
      <w:numFmt w:val="bullet"/>
      <w:lvlText w:val=""/>
      <w:lvlJc w:val="left"/>
      <w:pPr>
        <w:ind w:left="1287" w:hanging="360"/>
      </w:pPr>
      <w:rPr>
        <w:rFonts w:ascii="Symbol" w:hAnsi="Symbol" w:hint="default"/>
      </w:rPr>
    </w:lvl>
    <w:lvl w:ilvl="1" w:tplc="04150001">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1"/>
  </w:num>
  <w:num w:numId="2">
    <w:abstractNumId w:val="12"/>
  </w:num>
  <w:num w:numId="3">
    <w:abstractNumId w:val="14"/>
  </w:num>
  <w:num w:numId="4">
    <w:abstractNumId w:val="13"/>
  </w:num>
  <w:num w:numId="5">
    <w:abstractNumId w:val="23"/>
  </w:num>
  <w:num w:numId="6">
    <w:abstractNumId w:val="25"/>
  </w:num>
  <w:num w:numId="7">
    <w:abstractNumId w:val="5"/>
  </w:num>
  <w:num w:numId="8">
    <w:abstractNumId w:val="1"/>
  </w:num>
  <w:num w:numId="9">
    <w:abstractNumId w:val="2"/>
  </w:num>
  <w:num w:numId="10">
    <w:abstractNumId w:val="16"/>
  </w:num>
  <w:num w:numId="11">
    <w:abstractNumId w:val="6"/>
  </w:num>
  <w:num w:numId="12">
    <w:abstractNumId w:val="26"/>
  </w:num>
  <w:num w:numId="13">
    <w:abstractNumId w:val="28"/>
  </w:num>
  <w:num w:numId="14">
    <w:abstractNumId w:val="20"/>
  </w:num>
  <w:num w:numId="15">
    <w:abstractNumId w:val="9"/>
  </w:num>
  <w:num w:numId="16">
    <w:abstractNumId w:val="3"/>
  </w:num>
  <w:num w:numId="17">
    <w:abstractNumId w:val="24"/>
  </w:num>
  <w:num w:numId="18">
    <w:abstractNumId w:val="18"/>
  </w:num>
  <w:num w:numId="19">
    <w:abstractNumId w:val="0"/>
  </w:num>
  <w:num w:numId="20">
    <w:abstractNumId w:val="19"/>
  </w:num>
  <w:num w:numId="21">
    <w:abstractNumId w:val="22"/>
  </w:num>
  <w:num w:numId="22">
    <w:abstractNumId w:val="11"/>
  </w:num>
  <w:num w:numId="23">
    <w:abstractNumId w:val="4"/>
  </w:num>
  <w:num w:numId="24">
    <w:abstractNumId w:val="8"/>
  </w:num>
  <w:num w:numId="25">
    <w:abstractNumId w:val="7"/>
  </w:num>
  <w:num w:numId="26">
    <w:abstractNumId w:val="15"/>
  </w:num>
  <w:num w:numId="27">
    <w:abstractNumId w:val="27"/>
  </w:num>
  <w:num w:numId="28">
    <w:abstractNumId w:val="10"/>
  </w:num>
  <w:num w:numId="29">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zwigonska-m">
    <w15:presenceInfo w15:providerId="None" w15:userId="dzwigonsk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A7"/>
    <w:rsid w:val="00002E0E"/>
    <w:rsid w:val="000039C8"/>
    <w:rsid w:val="00005C8F"/>
    <w:rsid w:val="00006E18"/>
    <w:rsid w:val="00006FF5"/>
    <w:rsid w:val="00014F55"/>
    <w:rsid w:val="00015850"/>
    <w:rsid w:val="00021A45"/>
    <w:rsid w:val="000224FF"/>
    <w:rsid w:val="00022C36"/>
    <w:rsid w:val="00023FC2"/>
    <w:rsid w:val="0002438F"/>
    <w:rsid w:val="00024AFB"/>
    <w:rsid w:val="00026C22"/>
    <w:rsid w:val="0002764B"/>
    <w:rsid w:val="00032AF9"/>
    <w:rsid w:val="00032BDF"/>
    <w:rsid w:val="00033858"/>
    <w:rsid w:val="000369AE"/>
    <w:rsid w:val="000372A9"/>
    <w:rsid w:val="0004330F"/>
    <w:rsid w:val="000440AB"/>
    <w:rsid w:val="00045896"/>
    <w:rsid w:val="000468C1"/>
    <w:rsid w:val="00050F1C"/>
    <w:rsid w:val="00053177"/>
    <w:rsid w:val="00054AF6"/>
    <w:rsid w:val="00056BD0"/>
    <w:rsid w:val="00057DB1"/>
    <w:rsid w:val="00061E70"/>
    <w:rsid w:val="000626BA"/>
    <w:rsid w:val="00062B01"/>
    <w:rsid w:val="00063374"/>
    <w:rsid w:val="00065BCA"/>
    <w:rsid w:val="00065D8D"/>
    <w:rsid w:val="00071C74"/>
    <w:rsid w:val="00072BEC"/>
    <w:rsid w:val="000744D1"/>
    <w:rsid w:val="000819FE"/>
    <w:rsid w:val="0008204C"/>
    <w:rsid w:val="0008786B"/>
    <w:rsid w:val="00090F4D"/>
    <w:rsid w:val="00091535"/>
    <w:rsid w:val="00093554"/>
    <w:rsid w:val="000970B1"/>
    <w:rsid w:val="000A06CB"/>
    <w:rsid w:val="000A0A54"/>
    <w:rsid w:val="000A1E30"/>
    <w:rsid w:val="000A28C9"/>
    <w:rsid w:val="000A2EEB"/>
    <w:rsid w:val="000A3917"/>
    <w:rsid w:val="000A63FA"/>
    <w:rsid w:val="000A7D6E"/>
    <w:rsid w:val="000B0602"/>
    <w:rsid w:val="000C0AC8"/>
    <w:rsid w:val="000C26EC"/>
    <w:rsid w:val="000D0225"/>
    <w:rsid w:val="000D3801"/>
    <w:rsid w:val="000E1E95"/>
    <w:rsid w:val="000E325B"/>
    <w:rsid w:val="000E4572"/>
    <w:rsid w:val="000E5017"/>
    <w:rsid w:val="000E597A"/>
    <w:rsid w:val="000E7C0A"/>
    <w:rsid w:val="000F1812"/>
    <w:rsid w:val="000F371B"/>
    <w:rsid w:val="0010020D"/>
    <w:rsid w:val="00100701"/>
    <w:rsid w:val="00104FCD"/>
    <w:rsid w:val="00106719"/>
    <w:rsid w:val="00113F3F"/>
    <w:rsid w:val="00115343"/>
    <w:rsid w:val="00115882"/>
    <w:rsid w:val="001172C4"/>
    <w:rsid w:val="0012274C"/>
    <w:rsid w:val="00130E5B"/>
    <w:rsid w:val="001316C6"/>
    <w:rsid w:val="001332D6"/>
    <w:rsid w:val="00135CFB"/>
    <w:rsid w:val="001404E7"/>
    <w:rsid w:val="00141101"/>
    <w:rsid w:val="00141D12"/>
    <w:rsid w:val="00144049"/>
    <w:rsid w:val="00144673"/>
    <w:rsid w:val="00145640"/>
    <w:rsid w:val="00146C9B"/>
    <w:rsid w:val="00146E3C"/>
    <w:rsid w:val="00151274"/>
    <w:rsid w:val="00152395"/>
    <w:rsid w:val="001573F7"/>
    <w:rsid w:val="001637DA"/>
    <w:rsid w:val="0016389B"/>
    <w:rsid w:val="00164B49"/>
    <w:rsid w:val="001702FD"/>
    <w:rsid w:val="00170F3B"/>
    <w:rsid w:val="00171CBF"/>
    <w:rsid w:val="001760D6"/>
    <w:rsid w:val="00181C3A"/>
    <w:rsid w:val="0018219B"/>
    <w:rsid w:val="00182EF8"/>
    <w:rsid w:val="00183773"/>
    <w:rsid w:val="00187377"/>
    <w:rsid w:val="00190937"/>
    <w:rsid w:val="00190FED"/>
    <w:rsid w:val="00191756"/>
    <w:rsid w:val="001942D8"/>
    <w:rsid w:val="001960D6"/>
    <w:rsid w:val="001A0FA6"/>
    <w:rsid w:val="001A1B66"/>
    <w:rsid w:val="001A3055"/>
    <w:rsid w:val="001A50D2"/>
    <w:rsid w:val="001A5C90"/>
    <w:rsid w:val="001B1771"/>
    <w:rsid w:val="001B4DB5"/>
    <w:rsid w:val="001B69A0"/>
    <w:rsid w:val="001C0BB4"/>
    <w:rsid w:val="001C2B5D"/>
    <w:rsid w:val="001C4A2E"/>
    <w:rsid w:val="001C72DB"/>
    <w:rsid w:val="001D361F"/>
    <w:rsid w:val="001D49CA"/>
    <w:rsid w:val="001E50D3"/>
    <w:rsid w:val="001E6FBF"/>
    <w:rsid w:val="001E7C5B"/>
    <w:rsid w:val="001F3539"/>
    <w:rsid w:val="001F4242"/>
    <w:rsid w:val="001F4E2B"/>
    <w:rsid w:val="001F5467"/>
    <w:rsid w:val="001F7E12"/>
    <w:rsid w:val="00203ACD"/>
    <w:rsid w:val="002041A0"/>
    <w:rsid w:val="0021055D"/>
    <w:rsid w:val="00213114"/>
    <w:rsid w:val="00216D16"/>
    <w:rsid w:val="00220BB1"/>
    <w:rsid w:val="002247A1"/>
    <w:rsid w:val="002277BE"/>
    <w:rsid w:val="0022780E"/>
    <w:rsid w:val="00232816"/>
    <w:rsid w:val="00241800"/>
    <w:rsid w:val="002428D7"/>
    <w:rsid w:val="00242A9D"/>
    <w:rsid w:val="00246056"/>
    <w:rsid w:val="0025084E"/>
    <w:rsid w:val="0025089E"/>
    <w:rsid w:val="00252137"/>
    <w:rsid w:val="002542B2"/>
    <w:rsid w:val="00255BC2"/>
    <w:rsid w:val="00271B54"/>
    <w:rsid w:val="0027251E"/>
    <w:rsid w:val="00272C69"/>
    <w:rsid w:val="00273E75"/>
    <w:rsid w:val="00282601"/>
    <w:rsid w:val="00292EE0"/>
    <w:rsid w:val="00293840"/>
    <w:rsid w:val="002A099A"/>
    <w:rsid w:val="002A1BE9"/>
    <w:rsid w:val="002A227B"/>
    <w:rsid w:val="002A41F8"/>
    <w:rsid w:val="002A6DCF"/>
    <w:rsid w:val="002B24A5"/>
    <w:rsid w:val="002B2E85"/>
    <w:rsid w:val="002B3E63"/>
    <w:rsid w:val="002B5A61"/>
    <w:rsid w:val="002B6B34"/>
    <w:rsid w:val="002C22E3"/>
    <w:rsid w:val="002C75D6"/>
    <w:rsid w:val="002D22FB"/>
    <w:rsid w:val="002D451C"/>
    <w:rsid w:val="002D4F4B"/>
    <w:rsid w:val="002D5B85"/>
    <w:rsid w:val="002D7B6D"/>
    <w:rsid w:val="002E4153"/>
    <w:rsid w:val="002F1A05"/>
    <w:rsid w:val="002F2EED"/>
    <w:rsid w:val="00304375"/>
    <w:rsid w:val="00310880"/>
    <w:rsid w:val="00311157"/>
    <w:rsid w:val="0031229C"/>
    <w:rsid w:val="00312B39"/>
    <w:rsid w:val="00312F36"/>
    <w:rsid w:val="003142B7"/>
    <w:rsid w:val="00314F68"/>
    <w:rsid w:val="0031729E"/>
    <w:rsid w:val="00327DBF"/>
    <w:rsid w:val="0033051D"/>
    <w:rsid w:val="00330D9A"/>
    <w:rsid w:val="00332A4E"/>
    <w:rsid w:val="00341DF8"/>
    <w:rsid w:val="00343311"/>
    <w:rsid w:val="0034335C"/>
    <w:rsid w:val="00347CA3"/>
    <w:rsid w:val="003535BD"/>
    <w:rsid w:val="00355BAA"/>
    <w:rsid w:val="00355D72"/>
    <w:rsid w:val="00360408"/>
    <w:rsid w:val="00360EFC"/>
    <w:rsid w:val="003747D6"/>
    <w:rsid w:val="003770EA"/>
    <w:rsid w:val="003773F7"/>
    <w:rsid w:val="003775EB"/>
    <w:rsid w:val="00380204"/>
    <w:rsid w:val="0038376D"/>
    <w:rsid w:val="00391526"/>
    <w:rsid w:val="003917BC"/>
    <w:rsid w:val="00394428"/>
    <w:rsid w:val="003A01C3"/>
    <w:rsid w:val="003A2E0E"/>
    <w:rsid w:val="003A45A3"/>
    <w:rsid w:val="003A5390"/>
    <w:rsid w:val="003A6307"/>
    <w:rsid w:val="003A65B1"/>
    <w:rsid w:val="003B4EA2"/>
    <w:rsid w:val="003C0F96"/>
    <w:rsid w:val="003C1753"/>
    <w:rsid w:val="003C1820"/>
    <w:rsid w:val="003C26C9"/>
    <w:rsid w:val="003C426A"/>
    <w:rsid w:val="003C761D"/>
    <w:rsid w:val="003D222F"/>
    <w:rsid w:val="003D2FE3"/>
    <w:rsid w:val="003D4AA6"/>
    <w:rsid w:val="003E085D"/>
    <w:rsid w:val="003E1009"/>
    <w:rsid w:val="003E7B0C"/>
    <w:rsid w:val="003F1735"/>
    <w:rsid w:val="003F7B8B"/>
    <w:rsid w:val="00400798"/>
    <w:rsid w:val="00402549"/>
    <w:rsid w:val="004066BB"/>
    <w:rsid w:val="00412431"/>
    <w:rsid w:val="00413493"/>
    <w:rsid w:val="004140E8"/>
    <w:rsid w:val="00414F4A"/>
    <w:rsid w:val="00415264"/>
    <w:rsid w:val="004154A0"/>
    <w:rsid w:val="0041762A"/>
    <w:rsid w:val="004176B1"/>
    <w:rsid w:val="0043380F"/>
    <w:rsid w:val="00436055"/>
    <w:rsid w:val="00444020"/>
    <w:rsid w:val="00450F7F"/>
    <w:rsid w:val="00451546"/>
    <w:rsid w:val="00451937"/>
    <w:rsid w:val="004544C2"/>
    <w:rsid w:val="00456E9F"/>
    <w:rsid w:val="00461CC2"/>
    <w:rsid w:val="00473E76"/>
    <w:rsid w:val="00474529"/>
    <w:rsid w:val="00474F12"/>
    <w:rsid w:val="00480A15"/>
    <w:rsid w:val="004841AF"/>
    <w:rsid w:val="00484E2D"/>
    <w:rsid w:val="00484F06"/>
    <w:rsid w:val="0048552F"/>
    <w:rsid w:val="00485DDD"/>
    <w:rsid w:val="004870CC"/>
    <w:rsid w:val="00487A65"/>
    <w:rsid w:val="0049063D"/>
    <w:rsid w:val="00490F68"/>
    <w:rsid w:val="00493453"/>
    <w:rsid w:val="00493B79"/>
    <w:rsid w:val="00494CB2"/>
    <w:rsid w:val="004A144C"/>
    <w:rsid w:val="004A47D0"/>
    <w:rsid w:val="004B0DA3"/>
    <w:rsid w:val="004B64A5"/>
    <w:rsid w:val="004C1E71"/>
    <w:rsid w:val="004C335B"/>
    <w:rsid w:val="004D3714"/>
    <w:rsid w:val="004D780D"/>
    <w:rsid w:val="004E29EE"/>
    <w:rsid w:val="004F29FA"/>
    <w:rsid w:val="004F465B"/>
    <w:rsid w:val="004F4AC0"/>
    <w:rsid w:val="004F5CE2"/>
    <w:rsid w:val="004F76C0"/>
    <w:rsid w:val="00501465"/>
    <w:rsid w:val="00506F9F"/>
    <w:rsid w:val="005129C3"/>
    <w:rsid w:val="00513B2C"/>
    <w:rsid w:val="00515B72"/>
    <w:rsid w:val="00515FEB"/>
    <w:rsid w:val="00517A06"/>
    <w:rsid w:val="0052702D"/>
    <w:rsid w:val="00530BE3"/>
    <w:rsid w:val="00532807"/>
    <w:rsid w:val="00535070"/>
    <w:rsid w:val="0054539C"/>
    <w:rsid w:val="00545E2E"/>
    <w:rsid w:val="0054748A"/>
    <w:rsid w:val="00547922"/>
    <w:rsid w:val="00547C3E"/>
    <w:rsid w:val="005538ED"/>
    <w:rsid w:val="00563F49"/>
    <w:rsid w:val="00566B00"/>
    <w:rsid w:val="00566E15"/>
    <w:rsid w:val="00573B81"/>
    <w:rsid w:val="00577544"/>
    <w:rsid w:val="00577CDB"/>
    <w:rsid w:val="0058033F"/>
    <w:rsid w:val="00581889"/>
    <w:rsid w:val="00582F0D"/>
    <w:rsid w:val="00590BC8"/>
    <w:rsid w:val="00590D3A"/>
    <w:rsid w:val="00594C63"/>
    <w:rsid w:val="00595ADF"/>
    <w:rsid w:val="005A27C3"/>
    <w:rsid w:val="005A2A34"/>
    <w:rsid w:val="005A2A42"/>
    <w:rsid w:val="005A2C4F"/>
    <w:rsid w:val="005A387B"/>
    <w:rsid w:val="005A4ACC"/>
    <w:rsid w:val="005A712B"/>
    <w:rsid w:val="005A79B2"/>
    <w:rsid w:val="005A7FC0"/>
    <w:rsid w:val="005B2141"/>
    <w:rsid w:val="005B233F"/>
    <w:rsid w:val="005B7030"/>
    <w:rsid w:val="005C0C20"/>
    <w:rsid w:val="005C60B6"/>
    <w:rsid w:val="005C637F"/>
    <w:rsid w:val="005C67E0"/>
    <w:rsid w:val="005D552F"/>
    <w:rsid w:val="005E0EE2"/>
    <w:rsid w:val="005E1854"/>
    <w:rsid w:val="005E61E0"/>
    <w:rsid w:val="005E6BB9"/>
    <w:rsid w:val="005F0C15"/>
    <w:rsid w:val="005F3835"/>
    <w:rsid w:val="005F49B8"/>
    <w:rsid w:val="005F55D0"/>
    <w:rsid w:val="005F5707"/>
    <w:rsid w:val="0060058D"/>
    <w:rsid w:val="00602450"/>
    <w:rsid w:val="00603A90"/>
    <w:rsid w:val="006049E7"/>
    <w:rsid w:val="00606B50"/>
    <w:rsid w:val="00611B19"/>
    <w:rsid w:val="006126B9"/>
    <w:rsid w:val="0061447A"/>
    <w:rsid w:val="006146FF"/>
    <w:rsid w:val="00614E7A"/>
    <w:rsid w:val="00615532"/>
    <w:rsid w:val="00621278"/>
    <w:rsid w:val="00621DE7"/>
    <w:rsid w:val="0062231F"/>
    <w:rsid w:val="006232B6"/>
    <w:rsid w:val="00630A3C"/>
    <w:rsid w:val="006347B3"/>
    <w:rsid w:val="00637CAA"/>
    <w:rsid w:val="00641134"/>
    <w:rsid w:val="00641A7C"/>
    <w:rsid w:val="00643D5F"/>
    <w:rsid w:val="00647E6F"/>
    <w:rsid w:val="006531BB"/>
    <w:rsid w:val="00654F8E"/>
    <w:rsid w:val="0065651E"/>
    <w:rsid w:val="006579A2"/>
    <w:rsid w:val="00657A8B"/>
    <w:rsid w:val="00662431"/>
    <w:rsid w:val="006652BE"/>
    <w:rsid w:val="0066560B"/>
    <w:rsid w:val="0066790E"/>
    <w:rsid w:val="00667EE4"/>
    <w:rsid w:val="0068002A"/>
    <w:rsid w:val="006827ED"/>
    <w:rsid w:val="00683878"/>
    <w:rsid w:val="00685D91"/>
    <w:rsid w:val="00686F1C"/>
    <w:rsid w:val="00687091"/>
    <w:rsid w:val="00691CCE"/>
    <w:rsid w:val="006938D6"/>
    <w:rsid w:val="00695B31"/>
    <w:rsid w:val="006977BA"/>
    <w:rsid w:val="006A5368"/>
    <w:rsid w:val="006B0025"/>
    <w:rsid w:val="006B0CD3"/>
    <w:rsid w:val="006B120F"/>
    <w:rsid w:val="006B35B1"/>
    <w:rsid w:val="006B4B90"/>
    <w:rsid w:val="006C073C"/>
    <w:rsid w:val="006C0FDE"/>
    <w:rsid w:val="006C1827"/>
    <w:rsid w:val="006C3CE4"/>
    <w:rsid w:val="006C559D"/>
    <w:rsid w:val="006C5775"/>
    <w:rsid w:val="006C7830"/>
    <w:rsid w:val="006D5646"/>
    <w:rsid w:val="006D6240"/>
    <w:rsid w:val="006D7011"/>
    <w:rsid w:val="006D7035"/>
    <w:rsid w:val="006E3C96"/>
    <w:rsid w:val="006E3DD9"/>
    <w:rsid w:val="006F33F6"/>
    <w:rsid w:val="006F55D2"/>
    <w:rsid w:val="006F6BD1"/>
    <w:rsid w:val="0070000D"/>
    <w:rsid w:val="00702ED6"/>
    <w:rsid w:val="00705463"/>
    <w:rsid w:val="00710F07"/>
    <w:rsid w:val="00716FA7"/>
    <w:rsid w:val="007177E9"/>
    <w:rsid w:val="007210A7"/>
    <w:rsid w:val="00723FD6"/>
    <w:rsid w:val="0073152C"/>
    <w:rsid w:val="007324F2"/>
    <w:rsid w:val="0073387E"/>
    <w:rsid w:val="00734358"/>
    <w:rsid w:val="00735055"/>
    <w:rsid w:val="0074126C"/>
    <w:rsid w:val="007419BF"/>
    <w:rsid w:val="007422C1"/>
    <w:rsid w:val="00750122"/>
    <w:rsid w:val="00751D15"/>
    <w:rsid w:val="00760C23"/>
    <w:rsid w:val="00763CAE"/>
    <w:rsid w:val="00764A6F"/>
    <w:rsid w:val="007667B8"/>
    <w:rsid w:val="00767B06"/>
    <w:rsid w:val="007708E9"/>
    <w:rsid w:val="00777553"/>
    <w:rsid w:val="00780D80"/>
    <w:rsid w:val="00797421"/>
    <w:rsid w:val="007A09B2"/>
    <w:rsid w:val="007A2906"/>
    <w:rsid w:val="007A4CA8"/>
    <w:rsid w:val="007A6BEA"/>
    <w:rsid w:val="007B52C6"/>
    <w:rsid w:val="007B7B56"/>
    <w:rsid w:val="007C169D"/>
    <w:rsid w:val="007C16D9"/>
    <w:rsid w:val="007C49C7"/>
    <w:rsid w:val="007C69A7"/>
    <w:rsid w:val="007D5A42"/>
    <w:rsid w:val="007E1FB0"/>
    <w:rsid w:val="007E266D"/>
    <w:rsid w:val="007E51B5"/>
    <w:rsid w:val="007E536E"/>
    <w:rsid w:val="007E6498"/>
    <w:rsid w:val="007F0636"/>
    <w:rsid w:val="007F3D35"/>
    <w:rsid w:val="007F41FF"/>
    <w:rsid w:val="007F478D"/>
    <w:rsid w:val="007F4E3D"/>
    <w:rsid w:val="007F64AD"/>
    <w:rsid w:val="007F741F"/>
    <w:rsid w:val="0080016D"/>
    <w:rsid w:val="008109BA"/>
    <w:rsid w:val="00810FC5"/>
    <w:rsid w:val="00812924"/>
    <w:rsid w:val="00823002"/>
    <w:rsid w:val="0082466C"/>
    <w:rsid w:val="00824A9D"/>
    <w:rsid w:val="00824ECE"/>
    <w:rsid w:val="008269DE"/>
    <w:rsid w:val="008433C9"/>
    <w:rsid w:val="00852FEB"/>
    <w:rsid w:val="008541DE"/>
    <w:rsid w:val="008555C5"/>
    <w:rsid w:val="00855F3B"/>
    <w:rsid w:val="00857381"/>
    <w:rsid w:val="008611B2"/>
    <w:rsid w:val="00862FB0"/>
    <w:rsid w:val="008637AC"/>
    <w:rsid w:val="00864E46"/>
    <w:rsid w:val="008674EA"/>
    <w:rsid w:val="00870569"/>
    <w:rsid w:val="00870976"/>
    <w:rsid w:val="008721A6"/>
    <w:rsid w:val="00873021"/>
    <w:rsid w:val="00874BD5"/>
    <w:rsid w:val="00876BEE"/>
    <w:rsid w:val="00883B21"/>
    <w:rsid w:val="00883C61"/>
    <w:rsid w:val="00885452"/>
    <w:rsid w:val="00885538"/>
    <w:rsid w:val="00886B6F"/>
    <w:rsid w:val="00887510"/>
    <w:rsid w:val="00887CD8"/>
    <w:rsid w:val="0089026D"/>
    <w:rsid w:val="008907B7"/>
    <w:rsid w:val="00894737"/>
    <w:rsid w:val="00896C73"/>
    <w:rsid w:val="00897B4D"/>
    <w:rsid w:val="008A07F3"/>
    <w:rsid w:val="008A4168"/>
    <w:rsid w:val="008A467A"/>
    <w:rsid w:val="008A4F75"/>
    <w:rsid w:val="008A542A"/>
    <w:rsid w:val="008A5C26"/>
    <w:rsid w:val="008A7A53"/>
    <w:rsid w:val="008B22E9"/>
    <w:rsid w:val="008B3923"/>
    <w:rsid w:val="008B60B5"/>
    <w:rsid w:val="008B6DA2"/>
    <w:rsid w:val="008B7822"/>
    <w:rsid w:val="008C1BCA"/>
    <w:rsid w:val="008C1DB2"/>
    <w:rsid w:val="008C207E"/>
    <w:rsid w:val="008E7F18"/>
    <w:rsid w:val="008F1952"/>
    <w:rsid w:val="008F2CCB"/>
    <w:rsid w:val="008F64BF"/>
    <w:rsid w:val="009003E8"/>
    <w:rsid w:val="0090133E"/>
    <w:rsid w:val="00901C08"/>
    <w:rsid w:val="0090298B"/>
    <w:rsid w:val="00904118"/>
    <w:rsid w:val="00913ADE"/>
    <w:rsid w:val="00914811"/>
    <w:rsid w:val="00914F32"/>
    <w:rsid w:val="0091506F"/>
    <w:rsid w:val="00916679"/>
    <w:rsid w:val="00923892"/>
    <w:rsid w:val="00924B34"/>
    <w:rsid w:val="0092604F"/>
    <w:rsid w:val="00926858"/>
    <w:rsid w:val="00933994"/>
    <w:rsid w:val="0093518C"/>
    <w:rsid w:val="009352D6"/>
    <w:rsid w:val="009360F9"/>
    <w:rsid w:val="009419C3"/>
    <w:rsid w:val="009425B6"/>
    <w:rsid w:val="009435FC"/>
    <w:rsid w:val="00944813"/>
    <w:rsid w:val="00945BED"/>
    <w:rsid w:val="009460D4"/>
    <w:rsid w:val="00946620"/>
    <w:rsid w:val="00946EBD"/>
    <w:rsid w:val="00954A23"/>
    <w:rsid w:val="009574E0"/>
    <w:rsid w:val="0095771B"/>
    <w:rsid w:val="00971892"/>
    <w:rsid w:val="009747E2"/>
    <w:rsid w:val="00976A74"/>
    <w:rsid w:val="009804A2"/>
    <w:rsid w:val="00984354"/>
    <w:rsid w:val="00993104"/>
    <w:rsid w:val="00993BC9"/>
    <w:rsid w:val="00996972"/>
    <w:rsid w:val="0099755A"/>
    <w:rsid w:val="009A1682"/>
    <w:rsid w:val="009A47D9"/>
    <w:rsid w:val="009A62A8"/>
    <w:rsid w:val="009A72A7"/>
    <w:rsid w:val="009B4F3F"/>
    <w:rsid w:val="009B7366"/>
    <w:rsid w:val="009B7D59"/>
    <w:rsid w:val="009C5683"/>
    <w:rsid w:val="009C6F76"/>
    <w:rsid w:val="009C77A3"/>
    <w:rsid w:val="009C7CD3"/>
    <w:rsid w:val="009D4811"/>
    <w:rsid w:val="009E1ED4"/>
    <w:rsid w:val="009E355C"/>
    <w:rsid w:val="009E3D78"/>
    <w:rsid w:val="009E52F6"/>
    <w:rsid w:val="009E661F"/>
    <w:rsid w:val="009E727C"/>
    <w:rsid w:val="009E7BCD"/>
    <w:rsid w:val="009F5049"/>
    <w:rsid w:val="009F6E56"/>
    <w:rsid w:val="00A00092"/>
    <w:rsid w:val="00A003A2"/>
    <w:rsid w:val="00A004FC"/>
    <w:rsid w:val="00A0231B"/>
    <w:rsid w:val="00A02A90"/>
    <w:rsid w:val="00A03E9F"/>
    <w:rsid w:val="00A04EC6"/>
    <w:rsid w:val="00A0702F"/>
    <w:rsid w:val="00A106FF"/>
    <w:rsid w:val="00A10A74"/>
    <w:rsid w:val="00A17314"/>
    <w:rsid w:val="00A22C87"/>
    <w:rsid w:val="00A23BC4"/>
    <w:rsid w:val="00A260C2"/>
    <w:rsid w:val="00A37143"/>
    <w:rsid w:val="00A406BE"/>
    <w:rsid w:val="00A40DB8"/>
    <w:rsid w:val="00A44315"/>
    <w:rsid w:val="00A46249"/>
    <w:rsid w:val="00A4721A"/>
    <w:rsid w:val="00A61675"/>
    <w:rsid w:val="00A66C74"/>
    <w:rsid w:val="00A673D4"/>
    <w:rsid w:val="00A71A13"/>
    <w:rsid w:val="00A83B35"/>
    <w:rsid w:val="00A84995"/>
    <w:rsid w:val="00A91102"/>
    <w:rsid w:val="00A931AF"/>
    <w:rsid w:val="00A96B7F"/>
    <w:rsid w:val="00AA121B"/>
    <w:rsid w:val="00AA2A63"/>
    <w:rsid w:val="00AA38B9"/>
    <w:rsid w:val="00AA6DC9"/>
    <w:rsid w:val="00AB30C7"/>
    <w:rsid w:val="00AB4E8E"/>
    <w:rsid w:val="00AB52C8"/>
    <w:rsid w:val="00AC1607"/>
    <w:rsid w:val="00AC3E02"/>
    <w:rsid w:val="00AC55F5"/>
    <w:rsid w:val="00AC5ED0"/>
    <w:rsid w:val="00AC6849"/>
    <w:rsid w:val="00AC6AD9"/>
    <w:rsid w:val="00AD084B"/>
    <w:rsid w:val="00AD1CA3"/>
    <w:rsid w:val="00AD5466"/>
    <w:rsid w:val="00AD7EA6"/>
    <w:rsid w:val="00AE0185"/>
    <w:rsid w:val="00AE02F3"/>
    <w:rsid w:val="00AE1432"/>
    <w:rsid w:val="00AE2971"/>
    <w:rsid w:val="00AE403D"/>
    <w:rsid w:val="00AE6517"/>
    <w:rsid w:val="00AE7EA5"/>
    <w:rsid w:val="00AF07CF"/>
    <w:rsid w:val="00AF2B77"/>
    <w:rsid w:val="00AF518B"/>
    <w:rsid w:val="00B02500"/>
    <w:rsid w:val="00B1209E"/>
    <w:rsid w:val="00B15963"/>
    <w:rsid w:val="00B162B6"/>
    <w:rsid w:val="00B25E8C"/>
    <w:rsid w:val="00B27915"/>
    <w:rsid w:val="00B3215B"/>
    <w:rsid w:val="00B33F20"/>
    <w:rsid w:val="00B41C6B"/>
    <w:rsid w:val="00B43775"/>
    <w:rsid w:val="00B45A21"/>
    <w:rsid w:val="00B4670A"/>
    <w:rsid w:val="00B51F3F"/>
    <w:rsid w:val="00B52FB2"/>
    <w:rsid w:val="00B57342"/>
    <w:rsid w:val="00B65DFE"/>
    <w:rsid w:val="00B66CC4"/>
    <w:rsid w:val="00B70949"/>
    <w:rsid w:val="00B71134"/>
    <w:rsid w:val="00B726CD"/>
    <w:rsid w:val="00B732D8"/>
    <w:rsid w:val="00B81CE9"/>
    <w:rsid w:val="00B83197"/>
    <w:rsid w:val="00B848C1"/>
    <w:rsid w:val="00B87D2E"/>
    <w:rsid w:val="00B94964"/>
    <w:rsid w:val="00B968EC"/>
    <w:rsid w:val="00BA0312"/>
    <w:rsid w:val="00BA0951"/>
    <w:rsid w:val="00BA1DE8"/>
    <w:rsid w:val="00BA32B7"/>
    <w:rsid w:val="00BA33E4"/>
    <w:rsid w:val="00BA47DC"/>
    <w:rsid w:val="00BA4EDF"/>
    <w:rsid w:val="00BB1AD0"/>
    <w:rsid w:val="00BB24B7"/>
    <w:rsid w:val="00BB6CB7"/>
    <w:rsid w:val="00BC35F5"/>
    <w:rsid w:val="00BC3BCC"/>
    <w:rsid w:val="00BC3D3A"/>
    <w:rsid w:val="00BC4A03"/>
    <w:rsid w:val="00BC5A7D"/>
    <w:rsid w:val="00BC7492"/>
    <w:rsid w:val="00BD07B9"/>
    <w:rsid w:val="00BD5704"/>
    <w:rsid w:val="00BD638C"/>
    <w:rsid w:val="00BD6996"/>
    <w:rsid w:val="00BE25BB"/>
    <w:rsid w:val="00BE2764"/>
    <w:rsid w:val="00BE5B1F"/>
    <w:rsid w:val="00BE684F"/>
    <w:rsid w:val="00BF0278"/>
    <w:rsid w:val="00BF1D07"/>
    <w:rsid w:val="00BF39B6"/>
    <w:rsid w:val="00BF4DE3"/>
    <w:rsid w:val="00C03384"/>
    <w:rsid w:val="00C07BD2"/>
    <w:rsid w:val="00C139B5"/>
    <w:rsid w:val="00C16BF7"/>
    <w:rsid w:val="00C208E4"/>
    <w:rsid w:val="00C24899"/>
    <w:rsid w:val="00C263CD"/>
    <w:rsid w:val="00C313F5"/>
    <w:rsid w:val="00C32E94"/>
    <w:rsid w:val="00C34871"/>
    <w:rsid w:val="00C37382"/>
    <w:rsid w:val="00C41615"/>
    <w:rsid w:val="00C424A3"/>
    <w:rsid w:val="00C432AD"/>
    <w:rsid w:val="00C44976"/>
    <w:rsid w:val="00C44D60"/>
    <w:rsid w:val="00C5000D"/>
    <w:rsid w:val="00C53BF8"/>
    <w:rsid w:val="00C549CF"/>
    <w:rsid w:val="00C6363D"/>
    <w:rsid w:val="00C64D75"/>
    <w:rsid w:val="00C76F9A"/>
    <w:rsid w:val="00C77F87"/>
    <w:rsid w:val="00C80460"/>
    <w:rsid w:val="00C81CD9"/>
    <w:rsid w:val="00C83F4A"/>
    <w:rsid w:val="00C9061C"/>
    <w:rsid w:val="00C95529"/>
    <w:rsid w:val="00C95B02"/>
    <w:rsid w:val="00C9699D"/>
    <w:rsid w:val="00C96EFE"/>
    <w:rsid w:val="00CA3F61"/>
    <w:rsid w:val="00CA5BB2"/>
    <w:rsid w:val="00CA7C70"/>
    <w:rsid w:val="00CB0BBD"/>
    <w:rsid w:val="00CC03D8"/>
    <w:rsid w:val="00CC38B1"/>
    <w:rsid w:val="00CC49A1"/>
    <w:rsid w:val="00CC6682"/>
    <w:rsid w:val="00CD4AFD"/>
    <w:rsid w:val="00CD5497"/>
    <w:rsid w:val="00CD594C"/>
    <w:rsid w:val="00CE3853"/>
    <w:rsid w:val="00CE4CDB"/>
    <w:rsid w:val="00CE5B51"/>
    <w:rsid w:val="00CF36D4"/>
    <w:rsid w:val="00D021BC"/>
    <w:rsid w:val="00D02372"/>
    <w:rsid w:val="00D064BA"/>
    <w:rsid w:val="00D13239"/>
    <w:rsid w:val="00D138D8"/>
    <w:rsid w:val="00D14318"/>
    <w:rsid w:val="00D1600B"/>
    <w:rsid w:val="00D200A6"/>
    <w:rsid w:val="00D20C6E"/>
    <w:rsid w:val="00D25BE4"/>
    <w:rsid w:val="00D32B5C"/>
    <w:rsid w:val="00D40272"/>
    <w:rsid w:val="00D40611"/>
    <w:rsid w:val="00D4070D"/>
    <w:rsid w:val="00D4351D"/>
    <w:rsid w:val="00D45925"/>
    <w:rsid w:val="00D46A98"/>
    <w:rsid w:val="00D529FB"/>
    <w:rsid w:val="00D53BB8"/>
    <w:rsid w:val="00D548C3"/>
    <w:rsid w:val="00D5559E"/>
    <w:rsid w:val="00D577C1"/>
    <w:rsid w:val="00D6343E"/>
    <w:rsid w:val="00D67EF1"/>
    <w:rsid w:val="00D73705"/>
    <w:rsid w:val="00D74020"/>
    <w:rsid w:val="00D77DBC"/>
    <w:rsid w:val="00D84802"/>
    <w:rsid w:val="00D853F5"/>
    <w:rsid w:val="00D86A79"/>
    <w:rsid w:val="00D9330A"/>
    <w:rsid w:val="00D967E1"/>
    <w:rsid w:val="00DA1302"/>
    <w:rsid w:val="00DA17F1"/>
    <w:rsid w:val="00DA680A"/>
    <w:rsid w:val="00DB025F"/>
    <w:rsid w:val="00DB04A4"/>
    <w:rsid w:val="00DB7228"/>
    <w:rsid w:val="00DC0629"/>
    <w:rsid w:val="00DC2683"/>
    <w:rsid w:val="00DC5A78"/>
    <w:rsid w:val="00DC754B"/>
    <w:rsid w:val="00DD0AA7"/>
    <w:rsid w:val="00DD195C"/>
    <w:rsid w:val="00DD41D3"/>
    <w:rsid w:val="00DD493F"/>
    <w:rsid w:val="00DD5A8A"/>
    <w:rsid w:val="00DD5E38"/>
    <w:rsid w:val="00DD688A"/>
    <w:rsid w:val="00DE17C4"/>
    <w:rsid w:val="00DE56DF"/>
    <w:rsid w:val="00DF01CF"/>
    <w:rsid w:val="00DF0ED3"/>
    <w:rsid w:val="00DF7E07"/>
    <w:rsid w:val="00E0125C"/>
    <w:rsid w:val="00E030AA"/>
    <w:rsid w:val="00E074FE"/>
    <w:rsid w:val="00E07855"/>
    <w:rsid w:val="00E13038"/>
    <w:rsid w:val="00E130C7"/>
    <w:rsid w:val="00E1512B"/>
    <w:rsid w:val="00E15EC9"/>
    <w:rsid w:val="00E207CA"/>
    <w:rsid w:val="00E24AF1"/>
    <w:rsid w:val="00E24E5C"/>
    <w:rsid w:val="00E2562A"/>
    <w:rsid w:val="00E34CBA"/>
    <w:rsid w:val="00E45A9B"/>
    <w:rsid w:val="00E50928"/>
    <w:rsid w:val="00E54857"/>
    <w:rsid w:val="00E5671C"/>
    <w:rsid w:val="00E60126"/>
    <w:rsid w:val="00E62CB2"/>
    <w:rsid w:val="00E63E16"/>
    <w:rsid w:val="00E64385"/>
    <w:rsid w:val="00E67FA6"/>
    <w:rsid w:val="00E701EC"/>
    <w:rsid w:val="00E7391B"/>
    <w:rsid w:val="00E773C1"/>
    <w:rsid w:val="00E776FC"/>
    <w:rsid w:val="00E779E1"/>
    <w:rsid w:val="00E80E1F"/>
    <w:rsid w:val="00E87A57"/>
    <w:rsid w:val="00E93BF5"/>
    <w:rsid w:val="00E96893"/>
    <w:rsid w:val="00EA3418"/>
    <w:rsid w:val="00EA619F"/>
    <w:rsid w:val="00EB06E2"/>
    <w:rsid w:val="00EB2E85"/>
    <w:rsid w:val="00EB31AD"/>
    <w:rsid w:val="00EB7B94"/>
    <w:rsid w:val="00EC1F49"/>
    <w:rsid w:val="00EC2B29"/>
    <w:rsid w:val="00EC5BF7"/>
    <w:rsid w:val="00EC5C25"/>
    <w:rsid w:val="00EC687F"/>
    <w:rsid w:val="00ED04CB"/>
    <w:rsid w:val="00ED2158"/>
    <w:rsid w:val="00ED6469"/>
    <w:rsid w:val="00ED6D00"/>
    <w:rsid w:val="00ED7A9C"/>
    <w:rsid w:val="00EE35A7"/>
    <w:rsid w:val="00EE4571"/>
    <w:rsid w:val="00EE6B82"/>
    <w:rsid w:val="00EF0920"/>
    <w:rsid w:val="00EF09EB"/>
    <w:rsid w:val="00EF4B9B"/>
    <w:rsid w:val="00F00835"/>
    <w:rsid w:val="00F0244C"/>
    <w:rsid w:val="00F03084"/>
    <w:rsid w:val="00F04BEF"/>
    <w:rsid w:val="00F07FEC"/>
    <w:rsid w:val="00F10B79"/>
    <w:rsid w:val="00F10DD5"/>
    <w:rsid w:val="00F122FE"/>
    <w:rsid w:val="00F158A9"/>
    <w:rsid w:val="00F22AD0"/>
    <w:rsid w:val="00F22EE2"/>
    <w:rsid w:val="00F23FE0"/>
    <w:rsid w:val="00F241FF"/>
    <w:rsid w:val="00F25A84"/>
    <w:rsid w:val="00F2682B"/>
    <w:rsid w:val="00F2708D"/>
    <w:rsid w:val="00F27BC8"/>
    <w:rsid w:val="00F31AF4"/>
    <w:rsid w:val="00F31D95"/>
    <w:rsid w:val="00F32511"/>
    <w:rsid w:val="00F33AC6"/>
    <w:rsid w:val="00F362EE"/>
    <w:rsid w:val="00F37426"/>
    <w:rsid w:val="00F550E9"/>
    <w:rsid w:val="00F559F9"/>
    <w:rsid w:val="00F62029"/>
    <w:rsid w:val="00F65B4F"/>
    <w:rsid w:val="00F66C6E"/>
    <w:rsid w:val="00F67FFC"/>
    <w:rsid w:val="00F72058"/>
    <w:rsid w:val="00F73C4E"/>
    <w:rsid w:val="00F74204"/>
    <w:rsid w:val="00F839BB"/>
    <w:rsid w:val="00F8506F"/>
    <w:rsid w:val="00F96957"/>
    <w:rsid w:val="00F96F04"/>
    <w:rsid w:val="00FA363F"/>
    <w:rsid w:val="00FA500A"/>
    <w:rsid w:val="00FB18C3"/>
    <w:rsid w:val="00FB4AF7"/>
    <w:rsid w:val="00FD3F18"/>
    <w:rsid w:val="00FD4BEB"/>
    <w:rsid w:val="00FE5DAF"/>
    <w:rsid w:val="00FF155C"/>
    <w:rsid w:val="00FF2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0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0AA7"/>
    <w:rPr>
      <w:sz w:val="24"/>
      <w:szCs w:val="24"/>
    </w:rPr>
  </w:style>
  <w:style w:type="paragraph" w:styleId="Nagwek2">
    <w:name w:val="heading 2"/>
    <w:basedOn w:val="Normalny"/>
    <w:next w:val="Normalny"/>
    <w:link w:val="Nagwek2Znak"/>
    <w:uiPriority w:val="9"/>
    <w:semiHidden/>
    <w:unhideWhenUsed/>
    <w:qFormat/>
    <w:rsid w:val="00710F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E5671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E5671C"/>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D0AA7"/>
    <w:pPr>
      <w:tabs>
        <w:tab w:val="center" w:pos="4536"/>
        <w:tab w:val="right" w:pos="9072"/>
      </w:tabs>
    </w:pPr>
  </w:style>
  <w:style w:type="paragraph" w:styleId="Stopka">
    <w:name w:val="footer"/>
    <w:basedOn w:val="Normalny"/>
    <w:rsid w:val="00DD0AA7"/>
    <w:pPr>
      <w:tabs>
        <w:tab w:val="center" w:pos="4536"/>
        <w:tab w:val="right" w:pos="9072"/>
      </w:tabs>
    </w:pPr>
  </w:style>
  <w:style w:type="character" w:styleId="Numerstrony">
    <w:name w:val="page number"/>
    <w:basedOn w:val="Domylnaczcionkaakapitu"/>
    <w:rsid w:val="00E5671C"/>
  </w:style>
  <w:style w:type="paragraph" w:customStyle="1" w:styleId="p1">
    <w:name w:val="p1"/>
    <w:basedOn w:val="Normalny"/>
    <w:rsid w:val="00E5671C"/>
    <w:pPr>
      <w:spacing w:before="100" w:beforeAutospacing="1" w:after="100" w:afterAutospacing="1"/>
    </w:pPr>
    <w:rPr>
      <w:rFonts w:eastAsia="Calibri"/>
    </w:rPr>
  </w:style>
  <w:style w:type="character" w:customStyle="1" w:styleId="t418-3">
    <w:name w:val="t418-3"/>
    <w:basedOn w:val="Domylnaczcionkaakapitu"/>
    <w:rsid w:val="00E5671C"/>
    <w:rPr>
      <w:rFonts w:cs="Times New Roman"/>
    </w:rPr>
  </w:style>
  <w:style w:type="paragraph" w:customStyle="1" w:styleId="p2">
    <w:name w:val="p2"/>
    <w:basedOn w:val="Normalny"/>
    <w:rsid w:val="00E5671C"/>
    <w:pPr>
      <w:spacing w:before="100" w:beforeAutospacing="1" w:after="100" w:afterAutospacing="1"/>
    </w:pPr>
    <w:rPr>
      <w:rFonts w:eastAsia="Calibri"/>
    </w:rPr>
  </w:style>
  <w:style w:type="paragraph" w:customStyle="1" w:styleId="wypunktowanie1sprawozdanie">
    <w:name w:val="wypunktowanie 1 sprawozdanie"/>
    <w:basedOn w:val="Normalny"/>
    <w:uiPriority w:val="99"/>
    <w:rsid w:val="00E5671C"/>
    <w:pPr>
      <w:spacing w:before="240" w:after="60"/>
      <w:jc w:val="both"/>
    </w:pPr>
    <w:rPr>
      <w:rFonts w:ascii="Arial" w:eastAsia="Calibri" w:hAnsi="Arial" w:cs="Arial"/>
      <w:b/>
      <w:sz w:val="18"/>
      <w:szCs w:val="20"/>
    </w:rPr>
  </w:style>
  <w:style w:type="character" w:customStyle="1" w:styleId="Nagwek3Znak">
    <w:name w:val="Nagłówek 3 Znak"/>
    <w:basedOn w:val="Domylnaczcionkaakapitu"/>
    <w:link w:val="Nagwek3"/>
    <w:rsid w:val="00E5671C"/>
    <w:rPr>
      <w:rFonts w:ascii="Arial" w:hAnsi="Arial" w:cs="Arial"/>
      <w:b/>
      <w:bCs/>
      <w:sz w:val="26"/>
      <w:szCs w:val="26"/>
      <w:lang w:eastAsia="pl-PL" w:bidi="ar-SA"/>
    </w:rPr>
  </w:style>
  <w:style w:type="paragraph" w:styleId="Tekstkomentarza">
    <w:name w:val="annotation text"/>
    <w:basedOn w:val="Normalny"/>
    <w:link w:val="TekstkomentarzaZnak"/>
    <w:semiHidden/>
    <w:rsid w:val="00E5671C"/>
    <w:pPr>
      <w:suppressAutoHyphens/>
    </w:pPr>
    <w:rPr>
      <w:sz w:val="20"/>
      <w:szCs w:val="20"/>
      <w:lang w:eastAsia="ar-SA"/>
    </w:rPr>
  </w:style>
  <w:style w:type="character" w:customStyle="1" w:styleId="TekstkomentarzaZnak">
    <w:name w:val="Tekst komentarza Znak"/>
    <w:basedOn w:val="Domylnaczcionkaakapitu"/>
    <w:link w:val="Tekstkomentarza"/>
    <w:rsid w:val="00E5671C"/>
    <w:rPr>
      <w:lang w:eastAsia="ar-SA" w:bidi="ar-SA"/>
    </w:rPr>
  </w:style>
  <w:style w:type="character" w:customStyle="1" w:styleId="Nagwek6Znak">
    <w:name w:val="Nagłówek 6 Znak"/>
    <w:basedOn w:val="Domylnaczcionkaakapitu"/>
    <w:link w:val="Nagwek6"/>
    <w:rsid w:val="00E5671C"/>
    <w:rPr>
      <w:b/>
      <w:bCs/>
      <w:sz w:val="24"/>
      <w:szCs w:val="24"/>
      <w:lang w:eastAsia="pl-PL" w:bidi="ar-SA"/>
    </w:rPr>
  </w:style>
  <w:style w:type="paragraph" w:customStyle="1" w:styleId="Akapitzlist1">
    <w:name w:val="Akapit z listą1"/>
    <w:basedOn w:val="Normalny"/>
    <w:qFormat/>
    <w:rsid w:val="00E5671C"/>
    <w:pPr>
      <w:overflowPunct w:val="0"/>
      <w:autoSpaceDE w:val="0"/>
      <w:autoSpaceDN w:val="0"/>
      <w:adjustRightInd w:val="0"/>
      <w:ind w:left="720"/>
      <w:textAlignment w:val="baseline"/>
    </w:pPr>
    <w:rPr>
      <w:sz w:val="20"/>
      <w:szCs w:val="20"/>
    </w:rPr>
  </w:style>
  <w:style w:type="paragraph" w:customStyle="1" w:styleId="Akapitzlist2">
    <w:name w:val="Akapit z listą2"/>
    <w:basedOn w:val="Normalny"/>
    <w:rsid w:val="00E5671C"/>
    <w:pPr>
      <w:spacing w:after="200" w:line="276" w:lineRule="auto"/>
      <w:ind w:left="720"/>
    </w:pPr>
    <w:rPr>
      <w:rFonts w:ascii="Calibri" w:hAnsi="Calibri"/>
      <w:sz w:val="22"/>
      <w:szCs w:val="22"/>
      <w:lang w:eastAsia="en-US"/>
    </w:rPr>
  </w:style>
  <w:style w:type="table" w:styleId="Tabela-Siatka">
    <w:name w:val="Table Grid"/>
    <w:basedOn w:val="Standardowy"/>
    <w:rsid w:val="00E7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57A8B"/>
    <w:rPr>
      <w:rFonts w:ascii="Consolas" w:hAnsi="Consolas" w:cs="Consolas"/>
      <w:sz w:val="21"/>
      <w:szCs w:val="21"/>
    </w:rPr>
  </w:style>
  <w:style w:type="character" w:customStyle="1" w:styleId="ZwykytekstZnak">
    <w:name w:val="Zwykły tekst Znak"/>
    <w:basedOn w:val="Domylnaczcionkaakapitu"/>
    <w:link w:val="Zwykytekst"/>
    <w:locked/>
    <w:rsid w:val="00657A8B"/>
    <w:rPr>
      <w:rFonts w:ascii="Consolas" w:hAnsi="Consolas" w:cs="Consolas"/>
      <w:sz w:val="21"/>
      <w:szCs w:val="21"/>
      <w:lang w:val="pl-PL" w:eastAsia="pl-PL" w:bidi="ar-SA"/>
    </w:rPr>
  </w:style>
  <w:style w:type="paragraph" w:styleId="Tekstdymka">
    <w:name w:val="Balloon Text"/>
    <w:basedOn w:val="Normalny"/>
    <w:link w:val="TekstdymkaZnak"/>
    <w:uiPriority w:val="99"/>
    <w:semiHidden/>
    <w:unhideWhenUsed/>
    <w:rsid w:val="00D064BA"/>
    <w:rPr>
      <w:rFonts w:ascii="Tahoma" w:hAnsi="Tahoma" w:cs="Tahoma"/>
      <w:sz w:val="16"/>
      <w:szCs w:val="16"/>
    </w:rPr>
  </w:style>
  <w:style w:type="character" w:customStyle="1" w:styleId="TekstdymkaZnak">
    <w:name w:val="Tekst dymka Znak"/>
    <w:basedOn w:val="Domylnaczcionkaakapitu"/>
    <w:link w:val="Tekstdymka"/>
    <w:uiPriority w:val="99"/>
    <w:semiHidden/>
    <w:rsid w:val="00D064BA"/>
    <w:rPr>
      <w:rFonts w:ascii="Tahoma" w:hAnsi="Tahoma" w:cs="Tahoma"/>
      <w:sz w:val="16"/>
      <w:szCs w:val="16"/>
    </w:rPr>
  </w:style>
  <w:style w:type="paragraph" w:styleId="Akapitzlist">
    <w:name w:val="List Paragraph"/>
    <w:basedOn w:val="Normalny"/>
    <w:qFormat/>
    <w:rsid w:val="00AA38B9"/>
    <w:pPr>
      <w:ind w:left="720"/>
      <w:contextualSpacing/>
    </w:pPr>
  </w:style>
  <w:style w:type="paragraph" w:styleId="Tekstpodstawowy">
    <w:name w:val="Body Text"/>
    <w:aliases w:val=" Znak,Znak Znak Znak Znak Znak,Znak"/>
    <w:basedOn w:val="Normalny"/>
    <w:link w:val="TekstpodstawowyZnak"/>
    <w:rsid w:val="005C0C20"/>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jc w:val="both"/>
    </w:pPr>
    <w:rPr>
      <w:b/>
    </w:rPr>
  </w:style>
  <w:style w:type="character" w:customStyle="1" w:styleId="TekstpodstawowyZnak">
    <w:name w:val="Tekst podstawowy Znak"/>
    <w:aliases w:val=" Znak Znak,Znak Znak Znak Znak Znak Znak,Znak Znak"/>
    <w:basedOn w:val="Domylnaczcionkaakapitu"/>
    <w:link w:val="Tekstpodstawowy"/>
    <w:rsid w:val="005C0C20"/>
    <w:rPr>
      <w:b/>
      <w:sz w:val="24"/>
      <w:szCs w:val="24"/>
    </w:rPr>
  </w:style>
  <w:style w:type="paragraph" w:customStyle="1" w:styleId="Tekstpodstawowy21">
    <w:name w:val="Tekst podstawowy 21"/>
    <w:basedOn w:val="Normalny"/>
    <w:uiPriority w:val="99"/>
    <w:rsid w:val="00BD6996"/>
    <w:pPr>
      <w:jc w:val="both"/>
    </w:pPr>
    <w:rPr>
      <w:rFonts w:eastAsiaTheme="minorHAnsi"/>
    </w:rPr>
  </w:style>
  <w:style w:type="character" w:styleId="Odwoaniedokomentarza">
    <w:name w:val="annotation reference"/>
    <w:basedOn w:val="Domylnaczcionkaakapitu"/>
    <w:uiPriority w:val="99"/>
    <w:semiHidden/>
    <w:unhideWhenUsed/>
    <w:rsid w:val="008637AC"/>
    <w:rPr>
      <w:sz w:val="16"/>
      <w:szCs w:val="16"/>
    </w:rPr>
  </w:style>
  <w:style w:type="paragraph" w:styleId="Tematkomentarza">
    <w:name w:val="annotation subject"/>
    <w:basedOn w:val="Tekstkomentarza"/>
    <w:next w:val="Tekstkomentarza"/>
    <w:link w:val="TematkomentarzaZnak"/>
    <w:uiPriority w:val="99"/>
    <w:semiHidden/>
    <w:unhideWhenUsed/>
    <w:rsid w:val="008637AC"/>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8637AC"/>
    <w:rPr>
      <w:b/>
      <w:bCs/>
      <w:lang w:eastAsia="ar-SA" w:bidi="ar-SA"/>
    </w:rPr>
  </w:style>
  <w:style w:type="paragraph" w:customStyle="1" w:styleId="wypunktowanie2sprawozdanie">
    <w:name w:val="wypunktowanie 2 sprawozdanie"/>
    <w:basedOn w:val="Normalny"/>
    <w:rsid w:val="009A1682"/>
    <w:pPr>
      <w:numPr>
        <w:ilvl w:val="1"/>
        <w:numId w:val="8"/>
      </w:numPr>
      <w:tabs>
        <w:tab w:val="num" w:pos="360"/>
        <w:tab w:val="left" w:pos="1700"/>
        <w:tab w:val="left" w:pos="2551"/>
        <w:tab w:val="left" w:pos="3402"/>
        <w:tab w:val="left" w:pos="4254"/>
        <w:tab w:val="left" w:pos="5105"/>
        <w:tab w:val="left" w:pos="5954"/>
        <w:tab w:val="left" w:pos="6805"/>
        <w:tab w:val="left" w:pos="7656"/>
        <w:tab w:val="left" w:pos="8508"/>
        <w:tab w:val="left" w:pos="8640"/>
      </w:tabs>
      <w:ind w:left="360"/>
      <w:jc w:val="both"/>
    </w:pPr>
    <w:rPr>
      <w:rFonts w:ascii="Arial" w:hAnsi="Arial" w:cs="Arial"/>
      <w:spacing w:val="8"/>
      <w:sz w:val="18"/>
      <w:szCs w:val="20"/>
    </w:rPr>
  </w:style>
  <w:style w:type="character" w:styleId="Hipercze">
    <w:name w:val="Hyperlink"/>
    <w:basedOn w:val="Domylnaczcionkaakapitu"/>
    <w:uiPriority w:val="99"/>
    <w:rsid w:val="00513B2C"/>
    <w:rPr>
      <w:rFonts w:cs="Times New Roman"/>
      <w:color w:val="0000FF"/>
      <w:u w:val="single"/>
    </w:rPr>
  </w:style>
  <w:style w:type="character" w:customStyle="1" w:styleId="NagwekZnak">
    <w:name w:val="Nagłówek Znak"/>
    <w:basedOn w:val="Domylnaczcionkaakapitu"/>
    <w:link w:val="Nagwek"/>
    <w:uiPriority w:val="99"/>
    <w:rsid w:val="00AE7EA5"/>
    <w:rPr>
      <w:sz w:val="24"/>
      <w:szCs w:val="24"/>
    </w:rPr>
  </w:style>
  <w:style w:type="paragraph" w:styleId="NormalnyWeb">
    <w:name w:val="Normal (Web)"/>
    <w:basedOn w:val="Normalny"/>
    <w:uiPriority w:val="99"/>
    <w:unhideWhenUsed/>
    <w:rsid w:val="000039C8"/>
    <w:pPr>
      <w:spacing w:before="100" w:beforeAutospacing="1" w:after="100" w:afterAutospacing="1"/>
    </w:pPr>
  </w:style>
  <w:style w:type="paragraph" w:styleId="Bezodstpw">
    <w:name w:val="No Spacing"/>
    <w:uiPriority w:val="1"/>
    <w:qFormat/>
    <w:rsid w:val="0008786B"/>
    <w:rPr>
      <w:sz w:val="24"/>
      <w:szCs w:val="24"/>
    </w:rPr>
  </w:style>
  <w:style w:type="paragraph" w:styleId="Tekstprzypisudolnego">
    <w:name w:val="footnote text"/>
    <w:basedOn w:val="Normalny"/>
    <w:link w:val="TekstprzypisudolnegoZnak"/>
    <w:uiPriority w:val="99"/>
    <w:semiHidden/>
    <w:unhideWhenUsed/>
    <w:rsid w:val="001F7E12"/>
    <w:rPr>
      <w:sz w:val="20"/>
      <w:szCs w:val="20"/>
    </w:rPr>
  </w:style>
  <w:style w:type="character" w:customStyle="1" w:styleId="TekstprzypisudolnegoZnak">
    <w:name w:val="Tekst przypisu dolnego Znak"/>
    <w:basedOn w:val="Domylnaczcionkaakapitu"/>
    <w:link w:val="Tekstprzypisudolnego"/>
    <w:uiPriority w:val="99"/>
    <w:semiHidden/>
    <w:rsid w:val="001F7E12"/>
  </w:style>
  <w:style w:type="paragraph" w:customStyle="1" w:styleId="BSWWListaN2">
    <w:name w:val="BSWW Lista N 2"/>
    <w:basedOn w:val="Nagwek2"/>
    <w:qFormat/>
    <w:rsid w:val="00710F07"/>
    <w:pPr>
      <w:keepNext w:val="0"/>
      <w:keepLines w:val="0"/>
      <w:numPr>
        <w:ilvl w:val="1"/>
      </w:numPr>
      <w:tabs>
        <w:tab w:val="num" w:pos="567"/>
      </w:tabs>
      <w:spacing w:before="120" w:after="120" w:line="264" w:lineRule="auto"/>
      <w:ind w:left="567" w:hanging="567"/>
      <w:jc w:val="both"/>
      <w:outlineLvl w:val="9"/>
    </w:pPr>
    <w:rPr>
      <w:rFonts w:ascii="Arial" w:eastAsia="Calibri" w:hAnsi="Arial" w:cs="Tahoma"/>
      <w:color w:val="auto"/>
      <w:sz w:val="20"/>
      <w:szCs w:val="22"/>
      <w:lang w:eastAsia="en-US"/>
    </w:rPr>
  </w:style>
  <w:style w:type="character" w:customStyle="1" w:styleId="BSWWDefinicja">
    <w:name w:val="BSWW Definicja"/>
    <w:uiPriority w:val="1"/>
    <w:qFormat/>
    <w:rsid w:val="00710F07"/>
    <w:rPr>
      <w:b/>
      <w:color w:val="000000"/>
    </w:rPr>
  </w:style>
  <w:style w:type="character" w:customStyle="1" w:styleId="Nagwek2Znak">
    <w:name w:val="Nagłówek 2 Znak"/>
    <w:basedOn w:val="Domylnaczcionkaakapitu"/>
    <w:link w:val="Nagwek2"/>
    <w:uiPriority w:val="9"/>
    <w:semiHidden/>
    <w:rsid w:val="00710F07"/>
    <w:rPr>
      <w:rFonts w:asciiTheme="majorHAnsi" w:eastAsiaTheme="majorEastAsia" w:hAnsiTheme="majorHAnsi" w:cstheme="majorBidi"/>
      <w:color w:val="365F91" w:themeColor="accent1" w:themeShade="BF"/>
      <w:sz w:val="26"/>
      <w:szCs w:val="26"/>
    </w:rPr>
  </w:style>
  <w:style w:type="paragraph" w:styleId="Lista">
    <w:name w:val="List"/>
    <w:basedOn w:val="Normalny"/>
    <w:uiPriority w:val="99"/>
    <w:unhideWhenUsed/>
    <w:rsid w:val="001B4DB5"/>
    <w:pPr>
      <w:ind w:left="283" w:hanging="283"/>
      <w:contextualSpacing/>
    </w:pPr>
  </w:style>
  <w:style w:type="paragraph" w:customStyle="1" w:styleId="DraftParagraph">
    <w:name w:val="Draft Paragraph"/>
    <w:basedOn w:val="Normalny"/>
    <w:next w:val="Tekstpodstawowy"/>
    <w:rsid w:val="00E13038"/>
    <w:pPr>
      <w:spacing w:line="360" w:lineRule="exact"/>
      <w:ind w:firstLine="68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0AA7"/>
    <w:rPr>
      <w:sz w:val="24"/>
      <w:szCs w:val="24"/>
    </w:rPr>
  </w:style>
  <w:style w:type="paragraph" w:styleId="Nagwek2">
    <w:name w:val="heading 2"/>
    <w:basedOn w:val="Normalny"/>
    <w:next w:val="Normalny"/>
    <w:link w:val="Nagwek2Znak"/>
    <w:uiPriority w:val="9"/>
    <w:semiHidden/>
    <w:unhideWhenUsed/>
    <w:qFormat/>
    <w:rsid w:val="00710F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E5671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E5671C"/>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D0AA7"/>
    <w:pPr>
      <w:tabs>
        <w:tab w:val="center" w:pos="4536"/>
        <w:tab w:val="right" w:pos="9072"/>
      </w:tabs>
    </w:pPr>
  </w:style>
  <w:style w:type="paragraph" w:styleId="Stopka">
    <w:name w:val="footer"/>
    <w:basedOn w:val="Normalny"/>
    <w:rsid w:val="00DD0AA7"/>
    <w:pPr>
      <w:tabs>
        <w:tab w:val="center" w:pos="4536"/>
        <w:tab w:val="right" w:pos="9072"/>
      </w:tabs>
    </w:pPr>
  </w:style>
  <w:style w:type="character" w:styleId="Numerstrony">
    <w:name w:val="page number"/>
    <w:basedOn w:val="Domylnaczcionkaakapitu"/>
    <w:rsid w:val="00E5671C"/>
  </w:style>
  <w:style w:type="paragraph" w:customStyle="1" w:styleId="p1">
    <w:name w:val="p1"/>
    <w:basedOn w:val="Normalny"/>
    <w:rsid w:val="00E5671C"/>
    <w:pPr>
      <w:spacing w:before="100" w:beforeAutospacing="1" w:after="100" w:afterAutospacing="1"/>
    </w:pPr>
    <w:rPr>
      <w:rFonts w:eastAsia="Calibri"/>
    </w:rPr>
  </w:style>
  <w:style w:type="character" w:customStyle="1" w:styleId="t418-3">
    <w:name w:val="t418-3"/>
    <w:basedOn w:val="Domylnaczcionkaakapitu"/>
    <w:rsid w:val="00E5671C"/>
    <w:rPr>
      <w:rFonts w:cs="Times New Roman"/>
    </w:rPr>
  </w:style>
  <w:style w:type="paragraph" w:customStyle="1" w:styleId="p2">
    <w:name w:val="p2"/>
    <w:basedOn w:val="Normalny"/>
    <w:rsid w:val="00E5671C"/>
    <w:pPr>
      <w:spacing w:before="100" w:beforeAutospacing="1" w:after="100" w:afterAutospacing="1"/>
    </w:pPr>
    <w:rPr>
      <w:rFonts w:eastAsia="Calibri"/>
    </w:rPr>
  </w:style>
  <w:style w:type="paragraph" w:customStyle="1" w:styleId="wypunktowanie1sprawozdanie">
    <w:name w:val="wypunktowanie 1 sprawozdanie"/>
    <w:basedOn w:val="Normalny"/>
    <w:uiPriority w:val="99"/>
    <w:rsid w:val="00E5671C"/>
    <w:pPr>
      <w:spacing w:before="240" w:after="60"/>
      <w:jc w:val="both"/>
    </w:pPr>
    <w:rPr>
      <w:rFonts w:ascii="Arial" w:eastAsia="Calibri" w:hAnsi="Arial" w:cs="Arial"/>
      <w:b/>
      <w:sz w:val="18"/>
      <w:szCs w:val="20"/>
    </w:rPr>
  </w:style>
  <w:style w:type="character" w:customStyle="1" w:styleId="Nagwek3Znak">
    <w:name w:val="Nagłówek 3 Znak"/>
    <w:basedOn w:val="Domylnaczcionkaakapitu"/>
    <w:link w:val="Nagwek3"/>
    <w:rsid w:val="00E5671C"/>
    <w:rPr>
      <w:rFonts w:ascii="Arial" w:hAnsi="Arial" w:cs="Arial"/>
      <w:b/>
      <w:bCs/>
      <w:sz w:val="26"/>
      <w:szCs w:val="26"/>
      <w:lang w:eastAsia="pl-PL" w:bidi="ar-SA"/>
    </w:rPr>
  </w:style>
  <w:style w:type="paragraph" w:styleId="Tekstkomentarza">
    <w:name w:val="annotation text"/>
    <w:basedOn w:val="Normalny"/>
    <w:link w:val="TekstkomentarzaZnak"/>
    <w:semiHidden/>
    <w:rsid w:val="00E5671C"/>
    <w:pPr>
      <w:suppressAutoHyphens/>
    </w:pPr>
    <w:rPr>
      <w:sz w:val="20"/>
      <w:szCs w:val="20"/>
      <w:lang w:eastAsia="ar-SA"/>
    </w:rPr>
  </w:style>
  <w:style w:type="character" w:customStyle="1" w:styleId="TekstkomentarzaZnak">
    <w:name w:val="Tekst komentarza Znak"/>
    <w:basedOn w:val="Domylnaczcionkaakapitu"/>
    <w:link w:val="Tekstkomentarza"/>
    <w:rsid w:val="00E5671C"/>
    <w:rPr>
      <w:lang w:eastAsia="ar-SA" w:bidi="ar-SA"/>
    </w:rPr>
  </w:style>
  <w:style w:type="character" w:customStyle="1" w:styleId="Nagwek6Znak">
    <w:name w:val="Nagłówek 6 Znak"/>
    <w:basedOn w:val="Domylnaczcionkaakapitu"/>
    <w:link w:val="Nagwek6"/>
    <w:rsid w:val="00E5671C"/>
    <w:rPr>
      <w:b/>
      <w:bCs/>
      <w:sz w:val="24"/>
      <w:szCs w:val="24"/>
      <w:lang w:eastAsia="pl-PL" w:bidi="ar-SA"/>
    </w:rPr>
  </w:style>
  <w:style w:type="paragraph" w:customStyle="1" w:styleId="Akapitzlist1">
    <w:name w:val="Akapit z listą1"/>
    <w:basedOn w:val="Normalny"/>
    <w:qFormat/>
    <w:rsid w:val="00E5671C"/>
    <w:pPr>
      <w:overflowPunct w:val="0"/>
      <w:autoSpaceDE w:val="0"/>
      <w:autoSpaceDN w:val="0"/>
      <w:adjustRightInd w:val="0"/>
      <w:ind w:left="720"/>
      <w:textAlignment w:val="baseline"/>
    </w:pPr>
    <w:rPr>
      <w:sz w:val="20"/>
      <w:szCs w:val="20"/>
    </w:rPr>
  </w:style>
  <w:style w:type="paragraph" w:customStyle="1" w:styleId="Akapitzlist2">
    <w:name w:val="Akapit z listą2"/>
    <w:basedOn w:val="Normalny"/>
    <w:rsid w:val="00E5671C"/>
    <w:pPr>
      <w:spacing w:after="200" w:line="276" w:lineRule="auto"/>
      <w:ind w:left="720"/>
    </w:pPr>
    <w:rPr>
      <w:rFonts w:ascii="Calibri" w:hAnsi="Calibri"/>
      <w:sz w:val="22"/>
      <w:szCs w:val="22"/>
      <w:lang w:eastAsia="en-US"/>
    </w:rPr>
  </w:style>
  <w:style w:type="table" w:styleId="Tabela-Siatka">
    <w:name w:val="Table Grid"/>
    <w:basedOn w:val="Standardowy"/>
    <w:rsid w:val="00E7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57A8B"/>
    <w:rPr>
      <w:rFonts w:ascii="Consolas" w:hAnsi="Consolas" w:cs="Consolas"/>
      <w:sz w:val="21"/>
      <w:szCs w:val="21"/>
    </w:rPr>
  </w:style>
  <w:style w:type="character" w:customStyle="1" w:styleId="ZwykytekstZnak">
    <w:name w:val="Zwykły tekst Znak"/>
    <w:basedOn w:val="Domylnaczcionkaakapitu"/>
    <w:link w:val="Zwykytekst"/>
    <w:locked/>
    <w:rsid w:val="00657A8B"/>
    <w:rPr>
      <w:rFonts w:ascii="Consolas" w:hAnsi="Consolas" w:cs="Consolas"/>
      <w:sz w:val="21"/>
      <w:szCs w:val="21"/>
      <w:lang w:val="pl-PL" w:eastAsia="pl-PL" w:bidi="ar-SA"/>
    </w:rPr>
  </w:style>
  <w:style w:type="paragraph" w:styleId="Tekstdymka">
    <w:name w:val="Balloon Text"/>
    <w:basedOn w:val="Normalny"/>
    <w:link w:val="TekstdymkaZnak"/>
    <w:uiPriority w:val="99"/>
    <w:semiHidden/>
    <w:unhideWhenUsed/>
    <w:rsid w:val="00D064BA"/>
    <w:rPr>
      <w:rFonts w:ascii="Tahoma" w:hAnsi="Tahoma" w:cs="Tahoma"/>
      <w:sz w:val="16"/>
      <w:szCs w:val="16"/>
    </w:rPr>
  </w:style>
  <w:style w:type="character" w:customStyle="1" w:styleId="TekstdymkaZnak">
    <w:name w:val="Tekst dymka Znak"/>
    <w:basedOn w:val="Domylnaczcionkaakapitu"/>
    <w:link w:val="Tekstdymka"/>
    <w:uiPriority w:val="99"/>
    <w:semiHidden/>
    <w:rsid w:val="00D064BA"/>
    <w:rPr>
      <w:rFonts w:ascii="Tahoma" w:hAnsi="Tahoma" w:cs="Tahoma"/>
      <w:sz w:val="16"/>
      <w:szCs w:val="16"/>
    </w:rPr>
  </w:style>
  <w:style w:type="paragraph" w:styleId="Akapitzlist">
    <w:name w:val="List Paragraph"/>
    <w:basedOn w:val="Normalny"/>
    <w:qFormat/>
    <w:rsid w:val="00AA38B9"/>
    <w:pPr>
      <w:ind w:left="720"/>
      <w:contextualSpacing/>
    </w:pPr>
  </w:style>
  <w:style w:type="paragraph" w:styleId="Tekstpodstawowy">
    <w:name w:val="Body Text"/>
    <w:aliases w:val=" Znak,Znak Znak Znak Znak Znak,Znak"/>
    <w:basedOn w:val="Normalny"/>
    <w:link w:val="TekstpodstawowyZnak"/>
    <w:rsid w:val="005C0C20"/>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jc w:val="both"/>
    </w:pPr>
    <w:rPr>
      <w:b/>
    </w:rPr>
  </w:style>
  <w:style w:type="character" w:customStyle="1" w:styleId="TekstpodstawowyZnak">
    <w:name w:val="Tekst podstawowy Znak"/>
    <w:aliases w:val=" Znak Znak,Znak Znak Znak Znak Znak Znak,Znak Znak"/>
    <w:basedOn w:val="Domylnaczcionkaakapitu"/>
    <w:link w:val="Tekstpodstawowy"/>
    <w:rsid w:val="005C0C20"/>
    <w:rPr>
      <w:b/>
      <w:sz w:val="24"/>
      <w:szCs w:val="24"/>
    </w:rPr>
  </w:style>
  <w:style w:type="paragraph" w:customStyle="1" w:styleId="Tekstpodstawowy21">
    <w:name w:val="Tekst podstawowy 21"/>
    <w:basedOn w:val="Normalny"/>
    <w:uiPriority w:val="99"/>
    <w:rsid w:val="00BD6996"/>
    <w:pPr>
      <w:jc w:val="both"/>
    </w:pPr>
    <w:rPr>
      <w:rFonts w:eastAsiaTheme="minorHAnsi"/>
    </w:rPr>
  </w:style>
  <w:style w:type="character" w:styleId="Odwoaniedokomentarza">
    <w:name w:val="annotation reference"/>
    <w:basedOn w:val="Domylnaczcionkaakapitu"/>
    <w:uiPriority w:val="99"/>
    <w:semiHidden/>
    <w:unhideWhenUsed/>
    <w:rsid w:val="008637AC"/>
    <w:rPr>
      <w:sz w:val="16"/>
      <w:szCs w:val="16"/>
    </w:rPr>
  </w:style>
  <w:style w:type="paragraph" w:styleId="Tematkomentarza">
    <w:name w:val="annotation subject"/>
    <w:basedOn w:val="Tekstkomentarza"/>
    <w:next w:val="Tekstkomentarza"/>
    <w:link w:val="TematkomentarzaZnak"/>
    <w:uiPriority w:val="99"/>
    <w:semiHidden/>
    <w:unhideWhenUsed/>
    <w:rsid w:val="008637AC"/>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8637AC"/>
    <w:rPr>
      <w:b/>
      <w:bCs/>
      <w:lang w:eastAsia="ar-SA" w:bidi="ar-SA"/>
    </w:rPr>
  </w:style>
  <w:style w:type="paragraph" w:customStyle="1" w:styleId="wypunktowanie2sprawozdanie">
    <w:name w:val="wypunktowanie 2 sprawozdanie"/>
    <w:basedOn w:val="Normalny"/>
    <w:rsid w:val="009A1682"/>
    <w:pPr>
      <w:numPr>
        <w:ilvl w:val="1"/>
        <w:numId w:val="8"/>
      </w:numPr>
      <w:tabs>
        <w:tab w:val="num" w:pos="360"/>
        <w:tab w:val="left" w:pos="1700"/>
        <w:tab w:val="left" w:pos="2551"/>
        <w:tab w:val="left" w:pos="3402"/>
        <w:tab w:val="left" w:pos="4254"/>
        <w:tab w:val="left" w:pos="5105"/>
        <w:tab w:val="left" w:pos="5954"/>
        <w:tab w:val="left" w:pos="6805"/>
        <w:tab w:val="left" w:pos="7656"/>
        <w:tab w:val="left" w:pos="8508"/>
        <w:tab w:val="left" w:pos="8640"/>
      </w:tabs>
      <w:ind w:left="360"/>
      <w:jc w:val="both"/>
    </w:pPr>
    <w:rPr>
      <w:rFonts w:ascii="Arial" w:hAnsi="Arial" w:cs="Arial"/>
      <w:spacing w:val="8"/>
      <w:sz w:val="18"/>
      <w:szCs w:val="20"/>
    </w:rPr>
  </w:style>
  <w:style w:type="character" w:styleId="Hipercze">
    <w:name w:val="Hyperlink"/>
    <w:basedOn w:val="Domylnaczcionkaakapitu"/>
    <w:uiPriority w:val="99"/>
    <w:rsid w:val="00513B2C"/>
    <w:rPr>
      <w:rFonts w:cs="Times New Roman"/>
      <w:color w:val="0000FF"/>
      <w:u w:val="single"/>
    </w:rPr>
  </w:style>
  <w:style w:type="character" w:customStyle="1" w:styleId="NagwekZnak">
    <w:name w:val="Nagłówek Znak"/>
    <w:basedOn w:val="Domylnaczcionkaakapitu"/>
    <w:link w:val="Nagwek"/>
    <w:uiPriority w:val="99"/>
    <w:rsid w:val="00AE7EA5"/>
    <w:rPr>
      <w:sz w:val="24"/>
      <w:szCs w:val="24"/>
    </w:rPr>
  </w:style>
  <w:style w:type="paragraph" w:styleId="NormalnyWeb">
    <w:name w:val="Normal (Web)"/>
    <w:basedOn w:val="Normalny"/>
    <w:uiPriority w:val="99"/>
    <w:unhideWhenUsed/>
    <w:rsid w:val="000039C8"/>
    <w:pPr>
      <w:spacing w:before="100" w:beforeAutospacing="1" w:after="100" w:afterAutospacing="1"/>
    </w:pPr>
  </w:style>
  <w:style w:type="paragraph" w:styleId="Bezodstpw">
    <w:name w:val="No Spacing"/>
    <w:uiPriority w:val="1"/>
    <w:qFormat/>
    <w:rsid w:val="0008786B"/>
    <w:rPr>
      <w:sz w:val="24"/>
      <w:szCs w:val="24"/>
    </w:rPr>
  </w:style>
  <w:style w:type="paragraph" w:styleId="Tekstprzypisudolnego">
    <w:name w:val="footnote text"/>
    <w:basedOn w:val="Normalny"/>
    <w:link w:val="TekstprzypisudolnegoZnak"/>
    <w:uiPriority w:val="99"/>
    <w:semiHidden/>
    <w:unhideWhenUsed/>
    <w:rsid w:val="001F7E12"/>
    <w:rPr>
      <w:sz w:val="20"/>
      <w:szCs w:val="20"/>
    </w:rPr>
  </w:style>
  <w:style w:type="character" w:customStyle="1" w:styleId="TekstprzypisudolnegoZnak">
    <w:name w:val="Tekst przypisu dolnego Znak"/>
    <w:basedOn w:val="Domylnaczcionkaakapitu"/>
    <w:link w:val="Tekstprzypisudolnego"/>
    <w:uiPriority w:val="99"/>
    <w:semiHidden/>
    <w:rsid w:val="001F7E12"/>
  </w:style>
  <w:style w:type="paragraph" w:customStyle="1" w:styleId="BSWWListaN2">
    <w:name w:val="BSWW Lista N 2"/>
    <w:basedOn w:val="Nagwek2"/>
    <w:qFormat/>
    <w:rsid w:val="00710F07"/>
    <w:pPr>
      <w:keepNext w:val="0"/>
      <w:keepLines w:val="0"/>
      <w:numPr>
        <w:ilvl w:val="1"/>
      </w:numPr>
      <w:tabs>
        <w:tab w:val="num" w:pos="567"/>
      </w:tabs>
      <w:spacing w:before="120" w:after="120" w:line="264" w:lineRule="auto"/>
      <w:ind w:left="567" w:hanging="567"/>
      <w:jc w:val="both"/>
      <w:outlineLvl w:val="9"/>
    </w:pPr>
    <w:rPr>
      <w:rFonts w:ascii="Arial" w:eastAsia="Calibri" w:hAnsi="Arial" w:cs="Tahoma"/>
      <w:color w:val="auto"/>
      <w:sz w:val="20"/>
      <w:szCs w:val="22"/>
      <w:lang w:eastAsia="en-US"/>
    </w:rPr>
  </w:style>
  <w:style w:type="character" w:customStyle="1" w:styleId="BSWWDefinicja">
    <w:name w:val="BSWW Definicja"/>
    <w:uiPriority w:val="1"/>
    <w:qFormat/>
    <w:rsid w:val="00710F07"/>
    <w:rPr>
      <w:b/>
      <w:color w:val="000000"/>
    </w:rPr>
  </w:style>
  <w:style w:type="character" w:customStyle="1" w:styleId="Nagwek2Znak">
    <w:name w:val="Nagłówek 2 Znak"/>
    <w:basedOn w:val="Domylnaczcionkaakapitu"/>
    <w:link w:val="Nagwek2"/>
    <w:uiPriority w:val="9"/>
    <w:semiHidden/>
    <w:rsid w:val="00710F07"/>
    <w:rPr>
      <w:rFonts w:asciiTheme="majorHAnsi" w:eastAsiaTheme="majorEastAsia" w:hAnsiTheme="majorHAnsi" w:cstheme="majorBidi"/>
      <w:color w:val="365F91" w:themeColor="accent1" w:themeShade="BF"/>
      <w:sz w:val="26"/>
      <w:szCs w:val="26"/>
    </w:rPr>
  </w:style>
  <w:style w:type="paragraph" w:styleId="Lista">
    <w:name w:val="List"/>
    <w:basedOn w:val="Normalny"/>
    <w:uiPriority w:val="99"/>
    <w:unhideWhenUsed/>
    <w:rsid w:val="001B4DB5"/>
    <w:pPr>
      <w:ind w:left="283" w:hanging="283"/>
      <w:contextualSpacing/>
    </w:pPr>
  </w:style>
  <w:style w:type="paragraph" w:customStyle="1" w:styleId="DraftParagraph">
    <w:name w:val="Draft Paragraph"/>
    <w:basedOn w:val="Normalny"/>
    <w:next w:val="Tekstpodstawowy"/>
    <w:rsid w:val="00E13038"/>
    <w:pPr>
      <w:spacing w:line="360" w:lineRule="exact"/>
      <w:ind w:firstLine="68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8828">
      <w:bodyDiv w:val="1"/>
      <w:marLeft w:val="0"/>
      <w:marRight w:val="0"/>
      <w:marTop w:val="0"/>
      <w:marBottom w:val="0"/>
      <w:divBdr>
        <w:top w:val="none" w:sz="0" w:space="0" w:color="auto"/>
        <w:left w:val="none" w:sz="0" w:space="0" w:color="auto"/>
        <w:bottom w:val="none" w:sz="0" w:space="0" w:color="auto"/>
        <w:right w:val="none" w:sz="0" w:space="0" w:color="auto"/>
      </w:divBdr>
    </w:div>
    <w:div w:id="740639620">
      <w:bodyDiv w:val="1"/>
      <w:marLeft w:val="0"/>
      <w:marRight w:val="0"/>
      <w:marTop w:val="0"/>
      <w:marBottom w:val="0"/>
      <w:divBdr>
        <w:top w:val="none" w:sz="0" w:space="0" w:color="auto"/>
        <w:left w:val="none" w:sz="0" w:space="0" w:color="auto"/>
        <w:bottom w:val="none" w:sz="0" w:space="0" w:color="auto"/>
        <w:right w:val="none" w:sz="0" w:space="0" w:color="auto"/>
      </w:divBdr>
    </w:div>
    <w:div w:id="1097747067">
      <w:bodyDiv w:val="1"/>
      <w:marLeft w:val="0"/>
      <w:marRight w:val="0"/>
      <w:marTop w:val="0"/>
      <w:marBottom w:val="0"/>
      <w:divBdr>
        <w:top w:val="none" w:sz="0" w:space="0" w:color="auto"/>
        <w:left w:val="none" w:sz="0" w:space="0" w:color="auto"/>
        <w:bottom w:val="none" w:sz="0" w:space="0" w:color="auto"/>
        <w:right w:val="none" w:sz="0" w:space="0" w:color="auto"/>
      </w:divBdr>
    </w:div>
    <w:div w:id="1668364626">
      <w:bodyDiv w:val="1"/>
      <w:marLeft w:val="0"/>
      <w:marRight w:val="0"/>
      <w:marTop w:val="0"/>
      <w:marBottom w:val="0"/>
      <w:divBdr>
        <w:top w:val="none" w:sz="0" w:space="0" w:color="auto"/>
        <w:left w:val="none" w:sz="0" w:space="0" w:color="auto"/>
        <w:bottom w:val="none" w:sz="0" w:space="0" w:color="auto"/>
        <w:right w:val="none" w:sz="0" w:space="0" w:color="auto"/>
      </w:divBdr>
    </w:div>
    <w:div w:id="1923368339">
      <w:bodyDiv w:val="1"/>
      <w:marLeft w:val="0"/>
      <w:marRight w:val="0"/>
      <w:marTop w:val="0"/>
      <w:marBottom w:val="0"/>
      <w:divBdr>
        <w:top w:val="none" w:sz="0" w:space="0" w:color="auto"/>
        <w:left w:val="none" w:sz="0" w:space="0" w:color="auto"/>
        <w:bottom w:val="none" w:sz="0" w:space="0" w:color="auto"/>
        <w:right w:val="none" w:sz="0" w:space="0" w:color="auto"/>
      </w:divBdr>
    </w:div>
    <w:div w:id="19361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7ECE-235F-41F2-A801-E2D34CB6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16351</Words>
  <Characters>98110</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Chemoservis-Dwory S.A.</Company>
  <LinksUpToDate>false</LinksUpToDate>
  <CharactersWithSpaces>114233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Nyznar-m</dc:creator>
  <cp:lastModifiedBy>Michał Nyznar </cp:lastModifiedBy>
  <cp:revision>3</cp:revision>
  <cp:lastPrinted>2016-08-24T11:46:00Z</cp:lastPrinted>
  <dcterms:created xsi:type="dcterms:W3CDTF">2016-08-28T12:15:00Z</dcterms:created>
  <dcterms:modified xsi:type="dcterms:W3CDTF">2016-08-28T12:26:00Z</dcterms:modified>
</cp:coreProperties>
</file>