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E63B" w14:textId="77777777" w:rsidR="00C07ECB" w:rsidRDefault="00C07ECB" w:rsidP="00C07ECB">
      <w:pPr>
        <w:ind w:right="1"/>
        <w:jc w:val="both"/>
        <w:rPr>
          <w:bCs/>
          <w:i/>
        </w:rPr>
      </w:pPr>
    </w:p>
    <w:p w14:paraId="078A468F" w14:textId="651F0700" w:rsidR="00C07ECB" w:rsidRPr="002C6F00" w:rsidRDefault="00C07ECB" w:rsidP="00C07ECB">
      <w:pPr>
        <w:ind w:right="1"/>
        <w:jc w:val="both"/>
        <w:rPr>
          <w:bCs/>
          <w:i/>
        </w:rPr>
      </w:pPr>
      <w:r w:rsidRPr="002C6F00">
        <w:rPr>
          <w:bCs/>
          <w:i/>
        </w:rPr>
        <w:t xml:space="preserve">Warszawa, </w:t>
      </w:r>
      <w:r w:rsidR="00822B60">
        <w:rPr>
          <w:bCs/>
          <w:i/>
        </w:rPr>
        <w:t>07</w:t>
      </w:r>
      <w:r>
        <w:rPr>
          <w:bCs/>
          <w:i/>
        </w:rPr>
        <w:t>.</w:t>
      </w:r>
      <w:r w:rsidR="00822B60">
        <w:rPr>
          <w:bCs/>
          <w:i/>
        </w:rPr>
        <w:t>12</w:t>
      </w:r>
      <w:r>
        <w:rPr>
          <w:bCs/>
          <w:i/>
        </w:rPr>
        <w:t>.2022</w:t>
      </w:r>
    </w:p>
    <w:p w14:paraId="5EC18575" w14:textId="77777777" w:rsidR="00C07ECB" w:rsidRPr="00FC7A30" w:rsidRDefault="00C07ECB" w:rsidP="00C07ECB">
      <w:pPr>
        <w:ind w:right="1"/>
        <w:jc w:val="both"/>
        <w:rPr>
          <w:bCs/>
        </w:rPr>
      </w:pPr>
    </w:p>
    <w:p w14:paraId="4129CB78" w14:textId="77777777" w:rsidR="00C07ECB" w:rsidRDefault="00C07ECB" w:rsidP="00C07ECB">
      <w:pPr>
        <w:ind w:right="1"/>
        <w:jc w:val="both"/>
        <w:rPr>
          <w:b/>
        </w:rPr>
      </w:pPr>
      <w:r>
        <w:rPr>
          <w:b/>
        </w:rPr>
        <w:t>Konrad Księżopolski</w:t>
      </w:r>
      <w:r w:rsidRPr="00726125">
        <w:rPr>
          <w:b/>
        </w:rPr>
        <w:t xml:space="preserve">, </w:t>
      </w:r>
      <w:r>
        <w:rPr>
          <w:b/>
        </w:rPr>
        <w:t>Szef Działu Analiz</w:t>
      </w:r>
      <w:r w:rsidRPr="00726125">
        <w:rPr>
          <w:b/>
        </w:rPr>
        <w:t>, Haitong Bank</w:t>
      </w:r>
    </w:p>
    <w:p w14:paraId="30CB6FBC" w14:textId="77777777" w:rsidR="00C07ECB" w:rsidRDefault="00C07ECB" w:rsidP="001C6320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</w:rPr>
      </w:pPr>
    </w:p>
    <w:p w14:paraId="02A681ED" w14:textId="60D12833" w:rsidR="001C6320" w:rsidRPr="00D2451B" w:rsidRDefault="001C6320" w:rsidP="0099198B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201F1E"/>
        </w:rPr>
      </w:pPr>
      <w:r w:rsidRPr="00D2451B">
        <w:rPr>
          <w:rFonts w:ascii="Calibri" w:hAnsi="Calibri" w:cs="Calibri"/>
          <w:color w:val="201F1E"/>
        </w:rPr>
        <w:t xml:space="preserve">Haitong Bank w raporcie z </w:t>
      </w:r>
      <w:r w:rsidR="00822B60">
        <w:rPr>
          <w:rFonts w:ascii="Calibri" w:hAnsi="Calibri" w:cs="Calibri"/>
          <w:color w:val="201F1E"/>
        </w:rPr>
        <w:t>5</w:t>
      </w:r>
      <w:r w:rsidRPr="00D2451B">
        <w:rPr>
          <w:rFonts w:ascii="Calibri" w:hAnsi="Calibri" w:cs="Calibri"/>
          <w:color w:val="201F1E"/>
        </w:rPr>
        <w:t xml:space="preserve"> </w:t>
      </w:r>
      <w:r w:rsidR="00822B60">
        <w:rPr>
          <w:rFonts w:ascii="Calibri" w:hAnsi="Calibri" w:cs="Calibri"/>
          <w:color w:val="201F1E"/>
        </w:rPr>
        <w:t>grudnia</w:t>
      </w:r>
      <w:r w:rsidRPr="00D2451B">
        <w:rPr>
          <w:rFonts w:ascii="Calibri" w:hAnsi="Calibri" w:cs="Calibri"/>
          <w:color w:val="201F1E"/>
        </w:rPr>
        <w:t xml:space="preserve"> (godz. </w:t>
      </w:r>
      <w:r w:rsidR="00822B60">
        <w:rPr>
          <w:rFonts w:ascii="Calibri" w:hAnsi="Calibri" w:cs="Calibri"/>
          <w:color w:val="201F1E"/>
        </w:rPr>
        <w:t>8</w:t>
      </w:r>
      <w:r w:rsidRPr="00D2451B">
        <w:rPr>
          <w:rFonts w:ascii="Calibri" w:hAnsi="Calibri" w:cs="Calibri"/>
          <w:color w:val="201F1E"/>
        </w:rPr>
        <w:t xml:space="preserve">:30) utrzymuje rekomendację KUPUJ dla </w:t>
      </w:r>
      <w:r w:rsidR="00825CD7">
        <w:rPr>
          <w:rFonts w:ascii="Calibri" w:hAnsi="Calibri" w:cs="Calibri"/>
          <w:color w:val="201F1E"/>
        </w:rPr>
        <w:t xml:space="preserve">Ten </w:t>
      </w:r>
      <w:proofErr w:type="spellStart"/>
      <w:r w:rsidR="00825CD7">
        <w:rPr>
          <w:rFonts w:ascii="Calibri" w:hAnsi="Calibri" w:cs="Calibri"/>
          <w:color w:val="201F1E"/>
        </w:rPr>
        <w:t>Square</w:t>
      </w:r>
      <w:proofErr w:type="spellEnd"/>
      <w:r w:rsidR="00825CD7">
        <w:rPr>
          <w:rFonts w:ascii="Calibri" w:hAnsi="Calibri" w:cs="Calibri"/>
          <w:color w:val="201F1E"/>
        </w:rPr>
        <w:t xml:space="preserve"> Games</w:t>
      </w:r>
      <w:r w:rsidRPr="00D2451B">
        <w:rPr>
          <w:rFonts w:ascii="Calibri" w:hAnsi="Calibri" w:cs="Calibri"/>
          <w:color w:val="201F1E"/>
        </w:rPr>
        <w:t xml:space="preserve">, jednocześnie obniżając cenę docelową do </w:t>
      </w:r>
      <w:r w:rsidR="00CF3835">
        <w:rPr>
          <w:rFonts w:ascii="Calibri" w:hAnsi="Calibri" w:cs="Calibri"/>
          <w:color w:val="201F1E"/>
        </w:rPr>
        <w:t>177</w:t>
      </w:r>
      <w:r w:rsidRPr="00D2451B">
        <w:rPr>
          <w:rFonts w:ascii="Calibri" w:hAnsi="Calibri" w:cs="Calibri"/>
          <w:color w:val="201F1E"/>
        </w:rPr>
        <w:t xml:space="preserve"> PLN z </w:t>
      </w:r>
      <w:r w:rsidR="00CF3835">
        <w:rPr>
          <w:rFonts w:ascii="Calibri" w:hAnsi="Calibri" w:cs="Calibri"/>
          <w:color w:val="201F1E"/>
        </w:rPr>
        <w:t>258</w:t>
      </w:r>
      <w:r w:rsidRPr="00D2451B">
        <w:rPr>
          <w:rFonts w:ascii="Calibri" w:hAnsi="Calibri" w:cs="Calibri"/>
          <w:color w:val="201F1E"/>
        </w:rPr>
        <w:t xml:space="preserve"> PLN.</w:t>
      </w:r>
      <w:r w:rsidR="00825CD7">
        <w:rPr>
          <w:rFonts w:ascii="Calibri" w:hAnsi="Calibri" w:cs="Calibri"/>
          <w:color w:val="201F1E"/>
        </w:rPr>
        <w:t xml:space="preserve"> </w:t>
      </w:r>
    </w:p>
    <w:p w14:paraId="552F0332" w14:textId="470CD23A" w:rsidR="001C6320" w:rsidRPr="00D2451B" w:rsidRDefault="001C6320" w:rsidP="0099198B">
      <w:pPr>
        <w:pStyle w:val="xmsonormal"/>
        <w:autoSpaceDE w:val="0"/>
        <w:autoSpaceDN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2451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3FFD16" w14:textId="4FDBE7F8" w:rsidR="00CF3835" w:rsidRPr="00CF3835" w:rsidRDefault="00CF3835" w:rsidP="00CF3835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Podtrzymujemy rekomendację KUPUJ dla Ten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Games. Obniżamy jednak</w:t>
      </w:r>
      <w:r w:rsidR="008D76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3835">
        <w:rPr>
          <w:rFonts w:asciiTheme="minorHAnsi" w:hAnsiTheme="minorHAnsi" w:cstheme="minorHAnsi"/>
          <w:b/>
          <w:bCs/>
          <w:sz w:val="24"/>
          <w:szCs w:val="24"/>
        </w:rPr>
        <w:t>cenę docelową akcji do 177 PLN (z 258 PLN), z powodu redukcji naszych prognoz skorygowanego EBITDA na 22E/23E/24E  odpowiednio o 19 proc./26 proc./33 proc. Twarde lądowanie</w:t>
      </w:r>
      <w:r w:rsidR="008D76AF" w:rsidRPr="008D76A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D76AF"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w zakresie </w:t>
      </w:r>
      <w:proofErr w:type="spellStart"/>
      <w:r w:rsidR="008D76AF" w:rsidRPr="00CF3835">
        <w:rPr>
          <w:rFonts w:asciiTheme="minorHAnsi" w:hAnsiTheme="minorHAnsi" w:cstheme="minorHAnsi"/>
          <w:b/>
          <w:bCs/>
          <w:sz w:val="24"/>
          <w:szCs w:val="24"/>
        </w:rPr>
        <w:t>monetyzacji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, którego Ten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Games doświadczało od końca pandemii wydaje się kończyć.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Monetyzacja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Fishing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i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Hunting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ustabilizowała się na poziomie odpowiednio ok. PLN 30m/11m miesięcznie, a przy większej liczbie live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opsów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oraz aktualizacji treści mo</w:t>
      </w:r>
      <w:r w:rsidR="008D76AF">
        <w:rPr>
          <w:rFonts w:asciiTheme="minorHAnsi" w:hAnsiTheme="minorHAnsi" w:cstheme="minorHAnsi"/>
          <w:b/>
          <w:bCs/>
          <w:sz w:val="24"/>
          <w:szCs w:val="24"/>
        </w:rPr>
        <w:t>że</w:t>
      </w:r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przynajmniej utrzymać się na obecnym poziomie. Pierwsze dane po globalnej premierze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Wings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of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Heroes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są również obiecujące.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Undead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i Fishing Master są w końcowej fazie rozwoju z możliwością globalnej premiery (tzw</w:t>
      </w:r>
      <w:r w:rsidR="00E622AC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hard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launch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) w 2H23. Ten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Games rozpoczęło optymalizację zatrudnienia i operacji biznesowych, co również należy ocenić pozytywnie. Powrót do poziomu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monetyzacji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z czasów pandemii jest bardzo mało prawdopodobny (przynajmniej na razie). Jednocześnie uważamy, że dalszy spadek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monetyzacji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do poziomu sprzed pandemii nie jest zbyt prawdopodobny. Cykl życiowy współczesnych gier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free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>-to-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play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, szczególnie tych będących w czołówce swojej kategorii, jak Fishing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Clash</w:t>
      </w:r>
      <w:proofErr w:type="spellEnd"/>
      <w:r w:rsidR="0093367E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trwa latami i jest wspierany przez potrzebne aktualizacje grafiki, mechaniki i treści. Uważamy, że przecena Ten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Games uwzględniła już większość możliwych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ryzyk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, z których nie wszystkie mogą się zmaterializować. Przypominamy, że im więcej gier generujących co najmniej 2-3 mln USD miesięcznie w portfolio Ten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Games, tym bardziej atrakcyjnym celem przejęcia może stać się spółka. To z kolei jest  naszym zdaniem najbardziej atrakcyjną opcją wyjścia dla założycieli Ten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Games (bardziej atrakcyjną niż ABB). Jest to jednak dla nas raczej opcja uzupełniająca do obecnego scenariusza inwestycyjnego Ten </w:t>
      </w:r>
      <w:proofErr w:type="spellStart"/>
      <w:r w:rsidRPr="00CF3835">
        <w:rPr>
          <w:rFonts w:asciiTheme="minorHAnsi" w:hAnsiTheme="minorHAnsi" w:cstheme="minorHAnsi"/>
          <w:b/>
          <w:bCs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b/>
          <w:bCs/>
          <w:sz w:val="24"/>
          <w:szCs w:val="24"/>
        </w:rPr>
        <w:t xml:space="preserve"> Games niż opcja bazowa.</w:t>
      </w:r>
    </w:p>
    <w:p w14:paraId="7CDD120D" w14:textId="77777777" w:rsidR="00CF3835" w:rsidRPr="00CF3835" w:rsidRDefault="00CF3835" w:rsidP="00CF3835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color w:val="1F497D"/>
          <w:sz w:val="32"/>
          <w:szCs w:val="32"/>
        </w:rPr>
      </w:pPr>
    </w:p>
    <w:p w14:paraId="480A6D7D" w14:textId="77777777" w:rsidR="00CF3835" w:rsidRPr="00CF3835" w:rsidRDefault="00CF3835" w:rsidP="00CF3835">
      <w:pPr>
        <w:rPr>
          <w:rFonts w:cstheme="minorHAnsi"/>
          <w:b/>
          <w:bCs/>
          <w:sz w:val="24"/>
          <w:szCs w:val="24"/>
        </w:rPr>
      </w:pPr>
      <w:r w:rsidRPr="00CF3835">
        <w:rPr>
          <w:rFonts w:cstheme="minorHAnsi"/>
          <w:b/>
          <w:bCs/>
          <w:sz w:val="24"/>
          <w:szCs w:val="24"/>
        </w:rPr>
        <w:t xml:space="preserve">Fishing Clash / Hunting Clash </w:t>
      </w:r>
      <w:proofErr w:type="spellStart"/>
      <w:r w:rsidRPr="00CF3835">
        <w:rPr>
          <w:rFonts w:cstheme="minorHAnsi"/>
          <w:b/>
          <w:bCs/>
          <w:sz w:val="24"/>
          <w:szCs w:val="24"/>
        </w:rPr>
        <w:t>odbija</w:t>
      </w:r>
      <w:proofErr w:type="spellEnd"/>
      <w:r w:rsidRPr="00CF3835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b/>
          <w:bCs/>
          <w:sz w:val="24"/>
          <w:szCs w:val="24"/>
        </w:rPr>
        <w:t>się</w:t>
      </w:r>
      <w:proofErr w:type="spellEnd"/>
      <w:r w:rsidRPr="00CF3835">
        <w:rPr>
          <w:rFonts w:cstheme="minorHAnsi"/>
          <w:b/>
          <w:bCs/>
          <w:sz w:val="24"/>
          <w:szCs w:val="24"/>
        </w:rPr>
        <w:t xml:space="preserve">? </w:t>
      </w:r>
    </w:p>
    <w:p w14:paraId="53173C7C" w14:textId="77777777" w:rsidR="00CF3835" w:rsidRPr="00CF3835" w:rsidRDefault="00CF3835" w:rsidP="00CF3835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CF3835">
        <w:rPr>
          <w:rFonts w:asciiTheme="minorHAnsi" w:hAnsiTheme="minorHAnsi" w:cstheme="minorHAnsi"/>
          <w:sz w:val="24"/>
          <w:szCs w:val="24"/>
        </w:rPr>
        <w:t xml:space="preserve">W 3Q22 przychody Fishing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wyniosły 87,9 mln PLN i wzrosły o 6 proc. w stosunku do poprzedniego kwartału, zaś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bookingi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Hunting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wyniosły 32,6 mln PLN i zwiększyły się o 31 proc. w stosunku do poprzedniego kwartału. Na wartość przychodów mierzonych w PLN wyraźny wpływ miał jednak kurs walutowy (USD/PLN ok. +8 proc.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), a mierzone w USD przychody Fishing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w 3Q22 spadły o ok. 2 proc.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, zaś w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Hunting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wzrosły o ok. 21 proc.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/kw. Realny obraz (mierzony w USD) pokazuje jednak stabilizację przychodów na poziomie ok. 6 mln USD miesięcznie w przypadku Fishing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, natomiast dla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Hunting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monetyzacja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wraca do przedwojennych poziomów ok. 2,3-2,5 mln USD miesięcznie. Co ważniejsze, odbicie w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bookingu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Fishing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/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Hunting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nie było napędzane przez ponadnormatywny wzrost marketingu, który w Fishing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Clash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stanowił 20 proc. sprzedaży (vs. 16 proc. w 2Q22), a w HC 39 proc. (vs. 41 proc. w 2Q22). Ten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Games informuje, że planuje wprowadzenie kilku nowości do gry w najbliższych tygodniach/miesiącach.</w:t>
      </w:r>
    </w:p>
    <w:p w14:paraId="3D78465A" w14:textId="77777777" w:rsidR="00CF3835" w:rsidRPr="00CF3835" w:rsidRDefault="00CF3835" w:rsidP="00CF3835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4A2FB459" w14:textId="77777777" w:rsidR="00CF3835" w:rsidRPr="00CF3835" w:rsidRDefault="00CF3835" w:rsidP="00CF3835">
      <w:pPr>
        <w:rPr>
          <w:rFonts w:cstheme="minorHAnsi"/>
          <w:b/>
          <w:bCs/>
          <w:sz w:val="24"/>
          <w:szCs w:val="24"/>
        </w:rPr>
      </w:pPr>
      <w:proofErr w:type="spellStart"/>
      <w:r w:rsidRPr="00CF3835">
        <w:rPr>
          <w:rFonts w:cstheme="minorHAnsi"/>
          <w:b/>
          <w:bCs/>
          <w:sz w:val="24"/>
          <w:szCs w:val="24"/>
        </w:rPr>
        <w:t>Rortos</w:t>
      </w:r>
      <w:proofErr w:type="spellEnd"/>
      <w:r w:rsidRPr="00CF3835">
        <w:rPr>
          <w:rFonts w:cstheme="minorHAnsi"/>
          <w:b/>
          <w:bCs/>
          <w:sz w:val="24"/>
          <w:szCs w:val="24"/>
        </w:rPr>
        <w:t xml:space="preserve"> przynosi nowe nadzieje</w:t>
      </w:r>
    </w:p>
    <w:p w14:paraId="2326A961" w14:textId="77777777" w:rsidR="00CF3835" w:rsidRPr="00CF3835" w:rsidRDefault="00CF3835" w:rsidP="00CF3835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CF3835">
        <w:rPr>
          <w:rFonts w:asciiTheme="minorHAnsi" w:hAnsiTheme="minorHAnsi" w:cstheme="minorHAnsi"/>
          <w:sz w:val="24"/>
          <w:szCs w:val="24"/>
        </w:rPr>
        <w:t xml:space="preserve">Przychody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Rortos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osiągnęły w 3Q22 PLN 10.3m, +23 proc.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/kw. W 3Q22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Wings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Heroes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był w fazie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soft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launchu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i jego udział w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bookingu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wyniósł 0,7 mln PLN. W związku z tym, w 3Q22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booking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starych gier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Rortos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(z wyłączeniem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Wings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Heroes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) wyniósł w 3Q22 9,6 mln PLN, czyli ok. +15 proc.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kw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lub ok. +27 proc. vs. 1Q22. Ten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Games planuje wdrożenie usprawnień produktowych i live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ops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w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Airline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Commander, co powinno wspierać dalsze zagospodarowanie i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monetyzację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Wings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Heroes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miał swój globalny start na początku października 2022 i już w tym samym miesiącu wygenerował 1,2 mln PLN przychodów. Ten </w:t>
      </w:r>
      <w:proofErr w:type="spellStart"/>
      <w:r w:rsidRPr="00CF3835">
        <w:rPr>
          <w:rFonts w:asciiTheme="minorHAnsi" w:hAnsiTheme="minorHAnsi" w:cstheme="minorHAnsi"/>
          <w:sz w:val="24"/>
          <w:szCs w:val="24"/>
        </w:rPr>
        <w:t>Square</w:t>
      </w:r>
      <w:proofErr w:type="spellEnd"/>
      <w:r w:rsidRPr="00CF3835">
        <w:rPr>
          <w:rFonts w:asciiTheme="minorHAnsi" w:hAnsiTheme="minorHAnsi" w:cstheme="minorHAnsi"/>
          <w:sz w:val="24"/>
          <w:szCs w:val="24"/>
        </w:rPr>
        <w:t xml:space="preserve"> Games jest zadowolone z wstępnych wyników, ale podkreśla, że potrzebuje więcej czasu na zbudowanie głębi produktu.</w:t>
      </w:r>
    </w:p>
    <w:p w14:paraId="1D3CA90F" w14:textId="77777777" w:rsidR="00CF3835" w:rsidRPr="00CF3835" w:rsidRDefault="00CF3835" w:rsidP="00CF3835">
      <w:pPr>
        <w:pStyle w:val="xmsonormal"/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</w:p>
    <w:p w14:paraId="3B2E6E7B" w14:textId="77777777" w:rsidR="00CF3835" w:rsidRPr="00CF3835" w:rsidRDefault="00CF3835" w:rsidP="00CF3835">
      <w:pPr>
        <w:rPr>
          <w:rFonts w:cstheme="minorHAnsi"/>
          <w:b/>
          <w:bCs/>
          <w:sz w:val="24"/>
          <w:szCs w:val="24"/>
        </w:rPr>
      </w:pPr>
      <w:r w:rsidRPr="00CF3835">
        <w:rPr>
          <w:rFonts w:cstheme="minorHAnsi"/>
          <w:b/>
          <w:bCs/>
          <w:sz w:val="24"/>
          <w:szCs w:val="24"/>
        </w:rPr>
        <w:t xml:space="preserve">Gry w przygotowaniu </w:t>
      </w:r>
    </w:p>
    <w:p w14:paraId="7F5129D7" w14:textId="77777777" w:rsidR="00CF3835" w:rsidRPr="00CF3835" w:rsidRDefault="00CF3835" w:rsidP="00283E1E">
      <w:pPr>
        <w:jc w:val="both"/>
        <w:rPr>
          <w:rFonts w:cstheme="minorHAnsi"/>
          <w:sz w:val="24"/>
          <w:szCs w:val="24"/>
        </w:rPr>
      </w:pPr>
      <w:proofErr w:type="spellStart"/>
      <w:r w:rsidRPr="00CF3835">
        <w:rPr>
          <w:rFonts w:cstheme="minorHAnsi"/>
          <w:sz w:val="24"/>
          <w:szCs w:val="24"/>
        </w:rPr>
        <w:t>Undead</w:t>
      </w:r>
      <w:proofErr w:type="spellEnd"/>
      <w:r w:rsidRPr="00CF3835">
        <w:rPr>
          <w:rFonts w:cstheme="minorHAnsi"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sz w:val="24"/>
          <w:szCs w:val="24"/>
        </w:rPr>
        <w:t>Clash</w:t>
      </w:r>
      <w:proofErr w:type="spellEnd"/>
      <w:r w:rsidRPr="00CF3835">
        <w:rPr>
          <w:rFonts w:cstheme="minorHAnsi"/>
          <w:sz w:val="24"/>
          <w:szCs w:val="24"/>
        </w:rPr>
        <w:t xml:space="preserve"> powinien przez kilka miesięcy pozostać w fazie </w:t>
      </w:r>
      <w:proofErr w:type="spellStart"/>
      <w:r w:rsidRPr="00CF3835">
        <w:rPr>
          <w:rFonts w:cstheme="minorHAnsi"/>
          <w:sz w:val="24"/>
          <w:szCs w:val="24"/>
        </w:rPr>
        <w:t>soft</w:t>
      </w:r>
      <w:proofErr w:type="spellEnd"/>
      <w:r w:rsidRPr="00CF3835">
        <w:rPr>
          <w:rFonts w:cstheme="minorHAnsi"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sz w:val="24"/>
          <w:szCs w:val="24"/>
        </w:rPr>
        <w:t>launch</w:t>
      </w:r>
      <w:proofErr w:type="spellEnd"/>
      <w:r w:rsidRPr="00CF3835">
        <w:rPr>
          <w:rFonts w:cstheme="minorHAnsi"/>
          <w:sz w:val="24"/>
          <w:szCs w:val="24"/>
        </w:rPr>
        <w:t xml:space="preserve">, ponieważ Ten </w:t>
      </w:r>
      <w:proofErr w:type="spellStart"/>
      <w:r w:rsidRPr="00CF3835">
        <w:rPr>
          <w:rFonts w:cstheme="minorHAnsi"/>
          <w:sz w:val="24"/>
          <w:szCs w:val="24"/>
        </w:rPr>
        <w:t>Square</w:t>
      </w:r>
      <w:proofErr w:type="spellEnd"/>
      <w:r w:rsidRPr="00CF3835">
        <w:rPr>
          <w:rFonts w:cstheme="minorHAnsi"/>
          <w:sz w:val="24"/>
          <w:szCs w:val="24"/>
        </w:rPr>
        <w:t xml:space="preserve"> Games testuje obecnie zainteresowanie klientów na rynku amerykańskim i pracuje nad dodatkowymi rozwiązaniami. </w:t>
      </w:r>
      <w:proofErr w:type="spellStart"/>
      <w:r w:rsidRPr="00CF3835">
        <w:rPr>
          <w:rFonts w:cstheme="minorHAnsi"/>
          <w:sz w:val="24"/>
          <w:szCs w:val="24"/>
        </w:rPr>
        <w:t>Undead</w:t>
      </w:r>
      <w:proofErr w:type="spellEnd"/>
      <w:r w:rsidRPr="00CF3835">
        <w:rPr>
          <w:rFonts w:cstheme="minorHAnsi"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sz w:val="24"/>
          <w:szCs w:val="24"/>
        </w:rPr>
        <w:t>Clash</w:t>
      </w:r>
      <w:proofErr w:type="spellEnd"/>
      <w:r w:rsidRPr="00CF3835">
        <w:rPr>
          <w:rFonts w:cstheme="minorHAnsi"/>
          <w:sz w:val="24"/>
          <w:szCs w:val="24"/>
        </w:rPr>
        <w:t xml:space="preserve"> jest najdroższą grą Ten </w:t>
      </w:r>
      <w:proofErr w:type="spellStart"/>
      <w:r w:rsidRPr="00CF3835">
        <w:rPr>
          <w:rFonts w:cstheme="minorHAnsi"/>
          <w:sz w:val="24"/>
          <w:szCs w:val="24"/>
        </w:rPr>
        <w:t>Square</w:t>
      </w:r>
      <w:proofErr w:type="spellEnd"/>
      <w:r w:rsidRPr="00CF3835">
        <w:rPr>
          <w:rFonts w:cstheme="minorHAnsi"/>
          <w:sz w:val="24"/>
          <w:szCs w:val="24"/>
        </w:rPr>
        <w:t xml:space="preserve"> Games, a jej budżet deweloperski osiągnął już 15,7 mln PLN. Przypominamy, że koszty rozwoju Fishing </w:t>
      </w:r>
      <w:proofErr w:type="spellStart"/>
      <w:r w:rsidRPr="00CF3835">
        <w:rPr>
          <w:rFonts w:cstheme="minorHAnsi"/>
          <w:sz w:val="24"/>
          <w:szCs w:val="24"/>
        </w:rPr>
        <w:t>Clash</w:t>
      </w:r>
      <w:proofErr w:type="spellEnd"/>
      <w:r w:rsidRPr="00CF3835">
        <w:rPr>
          <w:rFonts w:cstheme="minorHAnsi"/>
          <w:sz w:val="24"/>
          <w:szCs w:val="24"/>
        </w:rPr>
        <w:t xml:space="preserve"> do momentu jego </w:t>
      </w:r>
      <w:proofErr w:type="spellStart"/>
      <w:r w:rsidRPr="00CF3835">
        <w:rPr>
          <w:rFonts w:cstheme="minorHAnsi"/>
          <w:sz w:val="24"/>
          <w:szCs w:val="24"/>
        </w:rPr>
        <w:t>soft</w:t>
      </w:r>
      <w:proofErr w:type="spellEnd"/>
      <w:r w:rsidRPr="00CF3835">
        <w:rPr>
          <w:rFonts w:cstheme="minorHAnsi"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sz w:val="24"/>
          <w:szCs w:val="24"/>
        </w:rPr>
        <w:t>launchu</w:t>
      </w:r>
      <w:proofErr w:type="spellEnd"/>
      <w:r w:rsidRPr="00CF3835">
        <w:rPr>
          <w:rFonts w:cstheme="minorHAnsi"/>
          <w:sz w:val="24"/>
          <w:szCs w:val="24"/>
        </w:rPr>
        <w:t xml:space="preserve"> w październiku 2017 roku wyniosły ok. 1 mln PLN. Pokazuje to nie tylko ogromny wzrost kosztów w branży gier </w:t>
      </w:r>
      <w:proofErr w:type="spellStart"/>
      <w:r w:rsidRPr="00CF3835">
        <w:rPr>
          <w:rFonts w:cstheme="minorHAnsi"/>
          <w:sz w:val="24"/>
          <w:szCs w:val="24"/>
        </w:rPr>
        <w:t>free</w:t>
      </w:r>
      <w:proofErr w:type="spellEnd"/>
      <w:r w:rsidRPr="00CF3835">
        <w:rPr>
          <w:rFonts w:cstheme="minorHAnsi"/>
          <w:sz w:val="24"/>
          <w:szCs w:val="24"/>
        </w:rPr>
        <w:t>-to-</w:t>
      </w:r>
      <w:proofErr w:type="spellStart"/>
      <w:r w:rsidRPr="00CF3835">
        <w:rPr>
          <w:rFonts w:cstheme="minorHAnsi"/>
          <w:sz w:val="24"/>
          <w:szCs w:val="24"/>
        </w:rPr>
        <w:t>play</w:t>
      </w:r>
      <w:proofErr w:type="spellEnd"/>
      <w:r w:rsidRPr="00CF3835">
        <w:rPr>
          <w:rFonts w:cstheme="minorHAnsi"/>
          <w:sz w:val="24"/>
          <w:szCs w:val="24"/>
        </w:rPr>
        <w:t xml:space="preserve">, lecz także fakt, że w obecnie tylko dobrze dokapitalizowane firmy z dużymi zespołami deweloperskimi mogą skutecznie konkurować na globalnym rynku </w:t>
      </w:r>
      <w:proofErr w:type="spellStart"/>
      <w:r w:rsidRPr="00CF3835">
        <w:rPr>
          <w:rFonts w:cstheme="minorHAnsi"/>
          <w:sz w:val="24"/>
          <w:szCs w:val="24"/>
        </w:rPr>
        <w:t>free</w:t>
      </w:r>
      <w:proofErr w:type="spellEnd"/>
      <w:r w:rsidRPr="00CF3835">
        <w:rPr>
          <w:rFonts w:cstheme="minorHAnsi"/>
          <w:sz w:val="24"/>
          <w:szCs w:val="24"/>
        </w:rPr>
        <w:t>-to-</w:t>
      </w:r>
      <w:proofErr w:type="spellStart"/>
      <w:r w:rsidRPr="00CF3835">
        <w:rPr>
          <w:rFonts w:cstheme="minorHAnsi"/>
          <w:sz w:val="24"/>
          <w:szCs w:val="24"/>
        </w:rPr>
        <w:t>play</w:t>
      </w:r>
      <w:proofErr w:type="spellEnd"/>
      <w:r w:rsidRPr="00CF3835">
        <w:rPr>
          <w:rFonts w:cstheme="minorHAnsi"/>
          <w:sz w:val="24"/>
          <w:szCs w:val="24"/>
        </w:rPr>
        <w:t xml:space="preserve">. Jest to raczej pozytywny wniosek dla Ten </w:t>
      </w:r>
      <w:proofErr w:type="spellStart"/>
      <w:r w:rsidRPr="00CF3835">
        <w:rPr>
          <w:rFonts w:cstheme="minorHAnsi"/>
          <w:sz w:val="24"/>
          <w:szCs w:val="24"/>
        </w:rPr>
        <w:t>Square</w:t>
      </w:r>
      <w:proofErr w:type="spellEnd"/>
      <w:r w:rsidRPr="00CF3835">
        <w:rPr>
          <w:rFonts w:cstheme="minorHAnsi"/>
          <w:sz w:val="24"/>
          <w:szCs w:val="24"/>
        </w:rPr>
        <w:t xml:space="preserve"> Games, ponieważ:</w:t>
      </w:r>
    </w:p>
    <w:p w14:paraId="67BF100B" w14:textId="77777777" w:rsidR="00CF3835" w:rsidRPr="00CF3835" w:rsidRDefault="00CF3835" w:rsidP="00CF3835">
      <w:pPr>
        <w:rPr>
          <w:rFonts w:cstheme="minorHAnsi"/>
          <w:sz w:val="24"/>
          <w:szCs w:val="24"/>
        </w:rPr>
      </w:pPr>
      <w:r w:rsidRPr="00CF3835">
        <w:rPr>
          <w:rFonts w:cstheme="minorHAnsi"/>
          <w:sz w:val="24"/>
          <w:szCs w:val="24"/>
        </w:rPr>
        <w:t xml:space="preserve">(1) ze swoim portfolio gier Fishing </w:t>
      </w:r>
      <w:proofErr w:type="spellStart"/>
      <w:r w:rsidRPr="00CF3835">
        <w:rPr>
          <w:rFonts w:cstheme="minorHAnsi"/>
          <w:sz w:val="24"/>
          <w:szCs w:val="24"/>
        </w:rPr>
        <w:t>Clash</w:t>
      </w:r>
      <w:proofErr w:type="spellEnd"/>
      <w:r w:rsidRPr="00CF3835">
        <w:rPr>
          <w:rFonts w:cstheme="minorHAnsi"/>
          <w:sz w:val="24"/>
          <w:szCs w:val="24"/>
        </w:rPr>
        <w:t xml:space="preserve"> / </w:t>
      </w:r>
      <w:proofErr w:type="spellStart"/>
      <w:r w:rsidRPr="00CF3835">
        <w:rPr>
          <w:rFonts w:cstheme="minorHAnsi"/>
          <w:sz w:val="24"/>
          <w:szCs w:val="24"/>
        </w:rPr>
        <w:t>Hunting</w:t>
      </w:r>
      <w:proofErr w:type="spellEnd"/>
      <w:r w:rsidRPr="00CF3835">
        <w:rPr>
          <w:rFonts w:cstheme="minorHAnsi"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sz w:val="24"/>
          <w:szCs w:val="24"/>
        </w:rPr>
        <w:t>Clash</w:t>
      </w:r>
      <w:proofErr w:type="spellEnd"/>
      <w:r w:rsidRPr="00CF3835">
        <w:rPr>
          <w:rFonts w:cstheme="minorHAnsi"/>
          <w:sz w:val="24"/>
          <w:szCs w:val="24"/>
        </w:rPr>
        <w:t xml:space="preserve"> i </w:t>
      </w:r>
      <w:proofErr w:type="spellStart"/>
      <w:r w:rsidRPr="00CF3835">
        <w:rPr>
          <w:rFonts w:cstheme="minorHAnsi"/>
          <w:sz w:val="24"/>
          <w:szCs w:val="24"/>
        </w:rPr>
        <w:t>legacy</w:t>
      </w:r>
      <w:proofErr w:type="spellEnd"/>
      <w:r w:rsidRPr="00CF3835">
        <w:rPr>
          <w:rFonts w:cstheme="minorHAnsi"/>
          <w:sz w:val="24"/>
          <w:szCs w:val="24"/>
        </w:rPr>
        <w:t xml:space="preserve">, spółka jest już obecne w pierwszej lidze kategorii symulacji gier </w:t>
      </w:r>
      <w:proofErr w:type="spellStart"/>
      <w:r w:rsidRPr="00CF3835">
        <w:rPr>
          <w:rFonts w:cstheme="minorHAnsi"/>
          <w:sz w:val="24"/>
          <w:szCs w:val="24"/>
        </w:rPr>
        <w:t>free</w:t>
      </w:r>
      <w:proofErr w:type="spellEnd"/>
      <w:r w:rsidRPr="00CF3835">
        <w:rPr>
          <w:rFonts w:cstheme="minorHAnsi"/>
          <w:sz w:val="24"/>
          <w:szCs w:val="24"/>
        </w:rPr>
        <w:t>-to-</w:t>
      </w:r>
      <w:proofErr w:type="spellStart"/>
      <w:r w:rsidRPr="00CF3835">
        <w:rPr>
          <w:rFonts w:cstheme="minorHAnsi"/>
          <w:sz w:val="24"/>
          <w:szCs w:val="24"/>
        </w:rPr>
        <w:t>play</w:t>
      </w:r>
      <w:proofErr w:type="spellEnd"/>
      <w:r w:rsidRPr="00CF3835">
        <w:rPr>
          <w:rFonts w:cstheme="minorHAnsi"/>
          <w:sz w:val="24"/>
          <w:szCs w:val="24"/>
        </w:rPr>
        <w:t xml:space="preserve">, </w:t>
      </w:r>
    </w:p>
    <w:p w14:paraId="27D7686A" w14:textId="77777777" w:rsidR="00CF3835" w:rsidRPr="00CF3835" w:rsidRDefault="00CF3835" w:rsidP="00CF3835">
      <w:pPr>
        <w:rPr>
          <w:rFonts w:cstheme="minorHAnsi"/>
          <w:sz w:val="24"/>
          <w:szCs w:val="24"/>
        </w:rPr>
      </w:pPr>
      <w:r w:rsidRPr="00CF3835">
        <w:rPr>
          <w:rFonts w:cstheme="minorHAnsi"/>
          <w:sz w:val="24"/>
          <w:szCs w:val="24"/>
        </w:rPr>
        <w:t xml:space="preserve">(2) Ten </w:t>
      </w:r>
      <w:proofErr w:type="spellStart"/>
      <w:r w:rsidRPr="00CF3835">
        <w:rPr>
          <w:rFonts w:cstheme="minorHAnsi"/>
          <w:sz w:val="24"/>
          <w:szCs w:val="24"/>
        </w:rPr>
        <w:t>Square</w:t>
      </w:r>
      <w:proofErr w:type="spellEnd"/>
      <w:r w:rsidRPr="00CF3835">
        <w:rPr>
          <w:rFonts w:cstheme="minorHAnsi"/>
          <w:sz w:val="24"/>
          <w:szCs w:val="24"/>
        </w:rPr>
        <w:t xml:space="preserve"> Games jest dobrze dokapitalizowane posiadając 114 mln PLN gotówki netto, </w:t>
      </w:r>
    </w:p>
    <w:p w14:paraId="0DCD6C00" w14:textId="77777777" w:rsidR="00CF3835" w:rsidRPr="00CF3835" w:rsidRDefault="00CF3835" w:rsidP="00CF3835">
      <w:pPr>
        <w:rPr>
          <w:rFonts w:cstheme="minorHAnsi"/>
          <w:sz w:val="24"/>
          <w:szCs w:val="24"/>
        </w:rPr>
      </w:pPr>
      <w:r w:rsidRPr="00CF3835">
        <w:rPr>
          <w:rFonts w:cstheme="minorHAnsi"/>
          <w:sz w:val="24"/>
          <w:szCs w:val="24"/>
        </w:rPr>
        <w:t>(3) spółka posiada szeroki zespół około 450 specjalistów/</w:t>
      </w:r>
      <w:proofErr w:type="spellStart"/>
      <w:r w:rsidRPr="00CF3835">
        <w:rPr>
          <w:rFonts w:cstheme="minorHAnsi"/>
          <w:sz w:val="24"/>
          <w:szCs w:val="24"/>
        </w:rPr>
        <w:t>game</w:t>
      </w:r>
      <w:proofErr w:type="spellEnd"/>
      <w:r w:rsidRPr="00CF3835">
        <w:rPr>
          <w:rFonts w:cstheme="minorHAnsi"/>
          <w:sz w:val="24"/>
          <w:szCs w:val="24"/>
        </w:rPr>
        <w:t xml:space="preserve"> developerów/analityków danych gier </w:t>
      </w:r>
      <w:proofErr w:type="spellStart"/>
      <w:r w:rsidRPr="00CF3835">
        <w:rPr>
          <w:rFonts w:cstheme="minorHAnsi"/>
          <w:sz w:val="24"/>
          <w:szCs w:val="24"/>
        </w:rPr>
        <w:t>free</w:t>
      </w:r>
      <w:proofErr w:type="spellEnd"/>
      <w:r w:rsidRPr="00CF3835">
        <w:rPr>
          <w:rFonts w:cstheme="minorHAnsi"/>
          <w:sz w:val="24"/>
          <w:szCs w:val="24"/>
        </w:rPr>
        <w:t>-to-</w:t>
      </w:r>
      <w:proofErr w:type="spellStart"/>
      <w:r w:rsidRPr="00CF3835">
        <w:rPr>
          <w:rFonts w:cstheme="minorHAnsi"/>
          <w:sz w:val="24"/>
          <w:szCs w:val="24"/>
        </w:rPr>
        <w:t>play</w:t>
      </w:r>
      <w:proofErr w:type="spellEnd"/>
      <w:r w:rsidRPr="00CF3835">
        <w:rPr>
          <w:rFonts w:cstheme="minorHAnsi"/>
          <w:sz w:val="24"/>
          <w:szCs w:val="24"/>
        </w:rPr>
        <w:t xml:space="preserve">. </w:t>
      </w:r>
    </w:p>
    <w:p w14:paraId="1CB4E60A" w14:textId="77777777" w:rsidR="00CF3835" w:rsidRPr="00CF3835" w:rsidRDefault="00CF3835" w:rsidP="00283E1E">
      <w:pPr>
        <w:jc w:val="both"/>
        <w:rPr>
          <w:rFonts w:cstheme="minorHAnsi"/>
          <w:sz w:val="32"/>
          <w:szCs w:val="32"/>
        </w:rPr>
      </w:pPr>
      <w:r w:rsidRPr="00CF3835">
        <w:rPr>
          <w:rFonts w:cstheme="minorHAnsi"/>
          <w:sz w:val="24"/>
          <w:szCs w:val="24"/>
        </w:rPr>
        <w:t xml:space="preserve">Prace nad Fishing Master obejmują testy zewnętrzne, ale Ten </w:t>
      </w:r>
      <w:proofErr w:type="spellStart"/>
      <w:r w:rsidRPr="00CF3835">
        <w:rPr>
          <w:rFonts w:cstheme="minorHAnsi"/>
          <w:sz w:val="24"/>
          <w:szCs w:val="24"/>
        </w:rPr>
        <w:t>Square</w:t>
      </w:r>
      <w:proofErr w:type="spellEnd"/>
      <w:r w:rsidRPr="00CF3835">
        <w:rPr>
          <w:rFonts w:cstheme="minorHAnsi"/>
          <w:sz w:val="24"/>
          <w:szCs w:val="24"/>
        </w:rPr>
        <w:t xml:space="preserve"> Games twierdzi, że wstępne KPI wspierają dalszy rozwój (koszty </w:t>
      </w:r>
      <w:proofErr w:type="spellStart"/>
      <w:r w:rsidRPr="00CF3835">
        <w:rPr>
          <w:rFonts w:cstheme="minorHAnsi"/>
          <w:sz w:val="24"/>
          <w:szCs w:val="24"/>
        </w:rPr>
        <w:t>developmentu</w:t>
      </w:r>
      <w:proofErr w:type="spellEnd"/>
      <w:r w:rsidRPr="00CF3835">
        <w:rPr>
          <w:rFonts w:cstheme="minorHAnsi"/>
          <w:sz w:val="24"/>
          <w:szCs w:val="24"/>
        </w:rPr>
        <w:t xml:space="preserve"> na poziomie 6,5 mln PLN). Premiera </w:t>
      </w:r>
      <w:proofErr w:type="spellStart"/>
      <w:r w:rsidRPr="00CF3835">
        <w:rPr>
          <w:rFonts w:cstheme="minorHAnsi"/>
          <w:sz w:val="24"/>
          <w:szCs w:val="24"/>
        </w:rPr>
        <w:t>Magical</w:t>
      </w:r>
      <w:proofErr w:type="spellEnd"/>
      <w:r w:rsidRPr="00CF3835">
        <w:rPr>
          <w:rFonts w:cstheme="minorHAnsi"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sz w:val="24"/>
          <w:szCs w:val="24"/>
        </w:rPr>
        <w:t>District</w:t>
      </w:r>
      <w:proofErr w:type="spellEnd"/>
      <w:r w:rsidRPr="00CF3835">
        <w:rPr>
          <w:rFonts w:cstheme="minorHAnsi"/>
          <w:sz w:val="24"/>
          <w:szCs w:val="24"/>
        </w:rPr>
        <w:t xml:space="preserve"> została przesunięta na późniejszy termin (koszty developingu 9,2 mln PLN), a decyzja o </w:t>
      </w:r>
      <w:proofErr w:type="spellStart"/>
      <w:r w:rsidRPr="00CF3835">
        <w:rPr>
          <w:rFonts w:cstheme="minorHAnsi"/>
          <w:sz w:val="24"/>
          <w:szCs w:val="24"/>
        </w:rPr>
        <w:t>relaunchu</w:t>
      </w:r>
      <w:proofErr w:type="spellEnd"/>
      <w:r w:rsidRPr="00CF3835">
        <w:rPr>
          <w:rFonts w:cstheme="minorHAnsi"/>
          <w:sz w:val="24"/>
          <w:szCs w:val="24"/>
        </w:rPr>
        <w:t xml:space="preserve"> lub rezygnacji z projektu będzie zależała od wyników </w:t>
      </w:r>
      <w:proofErr w:type="spellStart"/>
      <w:r w:rsidRPr="00CF3835">
        <w:rPr>
          <w:rFonts w:cstheme="minorHAnsi"/>
          <w:sz w:val="24"/>
          <w:szCs w:val="24"/>
        </w:rPr>
        <w:t>Undead</w:t>
      </w:r>
      <w:proofErr w:type="spellEnd"/>
      <w:r w:rsidRPr="00CF3835">
        <w:rPr>
          <w:rFonts w:cstheme="minorHAnsi"/>
          <w:sz w:val="24"/>
          <w:szCs w:val="24"/>
        </w:rPr>
        <w:t xml:space="preserve"> </w:t>
      </w:r>
      <w:proofErr w:type="spellStart"/>
      <w:r w:rsidRPr="00CF3835">
        <w:rPr>
          <w:rFonts w:cstheme="minorHAnsi"/>
          <w:sz w:val="24"/>
          <w:szCs w:val="24"/>
        </w:rPr>
        <w:t>Clash</w:t>
      </w:r>
      <w:proofErr w:type="spellEnd"/>
      <w:r w:rsidRPr="00CF3835">
        <w:rPr>
          <w:rFonts w:cstheme="minorHAnsi"/>
          <w:sz w:val="24"/>
          <w:szCs w:val="24"/>
        </w:rPr>
        <w:t>/Fishing Master.</w:t>
      </w:r>
    </w:p>
    <w:p w14:paraId="474E0F2D" w14:textId="5F8516CA" w:rsidR="00E8769B" w:rsidRPr="00CF3835" w:rsidRDefault="00E8769B" w:rsidP="00CF3835">
      <w:pPr>
        <w:pStyle w:val="xmsonormal"/>
        <w:autoSpaceDE w:val="0"/>
        <w:autoSpaceDN w:val="0"/>
        <w:jc w:val="both"/>
        <w:rPr>
          <w:rFonts w:asciiTheme="minorHAnsi" w:eastAsia="Times New Roman" w:hAnsiTheme="minorHAnsi" w:cstheme="minorHAnsi"/>
          <w:color w:val="201F1E"/>
          <w:sz w:val="28"/>
          <w:szCs w:val="28"/>
        </w:rPr>
      </w:pPr>
    </w:p>
    <w:sectPr w:rsidR="00E8769B" w:rsidRPr="00CF3835" w:rsidSect="008C66F6">
      <w:headerReference w:type="default" r:id="rId10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9CF2D" w14:textId="77777777" w:rsidR="00780BA4" w:rsidRDefault="00780BA4" w:rsidP="00C07ECB">
      <w:pPr>
        <w:spacing w:after="0" w:line="240" w:lineRule="auto"/>
      </w:pPr>
      <w:r>
        <w:separator/>
      </w:r>
    </w:p>
  </w:endnote>
  <w:endnote w:type="continuationSeparator" w:id="0">
    <w:p w14:paraId="631D171D" w14:textId="77777777" w:rsidR="00780BA4" w:rsidRDefault="00780BA4" w:rsidP="00C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F12B" w14:textId="77777777" w:rsidR="00780BA4" w:rsidRDefault="00780BA4" w:rsidP="00C07ECB">
      <w:pPr>
        <w:spacing w:after="0" w:line="240" w:lineRule="auto"/>
      </w:pPr>
      <w:r>
        <w:separator/>
      </w:r>
    </w:p>
  </w:footnote>
  <w:footnote w:type="continuationSeparator" w:id="0">
    <w:p w14:paraId="0C51F13E" w14:textId="77777777" w:rsidR="00780BA4" w:rsidRDefault="00780BA4" w:rsidP="00C0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4D51" w14:textId="148986C1" w:rsidR="00C07ECB" w:rsidRDefault="00C07ECB">
    <w:pPr>
      <w:pStyle w:val="Nagwek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B034AD0" wp14:editId="2E7E86F9">
          <wp:simplePos x="0" y="0"/>
          <wp:positionH relativeFrom="column">
            <wp:posOffset>-447040</wp:posOffset>
          </wp:positionH>
          <wp:positionV relativeFrom="paragraph">
            <wp:posOffset>-101963</wp:posOffset>
          </wp:positionV>
          <wp:extent cx="2781300" cy="488950"/>
          <wp:effectExtent l="0" t="0" r="0" b="6350"/>
          <wp:wrapSquare wrapText="bothSides"/>
          <wp:docPr id="1" name="Picture 2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Obraz zawierający tekst, clipart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1300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B5F"/>
    <w:multiLevelType w:val="hybridMultilevel"/>
    <w:tmpl w:val="F69C6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0411B3"/>
    <w:multiLevelType w:val="hybridMultilevel"/>
    <w:tmpl w:val="86749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5317">
    <w:abstractNumId w:val="1"/>
  </w:num>
  <w:num w:numId="2" w16cid:durableId="17093774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52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20"/>
    <w:rsid w:val="000E4A7A"/>
    <w:rsid w:val="000F03E8"/>
    <w:rsid w:val="0011144D"/>
    <w:rsid w:val="0017462B"/>
    <w:rsid w:val="001C6320"/>
    <w:rsid w:val="001D5739"/>
    <w:rsid w:val="002008CE"/>
    <w:rsid w:val="00231FBD"/>
    <w:rsid w:val="00283E1E"/>
    <w:rsid w:val="002D760B"/>
    <w:rsid w:val="00497840"/>
    <w:rsid w:val="004978DF"/>
    <w:rsid w:val="004A1A29"/>
    <w:rsid w:val="004E6735"/>
    <w:rsid w:val="005553FA"/>
    <w:rsid w:val="00561A4E"/>
    <w:rsid w:val="005A1997"/>
    <w:rsid w:val="006309BD"/>
    <w:rsid w:val="006B434F"/>
    <w:rsid w:val="00736970"/>
    <w:rsid w:val="007622F0"/>
    <w:rsid w:val="00780BA4"/>
    <w:rsid w:val="00791430"/>
    <w:rsid w:val="007D0764"/>
    <w:rsid w:val="00822B60"/>
    <w:rsid w:val="00825566"/>
    <w:rsid w:val="00825CD7"/>
    <w:rsid w:val="00873675"/>
    <w:rsid w:val="008C66F6"/>
    <w:rsid w:val="008D76AF"/>
    <w:rsid w:val="00917E59"/>
    <w:rsid w:val="009203EE"/>
    <w:rsid w:val="0093367E"/>
    <w:rsid w:val="00935E73"/>
    <w:rsid w:val="00977DB7"/>
    <w:rsid w:val="0099198B"/>
    <w:rsid w:val="00AD0F0B"/>
    <w:rsid w:val="00AE5FBA"/>
    <w:rsid w:val="00AF2615"/>
    <w:rsid w:val="00B14672"/>
    <w:rsid w:val="00B5214E"/>
    <w:rsid w:val="00B95DC6"/>
    <w:rsid w:val="00C07ECB"/>
    <w:rsid w:val="00C645BC"/>
    <w:rsid w:val="00C806F2"/>
    <w:rsid w:val="00CA2095"/>
    <w:rsid w:val="00CC195F"/>
    <w:rsid w:val="00CC4C82"/>
    <w:rsid w:val="00CF3835"/>
    <w:rsid w:val="00CF7579"/>
    <w:rsid w:val="00D2451B"/>
    <w:rsid w:val="00D32008"/>
    <w:rsid w:val="00D62ADB"/>
    <w:rsid w:val="00DA7849"/>
    <w:rsid w:val="00DB57DF"/>
    <w:rsid w:val="00E45643"/>
    <w:rsid w:val="00E622AC"/>
    <w:rsid w:val="00E8769B"/>
    <w:rsid w:val="00F70764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30B90"/>
  <w15:chartTrackingRefBased/>
  <w15:docId w15:val="{0B4D98A5-4858-4829-85B5-B51559DD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msonormal"/>
    <w:basedOn w:val="Normalny"/>
    <w:uiPriority w:val="99"/>
    <w:rsid w:val="001C6320"/>
    <w:pPr>
      <w:spacing w:after="0" w:line="240" w:lineRule="auto"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unhideWhenUsed/>
    <w:rsid w:val="001C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7462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ECB"/>
  </w:style>
  <w:style w:type="paragraph" w:styleId="Stopka">
    <w:name w:val="footer"/>
    <w:basedOn w:val="Normalny"/>
    <w:link w:val="StopkaZnak"/>
    <w:uiPriority w:val="99"/>
    <w:unhideWhenUsed/>
    <w:rsid w:val="00C07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332A36832A0A41A9315B265E6415BB" ma:contentTypeVersion="13" ma:contentTypeDescription="Utwórz nowy dokument." ma:contentTypeScope="" ma:versionID="48b0e4269cdf7aace615180039ea669a">
  <xsd:schema xmlns:xsd="http://www.w3.org/2001/XMLSchema" xmlns:xs="http://www.w3.org/2001/XMLSchema" xmlns:p="http://schemas.microsoft.com/office/2006/metadata/properties" xmlns:ns2="8a011db4-53a2-4d1b-82ae-320485071b7a" targetNamespace="http://schemas.microsoft.com/office/2006/metadata/properties" ma:root="true" ma:fieldsID="831aa816499851a9725a8216c1f04270" ns2:_="">
    <xsd:import namespace="8a011db4-53a2-4d1b-82ae-320485071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11db4-53a2-4d1b-82ae-320485071b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452cbc4-2314-4220-9d01-4e90849f7c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011db4-53a2-4d1b-82ae-320485071b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1B39E5-13FD-47B4-A22D-AEF4CD574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FBC10-9FF7-4452-B869-05BCC84E0D0A}"/>
</file>

<file path=customXml/itemProps3.xml><?xml version="1.0" encoding="utf-8"?>
<ds:datastoreItem xmlns:ds="http://schemas.openxmlformats.org/officeDocument/2006/customXml" ds:itemID="{86999978-3DCB-4932-AFFA-96DACD8E33B1}">
  <ds:schemaRefs>
    <ds:schemaRef ds:uri="http://schemas.microsoft.com/office/2006/metadata/properties"/>
    <ds:schemaRef ds:uri="http://schemas.microsoft.com/office/infopath/2007/PartnerControls"/>
    <ds:schemaRef ds:uri="8a011db4-53a2-4d1b-82ae-320485071b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Strużkiewicz CCG</dc:creator>
  <cp:keywords/>
  <dc:description/>
  <cp:lastModifiedBy>Maria Strużkiewicz CCG</cp:lastModifiedBy>
  <cp:revision>2</cp:revision>
  <dcterms:created xsi:type="dcterms:W3CDTF">2022-12-06T14:37:00Z</dcterms:created>
  <dcterms:modified xsi:type="dcterms:W3CDTF">2022-12-06T14:37:00Z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0x01010026332A36832A0A41A9315B265E6415BB</vt:lpwstr>
  </property>
  <property fmtid="{D5CDD505-2E9C-101B-9397-08002B2CF9AE}" pid="3" name="MediaServiceImageTags">
    <vt:lpwstr/>
  </property>
</Properties>
</file>