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265C" w14:textId="77777777" w:rsidR="003971C8" w:rsidRDefault="00861E1B" w:rsidP="00492EAE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555312">
        <w:rPr>
          <w:rFonts w:ascii="Garamond" w:hAnsi="Garamond"/>
          <w:b/>
          <w:bCs/>
          <w:sz w:val="24"/>
          <w:szCs w:val="24"/>
        </w:rPr>
        <w:t xml:space="preserve">PROGRAM SKUPU AKCJI WŁASNYCH </w:t>
      </w:r>
    </w:p>
    <w:p w14:paraId="5DAE906E" w14:textId="77777777" w:rsidR="00861E1B" w:rsidRPr="00555312" w:rsidRDefault="00861E1B" w:rsidP="00492EAE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555312">
        <w:rPr>
          <w:rFonts w:ascii="Garamond" w:hAnsi="Garamond"/>
          <w:b/>
          <w:bCs/>
          <w:sz w:val="24"/>
          <w:szCs w:val="24"/>
        </w:rPr>
        <w:t>MENNICA POLSKA S.A.</w:t>
      </w:r>
    </w:p>
    <w:p w14:paraId="0CE7B337" w14:textId="77777777" w:rsidR="00861E1B" w:rsidRPr="00A029A6" w:rsidRDefault="00861E1B" w:rsidP="00861E1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FD303FF" w14:textId="77777777" w:rsidR="00861E1B" w:rsidRPr="00A029A6" w:rsidRDefault="00861E1B" w:rsidP="003971C8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A029A6">
        <w:rPr>
          <w:rFonts w:ascii="Garamond" w:hAnsi="Garamond"/>
          <w:b/>
          <w:sz w:val="24"/>
          <w:szCs w:val="24"/>
        </w:rPr>
        <w:t>§ 1. Postanowienia ogólne</w:t>
      </w:r>
    </w:p>
    <w:p w14:paraId="4D4D1E42" w14:textId="77777777" w:rsidR="00861E1B" w:rsidRPr="00A029A6" w:rsidRDefault="00861E1B" w:rsidP="00861E1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28EB4E7" w14:textId="36F2F93B" w:rsidR="00861E1B" w:rsidRPr="00A029A6" w:rsidRDefault="00861E1B" w:rsidP="00993B05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A029A6">
        <w:rPr>
          <w:rFonts w:ascii="Garamond" w:hAnsi="Garamond"/>
          <w:sz w:val="24"/>
          <w:szCs w:val="24"/>
        </w:rPr>
        <w:t>Program skupu akcji własnych („</w:t>
      </w:r>
      <w:r w:rsidRPr="00555312">
        <w:rPr>
          <w:rFonts w:ascii="Garamond" w:hAnsi="Garamond"/>
          <w:b/>
          <w:bCs/>
          <w:sz w:val="24"/>
          <w:szCs w:val="24"/>
        </w:rPr>
        <w:t>Program Skupu Akcji Własnych</w:t>
      </w:r>
      <w:r w:rsidRPr="00A029A6">
        <w:rPr>
          <w:rFonts w:ascii="Garamond" w:hAnsi="Garamond"/>
          <w:sz w:val="24"/>
          <w:szCs w:val="24"/>
        </w:rPr>
        <w:t>”) Mennica Polska S.A. („</w:t>
      </w:r>
      <w:r w:rsidRPr="00555312">
        <w:rPr>
          <w:rFonts w:ascii="Garamond" w:hAnsi="Garamond"/>
          <w:b/>
          <w:bCs/>
          <w:sz w:val="24"/>
          <w:szCs w:val="24"/>
        </w:rPr>
        <w:t>Spółka</w:t>
      </w:r>
      <w:r w:rsidRPr="00A029A6">
        <w:rPr>
          <w:rFonts w:ascii="Garamond" w:hAnsi="Garamond"/>
          <w:sz w:val="24"/>
          <w:szCs w:val="24"/>
        </w:rPr>
        <w:t xml:space="preserve">”) przyjęty został w oparciu o uchwałę Zarządu Spółki z dnia </w:t>
      </w:r>
      <w:r w:rsidR="00555312" w:rsidRPr="00555312">
        <w:rPr>
          <w:rFonts w:ascii="Garamond" w:hAnsi="Garamond"/>
          <w:sz w:val="24"/>
          <w:szCs w:val="24"/>
        </w:rPr>
        <w:t>06 czerwca 2024</w:t>
      </w:r>
      <w:r w:rsidRPr="00A029A6">
        <w:rPr>
          <w:rFonts w:ascii="Garamond" w:hAnsi="Garamond"/>
          <w:sz w:val="24"/>
          <w:szCs w:val="24"/>
        </w:rPr>
        <w:t xml:space="preserve"> roku nr</w:t>
      </w:r>
      <w:r w:rsidR="008864F7">
        <w:rPr>
          <w:rFonts w:ascii="Garamond" w:hAnsi="Garamond"/>
          <w:sz w:val="24"/>
          <w:szCs w:val="24"/>
        </w:rPr>
        <w:t xml:space="preserve"> </w:t>
      </w:r>
      <w:proofErr w:type="spellStart"/>
      <w:r w:rsidR="003971C8" w:rsidRPr="003971C8">
        <w:rPr>
          <w:rFonts w:ascii="Garamond" w:hAnsi="Garamond"/>
          <w:sz w:val="24"/>
          <w:szCs w:val="24"/>
        </w:rPr>
        <w:t>Nr</w:t>
      </w:r>
      <w:proofErr w:type="spellEnd"/>
      <w:r w:rsidR="003971C8" w:rsidRPr="003971C8">
        <w:rPr>
          <w:rFonts w:ascii="Garamond" w:hAnsi="Garamond"/>
          <w:sz w:val="24"/>
          <w:szCs w:val="24"/>
        </w:rPr>
        <w:t xml:space="preserve"> IX/ 15</w:t>
      </w:r>
      <w:r w:rsidR="00D17974">
        <w:rPr>
          <w:rFonts w:ascii="Garamond" w:hAnsi="Garamond"/>
          <w:sz w:val="24"/>
          <w:szCs w:val="24"/>
        </w:rPr>
        <w:t>4</w:t>
      </w:r>
      <w:r w:rsidR="003971C8" w:rsidRPr="003971C8">
        <w:rPr>
          <w:rFonts w:ascii="Garamond" w:hAnsi="Garamond"/>
          <w:sz w:val="24"/>
          <w:szCs w:val="24"/>
        </w:rPr>
        <w:t>/2024</w:t>
      </w:r>
      <w:r w:rsidRPr="00A029A6">
        <w:rPr>
          <w:rFonts w:ascii="Garamond" w:hAnsi="Garamond"/>
          <w:sz w:val="24"/>
          <w:szCs w:val="24"/>
        </w:rPr>
        <w:t xml:space="preserve"> w oparciu o upoważnienie wynikające z </w:t>
      </w:r>
      <w:r w:rsidR="000A3C31">
        <w:rPr>
          <w:rFonts w:ascii="Garamond" w:hAnsi="Garamond"/>
          <w:sz w:val="24"/>
          <w:szCs w:val="24"/>
        </w:rPr>
        <w:t>uchwały</w:t>
      </w:r>
      <w:r w:rsidR="00555312">
        <w:rPr>
          <w:rFonts w:ascii="Garamond" w:hAnsi="Garamond"/>
          <w:sz w:val="24"/>
          <w:szCs w:val="24"/>
        </w:rPr>
        <w:t xml:space="preserve"> </w:t>
      </w:r>
      <w:r w:rsidR="002B3E7A" w:rsidRPr="00A029A6">
        <w:rPr>
          <w:rFonts w:ascii="Garamond" w:hAnsi="Garamond"/>
          <w:sz w:val="24"/>
          <w:szCs w:val="24"/>
        </w:rPr>
        <w:t xml:space="preserve">nr </w:t>
      </w:r>
      <w:r w:rsidR="00555312">
        <w:rPr>
          <w:rFonts w:ascii="Garamond" w:hAnsi="Garamond"/>
          <w:sz w:val="24"/>
          <w:szCs w:val="24"/>
        </w:rPr>
        <w:t xml:space="preserve">27 </w:t>
      </w:r>
      <w:r w:rsidR="00555312" w:rsidRPr="00A029A6">
        <w:rPr>
          <w:rFonts w:ascii="Garamond" w:hAnsi="Garamond"/>
          <w:sz w:val="24"/>
          <w:szCs w:val="24"/>
        </w:rPr>
        <w:t xml:space="preserve">Zwyczajnego Walnego Zgromadzenia z dnia </w:t>
      </w:r>
      <w:r w:rsidR="00555312">
        <w:rPr>
          <w:rFonts w:ascii="Garamond" w:hAnsi="Garamond"/>
          <w:sz w:val="24"/>
          <w:szCs w:val="24"/>
        </w:rPr>
        <w:t>07 maja 2024</w:t>
      </w:r>
      <w:r w:rsidR="00555312" w:rsidRPr="00A029A6">
        <w:rPr>
          <w:rFonts w:ascii="Garamond" w:hAnsi="Garamond"/>
          <w:sz w:val="24"/>
          <w:szCs w:val="24"/>
        </w:rPr>
        <w:t xml:space="preserve"> roku w sprawie </w:t>
      </w:r>
      <w:r w:rsidR="00555312" w:rsidRPr="00555312">
        <w:rPr>
          <w:rFonts w:ascii="Garamond" w:hAnsi="Garamond"/>
          <w:sz w:val="24"/>
          <w:szCs w:val="24"/>
        </w:rPr>
        <w:t xml:space="preserve">w sprawie upoważnienia Zarządu Spółki do nabywania akcji własnych Spółki oraz utworzenia kapitału rezerwowego na nabycie akcji własnych Spółki </w:t>
      </w:r>
      <w:r w:rsidR="00555312" w:rsidRPr="00A029A6">
        <w:rPr>
          <w:rFonts w:ascii="Garamond" w:hAnsi="Garamond"/>
          <w:sz w:val="24"/>
          <w:szCs w:val="24"/>
        </w:rPr>
        <w:t xml:space="preserve"> </w:t>
      </w:r>
      <w:r w:rsidR="002B3E7A" w:rsidRPr="00A029A6">
        <w:rPr>
          <w:rFonts w:ascii="Garamond" w:hAnsi="Garamond"/>
          <w:sz w:val="24"/>
          <w:szCs w:val="24"/>
        </w:rPr>
        <w:t>(„</w:t>
      </w:r>
      <w:r w:rsidR="002B3E7A" w:rsidRPr="00555312">
        <w:rPr>
          <w:rFonts w:ascii="Garamond" w:hAnsi="Garamond"/>
          <w:b/>
          <w:bCs/>
          <w:sz w:val="24"/>
          <w:szCs w:val="24"/>
        </w:rPr>
        <w:t>Uchwała Z</w:t>
      </w:r>
      <w:r w:rsidRPr="00555312">
        <w:rPr>
          <w:rFonts w:ascii="Garamond" w:hAnsi="Garamond"/>
          <w:b/>
          <w:bCs/>
          <w:sz w:val="24"/>
          <w:szCs w:val="24"/>
        </w:rPr>
        <w:t>WZA</w:t>
      </w:r>
      <w:r w:rsidRPr="00A029A6">
        <w:rPr>
          <w:rFonts w:ascii="Garamond" w:hAnsi="Garamond"/>
          <w:sz w:val="24"/>
          <w:szCs w:val="24"/>
        </w:rPr>
        <w:t>”).</w:t>
      </w:r>
    </w:p>
    <w:p w14:paraId="57BEBD1C" w14:textId="77777777" w:rsidR="00861E1B" w:rsidRPr="00A029A6" w:rsidRDefault="00861E1B" w:rsidP="00861E1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B69C80B" w14:textId="77777777" w:rsidR="00861E1B" w:rsidRPr="00A029A6" w:rsidRDefault="00861E1B" w:rsidP="00993B05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A029A6">
        <w:rPr>
          <w:rFonts w:ascii="Garamond" w:hAnsi="Garamond"/>
          <w:sz w:val="24"/>
          <w:szCs w:val="24"/>
        </w:rPr>
        <w:t>Program dotyczy akcji Spółki („</w:t>
      </w:r>
      <w:r w:rsidRPr="00993B05">
        <w:rPr>
          <w:rFonts w:ascii="Garamond" w:hAnsi="Garamond"/>
          <w:b/>
          <w:bCs/>
          <w:sz w:val="24"/>
          <w:szCs w:val="24"/>
        </w:rPr>
        <w:t>Akcje Własne</w:t>
      </w:r>
      <w:r w:rsidRPr="00A029A6">
        <w:rPr>
          <w:rFonts w:ascii="Garamond" w:hAnsi="Garamond"/>
          <w:sz w:val="24"/>
          <w:szCs w:val="24"/>
        </w:rPr>
        <w:t>”) notowanych na rynku regulowanym – rynku oficjalnych notowań giełdowych prowadzonym przez Giełdę Papierów Wartościowych w Warszawie S.A. („</w:t>
      </w:r>
      <w:r w:rsidRPr="00993B05">
        <w:rPr>
          <w:rFonts w:ascii="Garamond" w:hAnsi="Garamond"/>
          <w:b/>
          <w:bCs/>
          <w:sz w:val="24"/>
          <w:szCs w:val="24"/>
        </w:rPr>
        <w:t>Rynek Regulowany</w:t>
      </w:r>
      <w:r w:rsidRPr="00A029A6">
        <w:rPr>
          <w:rFonts w:ascii="Garamond" w:hAnsi="Garamond"/>
          <w:sz w:val="24"/>
          <w:szCs w:val="24"/>
        </w:rPr>
        <w:t>”).</w:t>
      </w:r>
    </w:p>
    <w:p w14:paraId="342C24EA" w14:textId="77777777" w:rsidR="00861E1B" w:rsidRPr="00A029A6" w:rsidRDefault="00861E1B" w:rsidP="00861E1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C90F376" w14:textId="77777777" w:rsidR="00993B05" w:rsidRPr="00993B05" w:rsidRDefault="00861E1B" w:rsidP="00993B05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A029A6">
        <w:rPr>
          <w:rFonts w:ascii="Garamond" w:hAnsi="Garamond"/>
          <w:sz w:val="24"/>
          <w:szCs w:val="24"/>
        </w:rPr>
        <w:t xml:space="preserve">Podstawę prawną Programu Skupu Akcji Własnych stanowią art. 362 § 1 pkt 5 kodeksu spółek handlowych w związku z </w:t>
      </w:r>
      <w:r w:rsidR="00993B05" w:rsidRPr="00993B05">
        <w:rPr>
          <w:rFonts w:ascii="Garamond" w:hAnsi="Garamond"/>
          <w:sz w:val="24"/>
          <w:szCs w:val="24"/>
        </w:rPr>
        <w:t>Rozporządzeniem Parlamentu Europejskiego i Rady (UE) NR 596/2014 z dnia 16 kwietnia 2014 r. w sprawie nadużyć na rynku (rozporządzenie w sprawie nadużyć na rynku) oraz uchylające dyrektywę 2003/6/WE Parlamentu Europejskiego i Rady i dyrektywy Komisji 2003/124/WE, 2003/125/WE i 2004/72/WE oraz Rozporządzenie</w:t>
      </w:r>
      <w:r w:rsidR="00993B05">
        <w:rPr>
          <w:rFonts w:ascii="Garamond" w:hAnsi="Garamond"/>
          <w:sz w:val="24"/>
          <w:szCs w:val="24"/>
        </w:rPr>
        <w:t>m</w:t>
      </w:r>
      <w:r w:rsidR="00993B05" w:rsidRPr="00993B05">
        <w:rPr>
          <w:rFonts w:ascii="Garamond" w:hAnsi="Garamond"/>
          <w:sz w:val="24"/>
          <w:szCs w:val="24"/>
        </w:rPr>
        <w:t xml:space="preserve"> Delegowan</w:t>
      </w:r>
      <w:r w:rsidR="00993B05">
        <w:rPr>
          <w:rFonts w:ascii="Garamond" w:hAnsi="Garamond"/>
          <w:sz w:val="24"/>
          <w:szCs w:val="24"/>
        </w:rPr>
        <w:t>ym</w:t>
      </w:r>
      <w:r w:rsidR="00993B05" w:rsidRPr="00993B05">
        <w:rPr>
          <w:rFonts w:ascii="Garamond" w:hAnsi="Garamond"/>
          <w:sz w:val="24"/>
          <w:szCs w:val="24"/>
        </w:rPr>
        <w:t xml:space="preserve"> KOMISJI (UE) 2016/1052 z dnia 8 marca 2016 r. uzupełniając</w:t>
      </w:r>
      <w:r w:rsidR="00993B05">
        <w:rPr>
          <w:rFonts w:ascii="Garamond" w:hAnsi="Garamond"/>
          <w:sz w:val="24"/>
          <w:szCs w:val="24"/>
        </w:rPr>
        <w:t>ym</w:t>
      </w:r>
      <w:r w:rsidR="00993B05" w:rsidRPr="00993B05">
        <w:rPr>
          <w:rFonts w:ascii="Garamond" w:hAnsi="Garamond"/>
          <w:sz w:val="24"/>
          <w:szCs w:val="24"/>
        </w:rPr>
        <w:t> rozporządzenie Parlamentu Europejskiego i Rady (UE) nr 596/2014 w</w:t>
      </w:r>
      <w:r w:rsidR="00993B05">
        <w:rPr>
          <w:rFonts w:ascii="Garamond" w:hAnsi="Garamond"/>
          <w:sz w:val="24"/>
          <w:szCs w:val="24"/>
        </w:rPr>
        <w:t xml:space="preserve"> </w:t>
      </w:r>
      <w:r w:rsidR="00993B05" w:rsidRPr="00993B05">
        <w:rPr>
          <w:rFonts w:ascii="Garamond" w:hAnsi="Garamond"/>
          <w:sz w:val="24"/>
          <w:szCs w:val="24"/>
        </w:rPr>
        <w:t>odniesieniu do regulacyjnych standardów technicznych dotyczących warunków mających zastosowanie do programów odkupu i środków stabilizacji</w:t>
      </w:r>
      <w:r w:rsidR="00993B05">
        <w:rPr>
          <w:rFonts w:ascii="Garamond" w:hAnsi="Garamond"/>
          <w:sz w:val="24"/>
          <w:szCs w:val="24"/>
        </w:rPr>
        <w:t>.</w:t>
      </w:r>
    </w:p>
    <w:p w14:paraId="7FD8B028" w14:textId="77777777" w:rsidR="00861E1B" w:rsidRPr="00A029A6" w:rsidRDefault="00861E1B" w:rsidP="00861E1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6EAFADF" w14:textId="77777777" w:rsidR="00861E1B" w:rsidRPr="00A029A6" w:rsidRDefault="00861E1B" w:rsidP="003971C8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A029A6">
        <w:rPr>
          <w:rFonts w:ascii="Garamond" w:hAnsi="Garamond"/>
          <w:b/>
          <w:sz w:val="24"/>
          <w:szCs w:val="24"/>
        </w:rPr>
        <w:t>§ 2. Cel Programu Skupu Akcji Własnych</w:t>
      </w:r>
    </w:p>
    <w:p w14:paraId="6FA71F17" w14:textId="77777777" w:rsidR="00861E1B" w:rsidRPr="00A029A6" w:rsidRDefault="00861E1B" w:rsidP="00861E1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960ACA3" w14:textId="77777777" w:rsidR="00861E1B" w:rsidRPr="00A029A6" w:rsidRDefault="00861E1B" w:rsidP="003971C8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A029A6">
        <w:rPr>
          <w:rFonts w:ascii="Garamond" w:hAnsi="Garamond"/>
          <w:sz w:val="24"/>
          <w:szCs w:val="24"/>
        </w:rPr>
        <w:t>Realizacja Programu Skupu Akcji Własnych Spółki uzasadniona jest aktualną sytuacją panującą na Rynku Regulowanym. W opinii Zarządu Spółki realizacja Programu Skupu Akcji Własnych przyczyni się do podwyższenia wartości rynkowej akcji Spółki</w:t>
      </w:r>
      <w:r w:rsidR="004C145D">
        <w:rPr>
          <w:rFonts w:ascii="Garamond" w:hAnsi="Garamond"/>
          <w:sz w:val="24"/>
          <w:szCs w:val="24"/>
        </w:rPr>
        <w:t>.</w:t>
      </w:r>
    </w:p>
    <w:p w14:paraId="0CCBF004" w14:textId="77777777" w:rsidR="00861E1B" w:rsidRPr="00A029A6" w:rsidRDefault="00861E1B" w:rsidP="003971C8">
      <w:p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</w:p>
    <w:p w14:paraId="06C3743E" w14:textId="77777777" w:rsidR="00861E1B" w:rsidRPr="00A029A6" w:rsidRDefault="00861E1B" w:rsidP="003971C8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A029A6">
        <w:rPr>
          <w:rFonts w:ascii="Garamond" w:hAnsi="Garamond"/>
          <w:sz w:val="24"/>
          <w:szCs w:val="24"/>
        </w:rPr>
        <w:t>Po zakończeniu Programu Skupu Akcji Własnych, Zarząd niezwłocznie zwoła Walne Zgromadzenie celem podjęcia umorzenia Akcji Własnych nabytych w ramach Programu Skupu Akcji Własnych.</w:t>
      </w:r>
    </w:p>
    <w:p w14:paraId="134F1723" w14:textId="77777777" w:rsidR="00861E1B" w:rsidRPr="00A029A6" w:rsidRDefault="00861E1B" w:rsidP="00861E1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C375E6C" w14:textId="77777777" w:rsidR="00861E1B" w:rsidRPr="00A029A6" w:rsidRDefault="00861E1B" w:rsidP="003971C8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A029A6">
        <w:rPr>
          <w:rFonts w:ascii="Garamond" w:hAnsi="Garamond"/>
          <w:b/>
          <w:sz w:val="24"/>
          <w:szCs w:val="24"/>
        </w:rPr>
        <w:t>§ 3. Szczegółowe warunki Programu Skupu Akcji Własnych</w:t>
      </w:r>
    </w:p>
    <w:p w14:paraId="532E44BA" w14:textId="77777777" w:rsidR="00861E1B" w:rsidRPr="00A029A6" w:rsidRDefault="00861E1B" w:rsidP="00861E1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10F7833" w14:textId="77777777" w:rsidR="000A06F2" w:rsidRDefault="000A06F2" w:rsidP="003971C8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D70E33">
        <w:rPr>
          <w:rFonts w:ascii="Garamond" w:hAnsi="Garamond"/>
          <w:sz w:val="24"/>
          <w:szCs w:val="24"/>
        </w:rPr>
        <w:t>Akcje Własne będą nabywane ze środków zgromadzonych na kapitale rezerwowym Spółki,</w:t>
      </w:r>
      <w:r>
        <w:rPr>
          <w:rFonts w:ascii="Garamond" w:hAnsi="Garamond"/>
          <w:sz w:val="24"/>
          <w:szCs w:val="24"/>
        </w:rPr>
        <w:t xml:space="preserve"> </w:t>
      </w:r>
      <w:r w:rsidRPr="00D70E33">
        <w:rPr>
          <w:rFonts w:ascii="Garamond" w:hAnsi="Garamond"/>
          <w:sz w:val="24"/>
          <w:szCs w:val="24"/>
        </w:rPr>
        <w:t>utworzonym, na podstawie niniejszej Uchwały („</w:t>
      </w:r>
      <w:r w:rsidRPr="000A06F2">
        <w:rPr>
          <w:rFonts w:ascii="Garamond" w:hAnsi="Garamond"/>
          <w:b/>
          <w:bCs/>
          <w:sz w:val="24"/>
          <w:szCs w:val="24"/>
        </w:rPr>
        <w:t>Kapitał Rezerwowy</w:t>
      </w:r>
      <w:r w:rsidRPr="00D70E33">
        <w:rPr>
          <w:rFonts w:ascii="Garamond" w:hAnsi="Garamond"/>
          <w:sz w:val="24"/>
          <w:szCs w:val="24"/>
        </w:rPr>
        <w:t>”) w kwocie 220 000 000,00</w:t>
      </w:r>
      <w:r>
        <w:rPr>
          <w:rFonts w:ascii="Garamond" w:hAnsi="Garamond"/>
          <w:sz w:val="24"/>
          <w:szCs w:val="24"/>
        </w:rPr>
        <w:t xml:space="preserve"> </w:t>
      </w:r>
      <w:r w:rsidRPr="00D70E33">
        <w:rPr>
          <w:rFonts w:ascii="Garamond" w:hAnsi="Garamond"/>
          <w:sz w:val="24"/>
          <w:szCs w:val="24"/>
        </w:rPr>
        <w:t>PLN (słownie: dwieście dwadzieścia milionów złotych), pochodzącej z kapitału zapasowego</w:t>
      </w:r>
      <w:r>
        <w:rPr>
          <w:rFonts w:ascii="Garamond" w:hAnsi="Garamond"/>
          <w:sz w:val="24"/>
          <w:szCs w:val="24"/>
        </w:rPr>
        <w:t xml:space="preserve"> </w:t>
      </w:r>
      <w:r w:rsidRPr="00D70E33">
        <w:rPr>
          <w:rFonts w:ascii="Garamond" w:hAnsi="Garamond"/>
          <w:sz w:val="24"/>
          <w:szCs w:val="24"/>
        </w:rPr>
        <w:t>utworzonego z zysków Spółki z lat poprzednich.</w:t>
      </w:r>
    </w:p>
    <w:p w14:paraId="39831432" w14:textId="77777777" w:rsidR="000A06F2" w:rsidRPr="00D70E33" w:rsidRDefault="000A06F2" w:rsidP="003971C8">
      <w:p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</w:p>
    <w:p w14:paraId="74AA8991" w14:textId="22502FCA" w:rsidR="009F63A0" w:rsidRPr="009F63A0" w:rsidRDefault="00861E1B" w:rsidP="009F63A0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A029A6">
        <w:rPr>
          <w:rFonts w:ascii="Garamond" w:hAnsi="Garamond"/>
          <w:sz w:val="24"/>
          <w:szCs w:val="24"/>
        </w:rPr>
        <w:t xml:space="preserve">Upoważnienie Zarządu do nabywania Akcji Własnych obejmuje </w:t>
      </w:r>
      <w:r w:rsidR="002B3E7A" w:rsidRPr="00A029A6">
        <w:rPr>
          <w:rFonts w:ascii="Garamond" w:hAnsi="Garamond"/>
          <w:sz w:val="24"/>
          <w:szCs w:val="24"/>
        </w:rPr>
        <w:t xml:space="preserve">okres od dnia </w:t>
      </w:r>
      <w:r w:rsidR="00993B05">
        <w:rPr>
          <w:rFonts w:ascii="Garamond" w:hAnsi="Garamond"/>
          <w:sz w:val="24"/>
          <w:szCs w:val="24"/>
        </w:rPr>
        <w:t>1 czerwca 202</w:t>
      </w:r>
      <w:r w:rsidR="00EC3363">
        <w:rPr>
          <w:rFonts w:ascii="Garamond" w:hAnsi="Garamond"/>
          <w:sz w:val="24"/>
          <w:szCs w:val="24"/>
        </w:rPr>
        <w:t>4</w:t>
      </w:r>
      <w:r w:rsidR="00993B05">
        <w:rPr>
          <w:rFonts w:ascii="Garamond" w:hAnsi="Garamond"/>
          <w:sz w:val="24"/>
          <w:szCs w:val="24"/>
        </w:rPr>
        <w:t xml:space="preserve"> roku</w:t>
      </w:r>
      <w:r w:rsidRPr="00A029A6">
        <w:rPr>
          <w:rFonts w:ascii="Garamond" w:hAnsi="Garamond"/>
          <w:sz w:val="24"/>
          <w:szCs w:val="24"/>
        </w:rPr>
        <w:t xml:space="preserve"> do dnia</w:t>
      </w:r>
      <w:r w:rsidR="00651F5C">
        <w:rPr>
          <w:rFonts w:ascii="Garamond" w:hAnsi="Garamond"/>
          <w:sz w:val="24"/>
          <w:szCs w:val="24"/>
        </w:rPr>
        <w:t xml:space="preserve"> </w:t>
      </w:r>
      <w:r w:rsidR="00993B05">
        <w:rPr>
          <w:rFonts w:ascii="Garamond" w:hAnsi="Garamond"/>
          <w:sz w:val="24"/>
          <w:szCs w:val="24"/>
        </w:rPr>
        <w:t>1 czerwca 2026 roku</w:t>
      </w:r>
      <w:r w:rsidRPr="00A029A6">
        <w:rPr>
          <w:rFonts w:ascii="Garamond" w:hAnsi="Garamond"/>
          <w:sz w:val="24"/>
          <w:szCs w:val="24"/>
        </w:rPr>
        <w:t xml:space="preserve">, nie dłużej jednak niż do wyczerpania środków </w:t>
      </w:r>
      <w:r w:rsidR="00993B05">
        <w:rPr>
          <w:rFonts w:ascii="Garamond" w:hAnsi="Garamond"/>
          <w:sz w:val="24"/>
          <w:szCs w:val="24"/>
        </w:rPr>
        <w:t xml:space="preserve">objętych </w:t>
      </w:r>
      <w:r w:rsidR="00993B05">
        <w:rPr>
          <w:rFonts w:ascii="Garamond" w:hAnsi="Garamond"/>
          <w:sz w:val="24"/>
          <w:szCs w:val="24"/>
        </w:rPr>
        <w:lastRenderedPageBreak/>
        <w:t>Kapitałem Rezerwowym.</w:t>
      </w:r>
      <w:r w:rsidR="009F63A0" w:rsidRPr="004C1B73">
        <w:rPr>
          <w:rFonts w:ascii="Arial Narrow" w:eastAsia="Aptos" w:hAnsi="Arial Narrow"/>
          <w:lang w:eastAsia="en-US"/>
        </w:rPr>
        <w:t xml:space="preserve"> </w:t>
      </w:r>
      <w:r w:rsidR="009F63A0" w:rsidRPr="009F63A0">
        <w:rPr>
          <w:rFonts w:ascii="Garamond" w:hAnsi="Garamond"/>
          <w:sz w:val="24"/>
          <w:szCs w:val="24"/>
        </w:rPr>
        <w:t xml:space="preserve">Rozpoczęcie realizacji Programu Skupu Akcji Własnych zaplanowane jest na dzień </w:t>
      </w:r>
      <w:r w:rsidR="009F63A0">
        <w:rPr>
          <w:rFonts w:ascii="Garamond" w:hAnsi="Garamond"/>
          <w:sz w:val="24"/>
          <w:szCs w:val="24"/>
        </w:rPr>
        <w:t>12 czerwca 2024</w:t>
      </w:r>
      <w:r w:rsidR="009F63A0" w:rsidRPr="009F63A0">
        <w:rPr>
          <w:rFonts w:ascii="Garamond" w:hAnsi="Garamond"/>
          <w:sz w:val="24"/>
          <w:szCs w:val="24"/>
        </w:rPr>
        <w:t xml:space="preserve"> roku. Program zostanie zakończony najpóźniej w dniu </w:t>
      </w:r>
      <w:r w:rsidR="009F63A0">
        <w:rPr>
          <w:rFonts w:ascii="Garamond" w:hAnsi="Garamond"/>
          <w:sz w:val="24"/>
          <w:szCs w:val="24"/>
        </w:rPr>
        <w:t>1 czerwca 2026</w:t>
      </w:r>
      <w:r w:rsidR="009F63A0" w:rsidRPr="009F63A0">
        <w:rPr>
          <w:rFonts w:ascii="Garamond" w:hAnsi="Garamond"/>
          <w:sz w:val="24"/>
          <w:szCs w:val="24"/>
        </w:rPr>
        <w:t xml:space="preserve"> roku.</w:t>
      </w:r>
    </w:p>
    <w:p w14:paraId="4D6C83D9" w14:textId="77777777" w:rsidR="00861E1B" w:rsidRDefault="00861E1B" w:rsidP="006C02F0">
      <w:pPr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570B058E" w14:textId="77777777" w:rsidR="00861E1B" w:rsidRPr="00A029A6" w:rsidRDefault="00861E1B" w:rsidP="00861E1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CE0FDBD" w14:textId="77777777" w:rsidR="00861E1B" w:rsidRPr="00321768" w:rsidRDefault="00861E1B" w:rsidP="003971C8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A029A6">
        <w:rPr>
          <w:rFonts w:ascii="Garamond" w:hAnsi="Garamond"/>
          <w:sz w:val="24"/>
          <w:szCs w:val="24"/>
        </w:rPr>
        <w:t xml:space="preserve">Zarząd Spółki </w:t>
      </w:r>
      <w:r w:rsidR="000A06F2">
        <w:rPr>
          <w:rFonts w:ascii="Garamond" w:hAnsi="Garamond"/>
          <w:sz w:val="24"/>
          <w:szCs w:val="24"/>
        </w:rPr>
        <w:t>jest uprawniony do</w:t>
      </w:r>
      <w:r w:rsidRPr="00A029A6">
        <w:rPr>
          <w:rFonts w:ascii="Garamond" w:hAnsi="Garamond"/>
          <w:sz w:val="24"/>
          <w:szCs w:val="24"/>
        </w:rPr>
        <w:t>:</w:t>
      </w:r>
    </w:p>
    <w:p w14:paraId="3E731DBE" w14:textId="77777777" w:rsidR="00CD5E0A" w:rsidRPr="00CD5E0A" w:rsidRDefault="00CD5E0A" w:rsidP="003971C8">
      <w:pPr>
        <w:numPr>
          <w:ilvl w:val="0"/>
          <w:numId w:val="24"/>
        </w:numPr>
        <w:overflowPunct/>
        <w:ind w:left="851" w:hanging="425"/>
        <w:textAlignment w:val="auto"/>
        <w:rPr>
          <w:rFonts w:ascii="Garamond" w:hAnsi="Garamond" w:cs="AppleSystemUIFont"/>
          <w:sz w:val="24"/>
          <w:szCs w:val="24"/>
          <w:lang w:eastAsia="zh-CN"/>
        </w:rPr>
      </w:pPr>
      <w:r w:rsidRPr="00CD5E0A">
        <w:rPr>
          <w:rFonts w:ascii="Garamond" w:hAnsi="Garamond" w:cs="AppleSystemUIFont"/>
          <w:sz w:val="24"/>
          <w:szCs w:val="24"/>
          <w:lang w:eastAsia="zh-CN"/>
        </w:rPr>
        <w:t>zakończenia w każdym czasie procedury nabywania Akcji Własnych</w:t>
      </w:r>
      <w:r>
        <w:rPr>
          <w:rFonts w:ascii="Garamond" w:hAnsi="Garamond" w:cs="AppleSystemUIFont"/>
          <w:sz w:val="24"/>
          <w:szCs w:val="24"/>
          <w:lang w:eastAsia="zh-CN"/>
        </w:rPr>
        <w:t>,</w:t>
      </w:r>
    </w:p>
    <w:p w14:paraId="6148D2F2" w14:textId="77777777" w:rsidR="00CD5E0A" w:rsidRPr="00CD5E0A" w:rsidRDefault="00CD5E0A" w:rsidP="003971C8">
      <w:pPr>
        <w:numPr>
          <w:ilvl w:val="0"/>
          <w:numId w:val="24"/>
        </w:numPr>
        <w:overflowPunct/>
        <w:ind w:left="851" w:hanging="425"/>
        <w:textAlignment w:val="auto"/>
        <w:rPr>
          <w:rFonts w:ascii="Garamond" w:hAnsi="Garamond" w:cs="AppleSystemUIFont"/>
          <w:sz w:val="24"/>
          <w:szCs w:val="24"/>
          <w:lang w:eastAsia="zh-CN"/>
        </w:rPr>
      </w:pPr>
      <w:r w:rsidRPr="00CD5E0A">
        <w:rPr>
          <w:rFonts w:ascii="Garamond" w:hAnsi="Garamond" w:cs="AppleSystemUIFont"/>
          <w:sz w:val="24"/>
          <w:szCs w:val="24"/>
          <w:lang w:eastAsia="zh-CN"/>
        </w:rPr>
        <w:t>rezygnacji z nabywania Akcji Własnych w całości lub w części</w:t>
      </w:r>
      <w:r>
        <w:rPr>
          <w:rFonts w:ascii="Garamond" w:hAnsi="Garamond" w:cs="AppleSystemUIFont"/>
          <w:sz w:val="24"/>
          <w:szCs w:val="24"/>
          <w:lang w:eastAsia="zh-CN"/>
        </w:rPr>
        <w:t>,</w:t>
      </w:r>
    </w:p>
    <w:p w14:paraId="41D16E59" w14:textId="77777777" w:rsidR="00CD5E0A" w:rsidRDefault="00CD5E0A" w:rsidP="003971C8">
      <w:pPr>
        <w:numPr>
          <w:ilvl w:val="0"/>
          <w:numId w:val="24"/>
        </w:numPr>
        <w:overflowPunct/>
        <w:ind w:left="851" w:hanging="425"/>
        <w:textAlignment w:val="auto"/>
        <w:rPr>
          <w:rFonts w:ascii="Garamond" w:hAnsi="Garamond"/>
          <w:sz w:val="24"/>
          <w:szCs w:val="24"/>
        </w:rPr>
      </w:pPr>
      <w:r w:rsidRPr="00CD5E0A">
        <w:rPr>
          <w:rFonts w:ascii="Garamond" w:hAnsi="Garamond" w:cs="AppleSystemUIFont"/>
          <w:sz w:val="24"/>
          <w:szCs w:val="24"/>
          <w:lang w:eastAsia="zh-CN"/>
        </w:rPr>
        <w:t>odstąpienia w każdym czasie od wykonywania niniejszej Uchwały</w:t>
      </w:r>
      <w:r>
        <w:rPr>
          <w:rFonts w:ascii="Garamond" w:hAnsi="Garamond" w:cs="AppleSystemUIFont"/>
          <w:sz w:val="24"/>
          <w:szCs w:val="24"/>
          <w:lang w:eastAsia="zh-CN"/>
        </w:rPr>
        <w:t>.</w:t>
      </w:r>
    </w:p>
    <w:p w14:paraId="1A831D68" w14:textId="77777777" w:rsidR="00CD5E0A" w:rsidRPr="00CD5E0A" w:rsidRDefault="00CD5E0A" w:rsidP="00CD5E0A">
      <w:pPr>
        <w:overflowPunct/>
        <w:ind w:left="1134"/>
        <w:textAlignment w:val="auto"/>
        <w:rPr>
          <w:rFonts w:ascii="Garamond" w:hAnsi="Garamond"/>
          <w:sz w:val="24"/>
          <w:szCs w:val="24"/>
        </w:rPr>
      </w:pPr>
    </w:p>
    <w:p w14:paraId="330BE6CA" w14:textId="77777777" w:rsidR="00861E1B" w:rsidRPr="00321768" w:rsidRDefault="00861E1B" w:rsidP="003971C8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CD5E0A">
        <w:rPr>
          <w:rFonts w:ascii="Garamond" w:hAnsi="Garamond"/>
          <w:sz w:val="24"/>
          <w:szCs w:val="24"/>
        </w:rPr>
        <w:t>Spółka nabywać będzie Akcje Własne w pełni pokryte, na poniższych zasadach</w:t>
      </w:r>
      <w:r w:rsidRPr="00A029A6">
        <w:rPr>
          <w:rFonts w:ascii="Garamond" w:hAnsi="Garamond"/>
          <w:sz w:val="24"/>
          <w:szCs w:val="24"/>
        </w:rPr>
        <w:t>:</w:t>
      </w:r>
    </w:p>
    <w:p w14:paraId="6AA19C36" w14:textId="77777777" w:rsidR="00861E1B" w:rsidRPr="00A029A6" w:rsidRDefault="00861E1B" w:rsidP="003971C8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A029A6">
        <w:rPr>
          <w:rFonts w:ascii="Garamond" w:hAnsi="Garamond"/>
          <w:sz w:val="24"/>
          <w:szCs w:val="24"/>
        </w:rPr>
        <w:t xml:space="preserve">Łączna liczba Akcji Własnych nabywanych w ramach Programu Skupu Akcji Własnych nie przekroczy </w:t>
      </w:r>
      <w:r w:rsidR="00D70E33">
        <w:rPr>
          <w:rFonts w:ascii="Garamond" w:hAnsi="Garamond"/>
          <w:sz w:val="24"/>
          <w:szCs w:val="24"/>
        </w:rPr>
        <w:t>10 000 000</w:t>
      </w:r>
      <w:r w:rsidRPr="00A029A6">
        <w:rPr>
          <w:rFonts w:ascii="Garamond" w:hAnsi="Garamond"/>
          <w:sz w:val="24"/>
          <w:szCs w:val="24"/>
        </w:rPr>
        <w:t xml:space="preserve"> (słownie:</w:t>
      </w:r>
      <w:r w:rsidR="002B3E7A" w:rsidRPr="00A029A6">
        <w:rPr>
          <w:rFonts w:ascii="Garamond" w:hAnsi="Garamond"/>
          <w:sz w:val="24"/>
          <w:szCs w:val="24"/>
        </w:rPr>
        <w:t xml:space="preserve"> </w:t>
      </w:r>
      <w:r w:rsidR="00D70E33">
        <w:rPr>
          <w:rFonts w:ascii="Garamond" w:hAnsi="Garamond"/>
          <w:sz w:val="24"/>
          <w:szCs w:val="24"/>
        </w:rPr>
        <w:t>dziesięć milionów</w:t>
      </w:r>
      <w:r w:rsidRPr="00A029A6">
        <w:rPr>
          <w:rFonts w:ascii="Garamond" w:hAnsi="Garamond"/>
          <w:sz w:val="24"/>
          <w:szCs w:val="24"/>
        </w:rPr>
        <w:t xml:space="preserve">) </w:t>
      </w:r>
      <w:r w:rsidR="00D70E33">
        <w:rPr>
          <w:rFonts w:ascii="Garamond" w:hAnsi="Garamond"/>
          <w:sz w:val="24"/>
          <w:szCs w:val="24"/>
        </w:rPr>
        <w:t xml:space="preserve">sztuk </w:t>
      </w:r>
      <w:r w:rsidRPr="00A029A6">
        <w:rPr>
          <w:rFonts w:ascii="Garamond" w:hAnsi="Garamond"/>
          <w:sz w:val="24"/>
          <w:szCs w:val="24"/>
        </w:rPr>
        <w:t>Akcji Własnych. Spółka nie posiada nabytych uprzednio Akcji Własnych, w związku z czym określona powyżej liczba Akcji Własnych nabytych w ramach Programu Skupu Akcji Własnych sta</w:t>
      </w:r>
      <w:r w:rsidR="002B3E7A" w:rsidRPr="00A029A6">
        <w:rPr>
          <w:rFonts w:ascii="Garamond" w:hAnsi="Garamond"/>
          <w:sz w:val="24"/>
          <w:szCs w:val="24"/>
        </w:rPr>
        <w:t xml:space="preserve">nowić będzie, nie więcej niż </w:t>
      </w:r>
      <w:r w:rsidR="00D70E33">
        <w:rPr>
          <w:rFonts w:ascii="Garamond" w:hAnsi="Garamond"/>
          <w:sz w:val="24"/>
          <w:szCs w:val="24"/>
        </w:rPr>
        <w:t xml:space="preserve">19,57 </w:t>
      </w:r>
      <w:r w:rsidRPr="008864F7">
        <w:rPr>
          <w:rFonts w:ascii="Garamond" w:hAnsi="Garamond"/>
          <w:sz w:val="24"/>
          <w:szCs w:val="24"/>
        </w:rPr>
        <w:t>%</w:t>
      </w:r>
      <w:r w:rsidRPr="00A029A6">
        <w:rPr>
          <w:rFonts w:ascii="Garamond" w:hAnsi="Garamond"/>
          <w:sz w:val="24"/>
          <w:szCs w:val="24"/>
        </w:rPr>
        <w:t xml:space="preserve"> kapitału zakładowego Spółki. </w:t>
      </w:r>
    </w:p>
    <w:p w14:paraId="54F2B2BC" w14:textId="77777777" w:rsidR="00861E1B" w:rsidRPr="00A029A6" w:rsidRDefault="00861E1B" w:rsidP="003971C8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A029A6">
        <w:rPr>
          <w:rFonts w:ascii="Garamond" w:hAnsi="Garamond"/>
          <w:sz w:val="24"/>
          <w:szCs w:val="24"/>
        </w:rPr>
        <w:t xml:space="preserve">Łączna kwota, którą Spółka przeznaczy na nabycie Akcji Własnych, łącznie z kosztami nabycia, nie przekroczy kwoty </w:t>
      </w:r>
      <w:r w:rsidR="00D70E33">
        <w:rPr>
          <w:rFonts w:ascii="Garamond" w:hAnsi="Garamond"/>
          <w:sz w:val="24"/>
          <w:szCs w:val="24"/>
        </w:rPr>
        <w:t xml:space="preserve">Kapitału Rezerwowego tj. </w:t>
      </w:r>
      <w:r w:rsidR="00D70E33" w:rsidRPr="00D70E33">
        <w:rPr>
          <w:rFonts w:ascii="Garamond" w:hAnsi="Garamond"/>
          <w:sz w:val="24"/>
          <w:szCs w:val="24"/>
        </w:rPr>
        <w:t>220 000 000,00</w:t>
      </w:r>
      <w:r w:rsidR="00D70E33">
        <w:rPr>
          <w:rFonts w:ascii="Garamond" w:hAnsi="Garamond"/>
          <w:sz w:val="24"/>
          <w:szCs w:val="24"/>
        </w:rPr>
        <w:t xml:space="preserve"> </w:t>
      </w:r>
      <w:r w:rsidR="00D70E33" w:rsidRPr="00D70E33">
        <w:rPr>
          <w:rFonts w:ascii="Garamond" w:hAnsi="Garamond"/>
          <w:sz w:val="24"/>
          <w:szCs w:val="24"/>
        </w:rPr>
        <w:t>PLN (słownie: dwieście dwadzieścia milionów złotych)</w:t>
      </w:r>
      <w:r w:rsidR="00D70E33">
        <w:rPr>
          <w:rFonts w:ascii="Garamond" w:hAnsi="Garamond"/>
          <w:sz w:val="24"/>
          <w:szCs w:val="24"/>
        </w:rPr>
        <w:t>.</w:t>
      </w:r>
    </w:p>
    <w:p w14:paraId="7DBFBE72" w14:textId="77777777" w:rsidR="00861E1B" w:rsidRPr="00A029A6" w:rsidRDefault="00861E1B" w:rsidP="003971C8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A029A6">
        <w:rPr>
          <w:rFonts w:ascii="Garamond" w:hAnsi="Garamond"/>
          <w:sz w:val="24"/>
          <w:szCs w:val="24"/>
        </w:rPr>
        <w:t>Akcje Własne nabywane będą za pośrednictwem domu maklerskiego w obrocie anonimowym na Rynku Regulowanym. Akcje Własne skupowane w ramach</w:t>
      </w:r>
      <w:r w:rsidR="00CC2244" w:rsidRPr="00A029A6">
        <w:rPr>
          <w:rFonts w:ascii="Garamond" w:hAnsi="Garamond"/>
          <w:sz w:val="24"/>
          <w:szCs w:val="24"/>
        </w:rPr>
        <w:t xml:space="preserve"> </w:t>
      </w:r>
      <w:r w:rsidRPr="00A029A6">
        <w:rPr>
          <w:rFonts w:ascii="Garamond" w:hAnsi="Garamond"/>
          <w:sz w:val="24"/>
          <w:szCs w:val="24"/>
        </w:rPr>
        <w:t>Programu Skupu Akcji Własnych mogą być również nabywane w transakcjach pakietowych.</w:t>
      </w:r>
    </w:p>
    <w:p w14:paraId="3FFA07B0" w14:textId="79462CAD" w:rsidR="00861E1B" w:rsidRPr="00CD5E0A" w:rsidRDefault="00861E1B" w:rsidP="003971C8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CD5E0A">
        <w:rPr>
          <w:rFonts w:ascii="Garamond" w:hAnsi="Garamond"/>
          <w:sz w:val="24"/>
          <w:szCs w:val="24"/>
        </w:rPr>
        <w:t xml:space="preserve">Cena, za którą nastąpi nabycie Akcji Własnych nie będzie </w:t>
      </w:r>
      <w:r w:rsidR="00CC2244" w:rsidRPr="00CD5E0A">
        <w:rPr>
          <w:rFonts w:ascii="Garamond" w:hAnsi="Garamond"/>
          <w:sz w:val="24"/>
          <w:szCs w:val="24"/>
        </w:rPr>
        <w:t xml:space="preserve"> wyższa niż </w:t>
      </w:r>
      <w:r w:rsidR="009F63A0" w:rsidRPr="009F63A0">
        <w:rPr>
          <w:rFonts w:ascii="Garamond" w:hAnsi="Garamond"/>
          <w:sz w:val="24"/>
          <w:szCs w:val="24"/>
        </w:rPr>
        <w:t xml:space="preserve">cena ostatniego, przed zawarciem transakcji nabycia Akcji Własnych przez Spółkę, niezależnego obrotu akcjami Spółki na Rynku Regulowanym lub aktualna najwyższa niezależna oferta sprzedaży akcji Spółki na Rynku Regulowanym </w:t>
      </w:r>
      <w:r w:rsidR="009F63A0">
        <w:rPr>
          <w:rFonts w:ascii="Garamond" w:hAnsi="Garamond"/>
          <w:sz w:val="24"/>
          <w:szCs w:val="24"/>
        </w:rPr>
        <w:t xml:space="preserve">i jednocześnie nie wyższa niż </w:t>
      </w:r>
      <w:r w:rsidR="00D70E33" w:rsidRPr="00CD5E0A">
        <w:rPr>
          <w:rFonts w:ascii="Garamond" w:hAnsi="Garamond"/>
          <w:sz w:val="24"/>
          <w:szCs w:val="24"/>
        </w:rPr>
        <w:t>22</w:t>
      </w:r>
      <w:r w:rsidRPr="00CD5E0A">
        <w:rPr>
          <w:rFonts w:ascii="Garamond" w:hAnsi="Garamond"/>
          <w:sz w:val="24"/>
          <w:szCs w:val="24"/>
        </w:rPr>
        <w:t xml:space="preserve"> </w:t>
      </w:r>
      <w:r w:rsidR="00D70E33" w:rsidRPr="00CD5E0A">
        <w:rPr>
          <w:rFonts w:ascii="Garamond" w:hAnsi="Garamond"/>
          <w:sz w:val="24"/>
          <w:szCs w:val="24"/>
        </w:rPr>
        <w:t>PLN</w:t>
      </w:r>
      <w:r w:rsidRPr="00CD5E0A">
        <w:rPr>
          <w:rFonts w:ascii="Garamond" w:hAnsi="Garamond"/>
          <w:sz w:val="24"/>
          <w:szCs w:val="24"/>
        </w:rPr>
        <w:t xml:space="preserve"> </w:t>
      </w:r>
      <w:r w:rsidR="001252D3" w:rsidRPr="00CD5E0A">
        <w:rPr>
          <w:rFonts w:ascii="Garamond" w:hAnsi="Garamond"/>
          <w:sz w:val="24"/>
          <w:szCs w:val="24"/>
        </w:rPr>
        <w:t xml:space="preserve">(słownie: </w:t>
      </w:r>
      <w:r w:rsidR="00D70E33" w:rsidRPr="00CD5E0A">
        <w:rPr>
          <w:rFonts w:ascii="Garamond" w:hAnsi="Garamond"/>
          <w:sz w:val="24"/>
          <w:szCs w:val="24"/>
        </w:rPr>
        <w:t>dwadzieścia dwa złote</w:t>
      </w:r>
      <w:r w:rsidR="001252D3" w:rsidRPr="00CD5E0A">
        <w:rPr>
          <w:rFonts w:ascii="Garamond" w:hAnsi="Garamond"/>
          <w:sz w:val="24"/>
          <w:szCs w:val="24"/>
        </w:rPr>
        <w:t xml:space="preserve">) </w:t>
      </w:r>
      <w:r w:rsidRPr="00CD5E0A">
        <w:rPr>
          <w:rFonts w:ascii="Garamond" w:hAnsi="Garamond"/>
          <w:sz w:val="24"/>
          <w:szCs w:val="24"/>
        </w:rPr>
        <w:t>za jedną Akcję Własną.</w:t>
      </w:r>
    </w:p>
    <w:p w14:paraId="7605B08B" w14:textId="77777777" w:rsidR="00861E1B" w:rsidRPr="00A029A6" w:rsidRDefault="00861E1B" w:rsidP="003971C8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A029A6">
        <w:rPr>
          <w:rFonts w:ascii="Garamond" w:hAnsi="Garamond"/>
          <w:sz w:val="24"/>
          <w:szCs w:val="24"/>
        </w:rPr>
        <w:t>Akcje Własne zostaną nabyte za wynagrodzeniem wypłaconym przez Spółkę wyłącznie z kwoty</w:t>
      </w:r>
      <w:r w:rsidR="007145CE">
        <w:rPr>
          <w:rFonts w:ascii="Garamond" w:hAnsi="Garamond"/>
          <w:sz w:val="24"/>
          <w:szCs w:val="24"/>
        </w:rPr>
        <w:t xml:space="preserve"> Kapitału Rezerwowego.</w:t>
      </w:r>
    </w:p>
    <w:p w14:paraId="27D849A5" w14:textId="77777777" w:rsidR="0094154E" w:rsidRDefault="0094154E" w:rsidP="0094154E">
      <w:pPr>
        <w:spacing w:line="276" w:lineRule="auto"/>
        <w:ind w:left="1134"/>
        <w:jc w:val="both"/>
        <w:rPr>
          <w:rFonts w:ascii="Garamond" w:hAnsi="Garamond"/>
          <w:sz w:val="24"/>
          <w:szCs w:val="24"/>
        </w:rPr>
      </w:pPr>
    </w:p>
    <w:p w14:paraId="2F8DF4BE" w14:textId="77777777" w:rsidR="0094154E" w:rsidRDefault="0094154E" w:rsidP="003971C8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94154E">
        <w:rPr>
          <w:rFonts w:ascii="Garamond" w:hAnsi="Garamond"/>
          <w:b/>
          <w:bCs/>
          <w:sz w:val="24"/>
          <w:szCs w:val="24"/>
        </w:rPr>
        <w:t>§4. Obowiązki informacyjne</w:t>
      </w:r>
    </w:p>
    <w:p w14:paraId="73F2E088" w14:textId="77777777" w:rsidR="003971C8" w:rsidRPr="003971C8" w:rsidRDefault="003971C8" w:rsidP="003971C8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479CB47F" w14:textId="77777777" w:rsidR="00861E1B" w:rsidRDefault="00651F5C" w:rsidP="003971C8">
      <w:pPr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CD5E0A">
        <w:rPr>
          <w:rFonts w:ascii="Garamond" w:hAnsi="Garamond"/>
          <w:sz w:val="24"/>
          <w:szCs w:val="24"/>
        </w:rPr>
        <w:t>I</w:t>
      </w:r>
      <w:r w:rsidR="00861E1B" w:rsidRPr="00CD5E0A">
        <w:rPr>
          <w:rFonts w:ascii="Garamond" w:hAnsi="Garamond"/>
          <w:sz w:val="24"/>
          <w:szCs w:val="24"/>
        </w:rPr>
        <w:t>nformacje o realizacji przez Spółkę nabycia Ak</w:t>
      </w:r>
      <w:r w:rsidR="00861E1B" w:rsidRPr="00A029A6">
        <w:rPr>
          <w:rFonts w:ascii="Garamond" w:hAnsi="Garamond"/>
          <w:sz w:val="24"/>
          <w:szCs w:val="24"/>
        </w:rPr>
        <w:t>cji Własnych w ramach Programu Skupu Akcji Własnych, w treści ustalonej przez Zarząd Spółki, będą przekazywane przez Spółkę do publicznej wiadomości po zaistnieniu zdarzeń uzasadniających przekazanie takich informacji, z zastrzeżeniem iż, Zarząd podawać będzie do publicznej wiadomości:</w:t>
      </w:r>
    </w:p>
    <w:p w14:paraId="61C545F9" w14:textId="77777777" w:rsidR="005B2614" w:rsidRPr="00A029A6" w:rsidRDefault="005B2614" w:rsidP="0094154E">
      <w:pPr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681A597D" w14:textId="77777777" w:rsidR="005B2614" w:rsidRDefault="00CC3D67" w:rsidP="003971C8">
      <w:pPr>
        <w:numPr>
          <w:ilvl w:val="0"/>
          <w:numId w:val="22"/>
        </w:numPr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CC3D67">
        <w:rPr>
          <w:rFonts w:ascii="Garamond" w:hAnsi="Garamond"/>
          <w:sz w:val="24"/>
          <w:szCs w:val="24"/>
        </w:rPr>
        <w:t>informacje dotyczą</w:t>
      </w:r>
      <w:r w:rsidRPr="00CD5E0A">
        <w:rPr>
          <w:rFonts w:ascii="Garamond" w:hAnsi="Garamond"/>
          <w:sz w:val="24"/>
          <w:szCs w:val="24"/>
        </w:rPr>
        <w:t>c</w:t>
      </w:r>
      <w:r w:rsidRPr="00CC3D67">
        <w:rPr>
          <w:rFonts w:ascii="Garamond" w:hAnsi="Garamond"/>
          <w:sz w:val="24"/>
          <w:szCs w:val="24"/>
        </w:rPr>
        <w:t xml:space="preserve">e liczby skupionych Akcji Własnych, daty ich nabycia oraz </w:t>
      </w:r>
      <w:r w:rsidR="000563B4" w:rsidRPr="00CC3D67">
        <w:rPr>
          <w:rFonts w:ascii="Garamond" w:hAnsi="Garamond"/>
          <w:sz w:val="24"/>
          <w:szCs w:val="24"/>
        </w:rPr>
        <w:t>średniej</w:t>
      </w:r>
      <w:r w:rsidRPr="00CC3D67">
        <w:rPr>
          <w:rFonts w:ascii="Garamond" w:hAnsi="Garamond"/>
          <w:sz w:val="24"/>
          <w:szCs w:val="24"/>
        </w:rPr>
        <w:t xml:space="preserve"> ceny skupionych </w:t>
      </w:r>
      <w:r>
        <w:rPr>
          <w:rFonts w:ascii="Garamond" w:hAnsi="Garamond"/>
          <w:sz w:val="24"/>
          <w:szCs w:val="24"/>
        </w:rPr>
        <w:t>A</w:t>
      </w:r>
      <w:r w:rsidRPr="00CC3D67">
        <w:rPr>
          <w:rFonts w:ascii="Garamond" w:hAnsi="Garamond"/>
          <w:sz w:val="24"/>
          <w:szCs w:val="24"/>
        </w:rPr>
        <w:t xml:space="preserve">kcji, w postaci zagregowanej, nie </w:t>
      </w:r>
      <w:r w:rsidR="00CD5E0A" w:rsidRPr="00CC3D67">
        <w:rPr>
          <w:rFonts w:ascii="Garamond" w:hAnsi="Garamond"/>
          <w:sz w:val="24"/>
          <w:szCs w:val="24"/>
        </w:rPr>
        <w:t>później</w:t>
      </w:r>
      <w:r w:rsidRPr="00CC3D67">
        <w:rPr>
          <w:rFonts w:ascii="Garamond" w:hAnsi="Garamond"/>
          <w:sz w:val="24"/>
          <w:szCs w:val="24"/>
        </w:rPr>
        <w:t xml:space="preserve"> </w:t>
      </w:r>
      <w:r w:rsidR="0094154E" w:rsidRPr="0094154E">
        <w:rPr>
          <w:rFonts w:ascii="Garamond" w:hAnsi="Garamond"/>
          <w:sz w:val="24"/>
          <w:szCs w:val="24"/>
        </w:rPr>
        <w:t xml:space="preserve">na koniec siódmej dziennej sesji rynkowej po dniu </w:t>
      </w:r>
      <w:r w:rsidRPr="00CC3D67">
        <w:rPr>
          <w:rFonts w:ascii="Garamond" w:hAnsi="Garamond"/>
          <w:sz w:val="24"/>
          <w:szCs w:val="24"/>
        </w:rPr>
        <w:t>pierwszej transakcji w danym okresie</w:t>
      </w:r>
      <w:r w:rsidR="005B2614">
        <w:rPr>
          <w:rFonts w:ascii="Garamond" w:hAnsi="Garamond"/>
          <w:sz w:val="24"/>
          <w:szCs w:val="24"/>
        </w:rPr>
        <w:t xml:space="preserve">. </w:t>
      </w:r>
    </w:p>
    <w:p w14:paraId="55E81029" w14:textId="77777777" w:rsidR="005B2614" w:rsidRDefault="005B2614" w:rsidP="005B2614">
      <w:pPr>
        <w:spacing w:line="276" w:lineRule="auto"/>
        <w:ind w:left="1418"/>
        <w:jc w:val="both"/>
        <w:rPr>
          <w:rFonts w:ascii="Garamond" w:hAnsi="Garamond"/>
          <w:sz w:val="24"/>
          <w:szCs w:val="24"/>
        </w:rPr>
      </w:pPr>
    </w:p>
    <w:p w14:paraId="42C0E97C" w14:textId="77777777" w:rsidR="00861E1B" w:rsidRDefault="005B2614" w:rsidP="005B2614">
      <w:pPr>
        <w:spacing w:line="276" w:lineRule="auto"/>
        <w:ind w:left="141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Zarząd zamierza przekazywać ww. w punkcie (i) informacje </w:t>
      </w:r>
      <w:r w:rsidR="00CC3D67" w:rsidRPr="005B2614">
        <w:rPr>
          <w:rFonts w:ascii="Garamond" w:hAnsi="Garamond"/>
          <w:sz w:val="24"/>
          <w:szCs w:val="24"/>
        </w:rPr>
        <w:t xml:space="preserve">cyklicznie, w każdy </w:t>
      </w:r>
      <w:r w:rsidR="00B07678" w:rsidRPr="005B2614">
        <w:rPr>
          <w:rFonts w:ascii="Garamond" w:hAnsi="Garamond"/>
          <w:sz w:val="24"/>
          <w:szCs w:val="24"/>
        </w:rPr>
        <w:t>piątek</w:t>
      </w:r>
      <w:r w:rsidR="00CC3D67" w:rsidRPr="005B2614">
        <w:rPr>
          <w:rFonts w:ascii="Garamond" w:hAnsi="Garamond"/>
          <w:sz w:val="24"/>
          <w:szCs w:val="24"/>
        </w:rPr>
        <w:t xml:space="preserve">, za okres od poniedziałku do piątku danego tygodnia, pod warunkiem </w:t>
      </w:r>
      <w:r w:rsidR="00B07678" w:rsidRPr="005B2614">
        <w:rPr>
          <w:rFonts w:ascii="Garamond" w:hAnsi="Garamond"/>
          <w:sz w:val="24"/>
          <w:szCs w:val="24"/>
        </w:rPr>
        <w:t>wystąpienia</w:t>
      </w:r>
      <w:r w:rsidR="00CC3D67" w:rsidRPr="005B2614">
        <w:rPr>
          <w:rFonts w:ascii="Garamond" w:hAnsi="Garamond"/>
          <w:sz w:val="24"/>
          <w:szCs w:val="24"/>
        </w:rPr>
        <w:t xml:space="preserve"> co najmniej jednej transakcji w danym okresie. </w:t>
      </w:r>
    </w:p>
    <w:p w14:paraId="7DCA05CC" w14:textId="77777777" w:rsidR="005B2614" w:rsidRPr="005B2614" w:rsidRDefault="005B2614" w:rsidP="005B2614">
      <w:pPr>
        <w:spacing w:line="276" w:lineRule="auto"/>
        <w:ind w:left="1418"/>
        <w:jc w:val="both"/>
        <w:rPr>
          <w:rFonts w:ascii="Garamond" w:hAnsi="Garamond"/>
          <w:sz w:val="24"/>
          <w:szCs w:val="24"/>
        </w:rPr>
      </w:pPr>
    </w:p>
    <w:p w14:paraId="4A4D5573" w14:textId="77777777" w:rsidR="00861E1B" w:rsidRPr="00A029A6" w:rsidRDefault="00861E1B" w:rsidP="003971C8">
      <w:pPr>
        <w:numPr>
          <w:ilvl w:val="0"/>
          <w:numId w:val="22"/>
        </w:numPr>
        <w:spacing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A029A6">
        <w:rPr>
          <w:rFonts w:ascii="Garamond" w:hAnsi="Garamond"/>
          <w:sz w:val="24"/>
          <w:szCs w:val="24"/>
        </w:rPr>
        <w:lastRenderedPageBreak/>
        <w:t>po zakończeniu Programu Skupu Akcji Własnych: zbiorcze, szczegółowe sprawozdanie z</w:t>
      </w:r>
      <w:r w:rsidR="003971C8">
        <w:rPr>
          <w:rFonts w:ascii="Garamond" w:hAnsi="Garamond"/>
          <w:sz w:val="24"/>
          <w:szCs w:val="24"/>
        </w:rPr>
        <w:t> </w:t>
      </w:r>
      <w:r w:rsidRPr="00A029A6">
        <w:rPr>
          <w:rFonts w:ascii="Garamond" w:hAnsi="Garamond"/>
          <w:sz w:val="24"/>
          <w:szCs w:val="24"/>
        </w:rPr>
        <w:t xml:space="preserve">jego realizacji. </w:t>
      </w:r>
    </w:p>
    <w:p w14:paraId="13D3FDD0" w14:textId="77777777" w:rsidR="00861E1B" w:rsidRDefault="00861E1B" w:rsidP="00861E1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6BCD0A8" w14:textId="77777777" w:rsidR="00403DA8" w:rsidRPr="003971C8" w:rsidRDefault="00403DA8" w:rsidP="00403DA8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49D8A6E" w14:textId="77777777" w:rsidR="006150A9" w:rsidRPr="00A029A6" w:rsidRDefault="006150A9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sectPr w:rsidR="006150A9" w:rsidRPr="00A029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01F5"/>
    <w:multiLevelType w:val="hybridMultilevel"/>
    <w:tmpl w:val="812E6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3D04"/>
    <w:multiLevelType w:val="hybridMultilevel"/>
    <w:tmpl w:val="E0CCA73C"/>
    <w:lvl w:ilvl="0" w:tplc="BFA83E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24AC"/>
    <w:multiLevelType w:val="hybridMultilevel"/>
    <w:tmpl w:val="372E5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9341A"/>
    <w:multiLevelType w:val="hybridMultilevel"/>
    <w:tmpl w:val="2C2C13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571EA"/>
    <w:multiLevelType w:val="hybridMultilevel"/>
    <w:tmpl w:val="63484E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16439"/>
    <w:multiLevelType w:val="hybridMultilevel"/>
    <w:tmpl w:val="50D44EAE"/>
    <w:lvl w:ilvl="0" w:tplc="EAA8F1E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44F74"/>
    <w:multiLevelType w:val="hybridMultilevel"/>
    <w:tmpl w:val="9330F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5E22"/>
    <w:multiLevelType w:val="hybridMultilevel"/>
    <w:tmpl w:val="2A1022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6D3B66"/>
    <w:multiLevelType w:val="hybridMultilevel"/>
    <w:tmpl w:val="EF2891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F2C5A"/>
    <w:multiLevelType w:val="hybridMultilevel"/>
    <w:tmpl w:val="7D3256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D023D"/>
    <w:multiLevelType w:val="hybridMultilevel"/>
    <w:tmpl w:val="F61A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C62F5"/>
    <w:multiLevelType w:val="hybridMultilevel"/>
    <w:tmpl w:val="4A785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E126E"/>
    <w:multiLevelType w:val="singleLevel"/>
    <w:tmpl w:val="7C6EFA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456F78D7"/>
    <w:multiLevelType w:val="hybridMultilevel"/>
    <w:tmpl w:val="EF289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2662E"/>
    <w:multiLevelType w:val="hybridMultilevel"/>
    <w:tmpl w:val="67488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41327"/>
    <w:multiLevelType w:val="hybridMultilevel"/>
    <w:tmpl w:val="045ED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D02E2"/>
    <w:multiLevelType w:val="hybridMultilevel"/>
    <w:tmpl w:val="AA76E7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070726A"/>
    <w:multiLevelType w:val="hybridMultilevel"/>
    <w:tmpl w:val="501CC294"/>
    <w:lvl w:ilvl="0" w:tplc="CFEC2936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66093BBE"/>
    <w:multiLevelType w:val="hybridMultilevel"/>
    <w:tmpl w:val="63484E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247C9"/>
    <w:multiLevelType w:val="hybridMultilevel"/>
    <w:tmpl w:val="AA76E7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6F21F67"/>
    <w:multiLevelType w:val="hybridMultilevel"/>
    <w:tmpl w:val="AA76E7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70C7B62"/>
    <w:multiLevelType w:val="hybridMultilevel"/>
    <w:tmpl w:val="AA76E7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CB82228"/>
    <w:multiLevelType w:val="hybridMultilevel"/>
    <w:tmpl w:val="F58CB6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37A41"/>
    <w:multiLevelType w:val="multilevel"/>
    <w:tmpl w:val="C178C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C673EB"/>
    <w:multiLevelType w:val="multilevel"/>
    <w:tmpl w:val="A964D41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1408378867">
    <w:abstractNumId w:val="12"/>
  </w:num>
  <w:num w:numId="2" w16cid:durableId="1573270232">
    <w:abstractNumId w:val="24"/>
  </w:num>
  <w:num w:numId="3" w16cid:durableId="1200700630">
    <w:abstractNumId w:val="7"/>
  </w:num>
  <w:num w:numId="4" w16cid:durableId="354237919">
    <w:abstractNumId w:val="17"/>
  </w:num>
  <w:num w:numId="5" w16cid:durableId="1377966542">
    <w:abstractNumId w:val="16"/>
  </w:num>
  <w:num w:numId="6" w16cid:durableId="715667008">
    <w:abstractNumId w:val="20"/>
  </w:num>
  <w:num w:numId="7" w16cid:durableId="1765489273">
    <w:abstractNumId w:val="19"/>
  </w:num>
  <w:num w:numId="8" w16cid:durableId="1719082402">
    <w:abstractNumId w:val="21"/>
  </w:num>
  <w:num w:numId="9" w16cid:durableId="434635788">
    <w:abstractNumId w:val="11"/>
  </w:num>
  <w:num w:numId="10" w16cid:durableId="1777561237">
    <w:abstractNumId w:val="14"/>
  </w:num>
  <w:num w:numId="11" w16cid:durableId="523327943">
    <w:abstractNumId w:val="10"/>
  </w:num>
  <w:num w:numId="12" w16cid:durableId="1830561742">
    <w:abstractNumId w:val="6"/>
  </w:num>
  <w:num w:numId="13" w16cid:durableId="1320647203">
    <w:abstractNumId w:val="2"/>
  </w:num>
  <w:num w:numId="14" w16cid:durableId="1775439350">
    <w:abstractNumId w:val="13"/>
  </w:num>
  <w:num w:numId="15" w16cid:durableId="1214807730">
    <w:abstractNumId w:val="8"/>
  </w:num>
  <w:num w:numId="16" w16cid:durableId="1228762846">
    <w:abstractNumId w:val="0"/>
  </w:num>
  <w:num w:numId="17" w16cid:durableId="482160313">
    <w:abstractNumId w:val="9"/>
  </w:num>
  <w:num w:numId="18" w16cid:durableId="1035884207">
    <w:abstractNumId w:val="18"/>
  </w:num>
  <w:num w:numId="19" w16cid:durableId="935014854">
    <w:abstractNumId w:val="1"/>
  </w:num>
  <w:num w:numId="20" w16cid:durableId="1157647090">
    <w:abstractNumId w:val="3"/>
  </w:num>
  <w:num w:numId="21" w16cid:durableId="1947495180">
    <w:abstractNumId w:val="5"/>
  </w:num>
  <w:num w:numId="22" w16cid:durableId="2034959609">
    <w:abstractNumId w:val="22"/>
  </w:num>
  <w:num w:numId="23" w16cid:durableId="1791045469">
    <w:abstractNumId w:val="23"/>
  </w:num>
  <w:num w:numId="24" w16cid:durableId="985554147">
    <w:abstractNumId w:val="15"/>
  </w:num>
  <w:num w:numId="25" w16cid:durableId="1178694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trackRevision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8E"/>
    <w:rsid w:val="000563B4"/>
    <w:rsid w:val="00086C42"/>
    <w:rsid w:val="000A06F2"/>
    <w:rsid w:val="000A3C31"/>
    <w:rsid w:val="000C2C5D"/>
    <w:rsid w:val="00116E23"/>
    <w:rsid w:val="001252D3"/>
    <w:rsid w:val="00143F4F"/>
    <w:rsid w:val="00145652"/>
    <w:rsid w:val="00153283"/>
    <w:rsid w:val="00174286"/>
    <w:rsid w:val="001D6E73"/>
    <w:rsid w:val="001E0081"/>
    <w:rsid w:val="00263066"/>
    <w:rsid w:val="00275D38"/>
    <w:rsid w:val="002B3E7A"/>
    <w:rsid w:val="002C02B6"/>
    <w:rsid w:val="00321768"/>
    <w:rsid w:val="00395236"/>
    <w:rsid w:val="003971C8"/>
    <w:rsid w:val="003E4930"/>
    <w:rsid w:val="00403DA8"/>
    <w:rsid w:val="00415B4E"/>
    <w:rsid w:val="00417383"/>
    <w:rsid w:val="00492EAE"/>
    <w:rsid w:val="004C145D"/>
    <w:rsid w:val="004C1B73"/>
    <w:rsid w:val="0052472E"/>
    <w:rsid w:val="00555312"/>
    <w:rsid w:val="00596FB3"/>
    <w:rsid w:val="005B2614"/>
    <w:rsid w:val="005B552D"/>
    <w:rsid w:val="006150A9"/>
    <w:rsid w:val="00651F5C"/>
    <w:rsid w:val="006C02F0"/>
    <w:rsid w:val="007145CE"/>
    <w:rsid w:val="00741DDD"/>
    <w:rsid w:val="00750805"/>
    <w:rsid w:val="007824C3"/>
    <w:rsid w:val="007B4BC4"/>
    <w:rsid w:val="007C7B6A"/>
    <w:rsid w:val="007D76CB"/>
    <w:rsid w:val="00861E1B"/>
    <w:rsid w:val="00883079"/>
    <w:rsid w:val="008864F7"/>
    <w:rsid w:val="008E7A65"/>
    <w:rsid w:val="008F118E"/>
    <w:rsid w:val="00933977"/>
    <w:rsid w:val="0094154E"/>
    <w:rsid w:val="00964C95"/>
    <w:rsid w:val="00965DB7"/>
    <w:rsid w:val="00993B05"/>
    <w:rsid w:val="009B68EE"/>
    <w:rsid w:val="009F63A0"/>
    <w:rsid w:val="00A029A6"/>
    <w:rsid w:val="00A07129"/>
    <w:rsid w:val="00A16528"/>
    <w:rsid w:val="00A73B8F"/>
    <w:rsid w:val="00B07678"/>
    <w:rsid w:val="00B35B42"/>
    <w:rsid w:val="00B60D7D"/>
    <w:rsid w:val="00B956D7"/>
    <w:rsid w:val="00BB7C89"/>
    <w:rsid w:val="00BF6A69"/>
    <w:rsid w:val="00C15D04"/>
    <w:rsid w:val="00C20B4E"/>
    <w:rsid w:val="00C43EF6"/>
    <w:rsid w:val="00C45D22"/>
    <w:rsid w:val="00C6253C"/>
    <w:rsid w:val="00CB520E"/>
    <w:rsid w:val="00CC2244"/>
    <w:rsid w:val="00CC3D67"/>
    <w:rsid w:val="00CD5E0A"/>
    <w:rsid w:val="00D17974"/>
    <w:rsid w:val="00D27F98"/>
    <w:rsid w:val="00D61C4D"/>
    <w:rsid w:val="00D70E33"/>
    <w:rsid w:val="00DA404B"/>
    <w:rsid w:val="00E13D32"/>
    <w:rsid w:val="00E3028E"/>
    <w:rsid w:val="00EC3363"/>
    <w:rsid w:val="00EC487A"/>
    <w:rsid w:val="00EE007F"/>
    <w:rsid w:val="00F558C6"/>
    <w:rsid w:val="00FB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4F605"/>
  <w15:chartTrackingRefBased/>
  <w15:docId w15:val="{21F5F3DD-BAF0-42DC-8907-1042BF2A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05"/>
    <w:pPr>
      <w:keepNext/>
      <w:spacing w:before="240" w:after="60"/>
      <w:outlineLvl w:val="1"/>
    </w:pPr>
    <w:rPr>
      <w:rFonts w:ascii="Aptos Display" w:eastAsia="DengXian Light" w:hAnsi="Aptos Display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028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993B05"/>
    <w:rPr>
      <w:rFonts w:ascii="Aptos Display" w:eastAsia="DengXian Light" w:hAnsi="Aptos Display" w:cs="Times New Roman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C3D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zh-CN"/>
    </w:rPr>
  </w:style>
  <w:style w:type="character" w:styleId="Uwydatnienie">
    <w:name w:val="Emphasis"/>
    <w:uiPriority w:val="20"/>
    <w:qFormat/>
    <w:rsid w:val="0094154E"/>
    <w:rPr>
      <w:i/>
      <w:iCs/>
    </w:rPr>
  </w:style>
  <w:style w:type="paragraph" w:styleId="Tekstpodstawowy">
    <w:name w:val="Body Text"/>
    <w:basedOn w:val="Normalny"/>
    <w:link w:val="TekstpodstawowyZnak"/>
    <w:rsid w:val="003971C8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rsid w:val="003971C8"/>
    <w:rPr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F6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18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5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13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0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811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4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654cfc8-45ec-473b-9fdf-557265042fc1}" enabled="0" method="" siteId="{e654cfc8-45ec-473b-9fdf-557265042fc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 III/103/2000</vt:lpstr>
    </vt:vector>
  </TitlesOfParts>
  <Company>Mennica Państwowa S.A.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 III/103/2000</dc:title>
  <dc:subject/>
  <dc:creator>Mennica Państwowa S.A.</dc:creator>
  <cp:keywords/>
  <cp:lastModifiedBy>Artur Wydra</cp:lastModifiedBy>
  <cp:revision>2</cp:revision>
  <cp:lastPrinted>2015-05-06T07:32:00Z</cp:lastPrinted>
  <dcterms:created xsi:type="dcterms:W3CDTF">2024-06-06T20:24:00Z</dcterms:created>
  <dcterms:modified xsi:type="dcterms:W3CDTF">2024-06-06T20:24:00Z</dcterms:modified>
</cp:coreProperties>
</file>