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97B4" w14:textId="209B235B" w:rsidR="00B03DB8" w:rsidRPr="0083169B" w:rsidRDefault="00846E64" w:rsidP="00B03DB8">
      <w:pPr>
        <w:pStyle w:val="ARTartustawynprozporzdzenia"/>
        <w:tabs>
          <w:tab w:val="center" w:pos="4536"/>
          <w:tab w:val="left" w:pos="7830"/>
        </w:tabs>
        <w:ind w:firstLine="0"/>
        <w:jc w:val="center"/>
        <w:rPr>
          <w:rFonts w:ascii="Times New Roman" w:hAnsi="Times New Roman" w:cs="Times New Roman"/>
          <w:b/>
          <w:szCs w:val="24"/>
        </w:rPr>
      </w:pPr>
      <w:bookmarkStart w:id="0" w:name="_Hlk181107439"/>
      <w:r w:rsidRPr="0083169B">
        <w:rPr>
          <w:rFonts w:ascii="Times New Roman" w:hAnsi="Times New Roman" w:cs="Times New Roman"/>
          <w:b/>
          <w:szCs w:val="24"/>
        </w:rPr>
        <w:t>UZASADNIENIE</w:t>
      </w:r>
    </w:p>
    <w:p w14:paraId="37B8D1A7" w14:textId="26AF1FA8" w:rsidR="00F370C0" w:rsidRPr="0083169B" w:rsidRDefault="005E747E" w:rsidP="0029256D">
      <w:pPr>
        <w:pStyle w:val="ARTartustawynprozporzdzenia"/>
        <w:ind w:firstLine="0"/>
        <w:rPr>
          <w:rFonts w:ascii="Times New Roman" w:hAnsi="Times New Roman" w:cs="Times New Roman"/>
          <w:szCs w:val="24"/>
        </w:rPr>
      </w:pPr>
      <w:r w:rsidRPr="0083169B">
        <w:rPr>
          <w:rFonts w:ascii="Times New Roman" w:hAnsi="Times New Roman" w:cs="Times New Roman"/>
          <w:szCs w:val="24"/>
        </w:rPr>
        <w:t>Projektowane rozporządzeni</w:t>
      </w:r>
      <w:r w:rsidR="00B03DB8" w:rsidRPr="0083169B">
        <w:rPr>
          <w:rFonts w:ascii="Times New Roman" w:hAnsi="Times New Roman" w:cs="Times New Roman"/>
          <w:szCs w:val="24"/>
        </w:rPr>
        <w:t>e</w:t>
      </w:r>
      <w:r w:rsidRPr="0083169B">
        <w:rPr>
          <w:rFonts w:ascii="Times New Roman" w:hAnsi="Times New Roman" w:cs="Times New Roman"/>
          <w:szCs w:val="24"/>
        </w:rPr>
        <w:t xml:space="preserve"> </w:t>
      </w:r>
      <w:r w:rsidR="006F1330" w:rsidRPr="0083169B">
        <w:rPr>
          <w:rFonts w:ascii="Times New Roman" w:hAnsi="Times New Roman" w:cs="Times New Roman"/>
          <w:szCs w:val="24"/>
        </w:rPr>
        <w:t>ma na celu</w:t>
      </w:r>
      <w:r w:rsidRPr="0083169B">
        <w:rPr>
          <w:rFonts w:ascii="Times New Roman" w:hAnsi="Times New Roman" w:cs="Times New Roman"/>
          <w:szCs w:val="24"/>
        </w:rPr>
        <w:t xml:space="preserve"> wykonanie upoważnienia zawartego w art. 60 ust. 2 ustawy z dnia 29 lipca 2005 r. o ofercie publicznej i warunkach wprowadzania instrumentów finansowych do zorganizowanego systemu obrotu oraz o spółkach </w:t>
      </w:r>
      <w:r w:rsidR="00F370C0" w:rsidRPr="0083169B">
        <w:rPr>
          <w:rFonts w:ascii="Times New Roman" w:hAnsi="Times New Roman" w:cs="Times New Roman"/>
          <w:szCs w:val="24"/>
        </w:rPr>
        <w:t xml:space="preserve">publicznych </w:t>
      </w:r>
      <w:r w:rsidR="00F0514C" w:rsidRPr="0083169B">
        <w:rPr>
          <w:rFonts w:ascii="Times New Roman" w:hAnsi="Times New Roman" w:cs="Times New Roman"/>
          <w:szCs w:val="24"/>
        </w:rPr>
        <w:br/>
      </w:r>
      <w:r w:rsidR="00F370C0" w:rsidRPr="0083169B">
        <w:rPr>
          <w:rFonts w:ascii="Times New Roman" w:hAnsi="Times New Roman" w:cs="Times New Roman"/>
          <w:szCs w:val="24"/>
        </w:rPr>
        <w:t xml:space="preserve">(Dz. </w:t>
      </w:r>
      <w:r w:rsidRPr="0083169B">
        <w:rPr>
          <w:rFonts w:ascii="Times New Roman" w:hAnsi="Times New Roman" w:cs="Times New Roman"/>
          <w:szCs w:val="24"/>
        </w:rPr>
        <w:t>U.</w:t>
      </w:r>
      <w:r w:rsidR="00F370C0" w:rsidRPr="0083169B">
        <w:rPr>
          <w:rFonts w:ascii="Times New Roman" w:hAnsi="Times New Roman" w:cs="Times New Roman"/>
          <w:szCs w:val="24"/>
        </w:rPr>
        <w:t xml:space="preserve"> z</w:t>
      </w:r>
      <w:r w:rsidR="00E605D7">
        <w:rPr>
          <w:rFonts w:ascii="Times New Roman" w:hAnsi="Times New Roman" w:cs="Times New Roman"/>
          <w:szCs w:val="24"/>
        </w:rPr>
        <w:t xml:space="preserve"> </w:t>
      </w:r>
      <w:r w:rsidR="00F370C0" w:rsidRPr="0083169B">
        <w:rPr>
          <w:rFonts w:ascii="Times New Roman" w:hAnsi="Times New Roman" w:cs="Times New Roman"/>
          <w:szCs w:val="24"/>
        </w:rPr>
        <w:t>20</w:t>
      </w:r>
      <w:r w:rsidR="00E27640" w:rsidRPr="0083169B">
        <w:rPr>
          <w:rFonts w:ascii="Times New Roman" w:hAnsi="Times New Roman" w:cs="Times New Roman"/>
          <w:szCs w:val="24"/>
        </w:rPr>
        <w:t>24</w:t>
      </w:r>
      <w:r w:rsidR="00E605D7">
        <w:rPr>
          <w:rFonts w:ascii="Times New Roman" w:hAnsi="Times New Roman" w:cs="Times New Roman"/>
          <w:szCs w:val="24"/>
        </w:rPr>
        <w:t xml:space="preserve"> </w:t>
      </w:r>
      <w:r w:rsidR="00F370C0" w:rsidRPr="0083169B">
        <w:rPr>
          <w:rFonts w:ascii="Times New Roman" w:hAnsi="Times New Roman" w:cs="Times New Roman"/>
          <w:szCs w:val="24"/>
        </w:rPr>
        <w:t xml:space="preserve">r. poz. </w:t>
      </w:r>
      <w:r w:rsidR="00E27640" w:rsidRPr="0083169B">
        <w:rPr>
          <w:rFonts w:ascii="Times New Roman" w:hAnsi="Times New Roman" w:cs="Times New Roman"/>
          <w:szCs w:val="24"/>
        </w:rPr>
        <w:t>620</w:t>
      </w:r>
      <w:r w:rsidR="0058210C">
        <w:rPr>
          <w:rFonts w:ascii="Times New Roman" w:hAnsi="Times New Roman" w:cs="Times New Roman"/>
          <w:szCs w:val="24"/>
        </w:rPr>
        <w:t xml:space="preserve"> i 1863</w:t>
      </w:r>
      <w:r w:rsidRPr="0083169B">
        <w:rPr>
          <w:rFonts w:ascii="Times New Roman" w:hAnsi="Times New Roman" w:cs="Times New Roman"/>
          <w:szCs w:val="24"/>
        </w:rPr>
        <w:t>), dalej: „ustawa”, które</w:t>
      </w:r>
      <w:r w:rsidR="006F1330" w:rsidRPr="0083169B">
        <w:rPr>
          <w:rFonts w:ascii="Times New Roman" w:hAnsi="Times New Roman" w:cs="Times New Roman"/>
          <w:szCs w:val="24"/>
        </w:rPr>
        <w:t>go dotychczasow</w:t>
      </w:r>
      <w:r w:rsidR="00701CE1" w:rsidRPr="0083169B">
        <w:rPr>
          <w:rFonts w:ascii="Times New Roman" w:hAnsi="Times New Roman" w:cs="Times New Roman"/>
          <w:szCs w:val="24"/>
        </w:rPr>
        <w:t>a</w:t>
      </w:r>
      <w:r w:rsidR="006F1330" w:rsidRPr="0083169B">
        <w:rPr>
          <w:rFonts w:ascii="Times New Roman" w:hAnsi="Times New Roman" w:cs="Times New Roman"/>
          <w:szCs w:val="24"/>
        </w:rPr>
        <w:t xml:space="preserve"> treść zmieniona została przez</w:t>
      </w:r>
      <w:r w:rsidRPr="0083169B">
        <w:rPr>
          <w:rFonts w:ascii="Times New Roman" w:hAnsi="Times New Roman" w:cs="Times New Roman"/>
          <w:szCs w:val="24"/>
        </w:rPr>
        <w:t xml:space="preserve"> art. </w:t>
      </w:r>
      <w:r w:rsidR="003F149B">
        <w:rPr>
          <w:rFonts w:ascii="Times New Roman" w:hAnsi="Times New Roman" w:cs="Times New Roman"/>
          <w:szCs w:val="24"/>
        </w:rPr>
        <w:t>8</w:t>
      </w:r>
      <w:r w:rsidR="001C1FD9" w:rsidRPr="0083169B">
        <w:rPr>
          <w:rFonts w:ascii="Times New Roman" w:hAnsi="Times New Roman" w:cs="Times New Roman"/>
          <w:szCs w:val="24"/>
        </w:rPr>
        <w:t xml:space="preserve"> </w:t>
      </w:r>
      <w:r w:rsidRPr="0083169B">
        <w:rPr>
          <w:rFonts w:ascii="Times New Roman" w:hAnsi="Times New Roman" w:cs="Times New Roman"/>
          <w:szCs w:val="24"/>
        </w:rPr>
        <w:t xml:space="preserve">pkt </w:t>
      </w:r>
      <w:r w:rsidR="003F149B">
        <w:rPr>
          <w:rFonts w:ascii="Times New Roman" w:hAnsi="Times New Roman" w:cs="Times New Roman"/>
          <w:szCs w:val="24"/>
        </w:rPr>
        <w:t>1</w:t>
      </w:r>
      <w:r w:rsidR="001C1FD9" w:rsidRPr="0083169B">
        <w:rPr>
          <w:rFonts w:ascii="Times New Roman" w:hAnsi="Times New Roman" w:cs="Times New Roman"/>
          <w:szCs w:val="24"/>
        </w:rPr>
        <w:t xml:space="preserve"> </w:t>
      </w:r>
      <w:r w:rsidRPr="0083169B">
        <w:rPr>
          <w:rFonts w:ascii="Times New Roman" w:hAnsi="Times New Roman" w:cs="Times New Roman"/>
          <w:szCs w:val="24"/>
        </w:rPr>
        <w:t xml:space="preserve">ustawy z dnia </w:t>
      </w:r>
      <w:r w:rsidR="003F149B">
        <w:rPr>
          <w:rFonts w:ascii="Times New Roman" w:hAnsi="Times New Roman" w:cs="Times New Roman"/>
          <w:szCs w:val="24"/>
        </w:rPr>
        <w:t>6</w:t>
      </w:r>
      <w:r w:rsidRPr="0083169B">
        <w:rPr>
          <w:rFonts w:ascii="Times New Roman" w:hAnsi="Times New Roman" w:cs="Times New Roman"/>
          <w:szCs w:val="24"/>
        </w:rPr>
        <w:t xml:space="preserve"> </w:t>
      </w:r>
      <w:r w:rsidR="003F149B">
        <w:rPr>
          <w:rFonts w:ascii="Times New Roman" w:hAnsi="Times New Roman" w:cs="Times New Roman"/>
          <w:szCs w:val="24"/>
        </w:rPr>
        <w:t>grudnia</w:t>
      </w:r>
      <w:r w:rsidRPr="0083169B">
        <w:rPr>
          <w:rFonts w:ascii="Times New Roman" w:hAnsi="Times New Roman" w:cs="Times New Roman"/>
          <w:szCs w:val="24"/>
        </w:rPr>
        <w:t xml:space="preserve"> </w:t>
      </w:r>
      <w:r w:rsidR="003F149B">
        <w:rPr>
          <w:rFonts w:ascii="Times New Roman" w:hAnsi="Times New Roman" w:cs="Times New Roman"/>
          <w:szCs w:val="24"/>
        </w:rPr>
        <w:t>2024 r.</w:t>
      </w:r>
      <w:r w:rsidRPr="0083169B">
        <w:rPr>
          <w:rFonts w:ascii="Times New Roman" w:hAnsi="Times New Roman" w:cs="Times New Roman"/>
          <w:szCs w:val="24"/>
        </w:rPr>
        <w:t xml:space="preserve"> o </w:t>
      </w:r>
      <w:bookmarkStart w:id="1" w:name="_Hlk169269014"/>
      <w:r w:rsidRPr="0083169B">
        <w:rPr>
          <w:rFonts w:ascii="Times New Roman" w:hAnsi="Times New Roman" w:cs="Times New Roman"/>
          <w:szCs w:val="24"/>
        </w:rPr>
        <w:t xml:space="preserve">zmianie ustawy o </w:t>
      </w:r>
      <w:r w:rsidR="00E27640" w:rsidRPr="0083169B">
        <w:rPr>
          <w:rFonts w:ascii="Times New Roman" w:hAnsi="Times New Roman" w:cs="Times New Roman"/>
          <w:szCs w:val="24"/>
        </w:rPr>
        <w:t>rachunkowości, ustawy o biegłych rewidentach, firmach audytorskich oraz nadzorze publicznym</w:t>
      </w:r>
      <w:r w:rsidRPr="0083169B">
        <w:rPr>
          <w:rFonts w:ascii="Times New Roman" w:hAnsi="Times New Roman" w:cs="Times New Roman"/>
          <w:szCs w:val="24"/>
        </w:rPr>
        <w:t xml:space="preserve"> oraz niektórych innych ustaw</w:t>
      </w:r>
      <w:bookmarkEnd w:id="1"/>
      <w:r w:rsidRPr="0083169B">
        <w:rPr>
          <w:rFonts w:ascii="Times New Roman" w:hAnsi="Times New Roman" w:cs="Times New Roman"/>
          <w:szCs w:val="24"/>
        </w:rPr>
        <w:t xml:space="preserve"> (Dz.</w:t>
      </w:r>
      <w:r w:rsidR="00056E63" w:rsidRPr="0083169B">
        <w:rPr>
          <w:rFonts w:ascii="Times New Roman" w:hAnsi="Times New Roman" w:cs="Times New Roman"/>
          <w:szCs w:val="24"/>
        </w:rPr>
        <w:t xml:space="preserve"> </w:t>
      </w:r>
      <w:r w:rsidRPr="0083169B">
        <w:rPr>
          <w:rFonts w:ascii="Times New Roman" w:hAnsi="Times New Roman" w:cs="Times New Roman"/>
          <w:szCs w:val="24"/>
        </w:rPr>
        <w:t>U. poz.</w:t>
      </w:r>
      <w:r w:rsidR="001C1FD9" w:rsidRPr="0083169B">
        <w:rPr>
          <w:rFonts w:ascii="Times New Roman" w:hAnsi="Times New Roman" w:cs="Times New Roman"/>
          <w:szCs w:val="24"/>
        </w:rPr>
        <w:t xml:space="preserve"> </w:t>
      </w:r>
      <w:r w:rsidR="003F149B">
        <w:rPr>
          <w:rFonts w:ascii="Times New Roman" w:hAnsi="Times New Roman" w:cs="Times New Roman"/>
          <w:szCs w:val="24"/>
        </w:rPr>
        <w:t>1863</w:t>
      </w:r>
      <w:r w:rsidRPr="0083169B">
        <w:rPr>
          <w:rFonts w:ascii="Times New Roman" w:hAnsi="Times New Roman" w:cs="Times New Roman"/>
          <w:szCs w:val="24"/>
        </w:rPr>
        <w:t>).</w:t>
      </w:r>
      <w:r w:rsidR="0058210C">
        <w:rPr>
          <w:rFonts w:ascii="Times New Roman" w:hAnsi="Times New Roman" w:cs="Times New Roman"/>
          <w:szCs w:val="24"/>
        </w:rPr>
        <w:t xml:space="preserve"> </w:t>
      </w:r>
      <w:r w:rsidR="00F370C0" w:rsidRPr="0083169B">
        <w:rPr>
          <w:rFonts w:ascii="Times New Roman" w:hAnsi="Times New Roman" w:cs="Times New Roman"/>
          <w:szCs w:val="24"/>
        </w:rPr>
        <w:t xml:space="preserve">Zmiana treści </w:t>
      </w:r>
      <w:r w:rsidR="00563356" w:rsidRPr="0083169B">
        <w:rPr>
          <w:rFonts w:ascii="Times New Roman" w:hAnsi="Times New Roman" w:cs="Times New Roman"/>
          <w:szCs w:val="24"/>
        </w:rPr>
        <w:t xml:space="preserve">przepisu zawierającego </w:t>
      </w:r>
      <w:r w:rsidR="00F370C0" w:rsidRPr="0083169B">
        <w:rPr>
          <w:rFonts w:ascii="Times New Roman" w:hAnsi="Times New Roman" w:cs="Times New Roman"/>
          <w:szCs w:val="24"/>
        </w:rPr>
        <w:t>upoważnieni</w:t>
      </w:r>
      <w:r w:rsidR="00563356" w:rsidRPr="0083169B">
        <w:rPr>
          <w:rFonts w:ascii="Times New Roman" w:hAnsi="Times New Roman" w:cs="Times New Roman"/>
          <w:szCs w:val="24"/>
        </w:rPr>
        <w:t>e</w:t>
      </w:r>
      <w:r w:rsidR="00F370C0" w:rsidRPr="0083169B">
        <w:rPr>
          <w:rFonts w:ascii="Times New Roman" w:hAnsi="Times New Roman" w:cs="Times New Roman"/>
          <w:szCs w:val="24"/>
        </w:rPr>
        <w:t xml:space="preserve"> </w:t>
      </w:r>
      <w:r w:rsidR="00563356" w:rsidRPr="0083169B">
        <w:rPr>
          <w:rFonts w:ascii="Times New Roman" w:hAnsi="Times New Roman" w:cs="Times New Roman"/>
          <w:szCs w:val="24"/>
        </w:rPr>
        <w:t>do wydania rozporządzenia</w:t>
      </w:r>
      <w:r w:rsidR="00F370C0" w:rsidRPr="0083169B">
        <w:rPr>
          <w:rFonts w:ascii="Times New Roman" w:hAnsi="Times New Roman" w:cs="Times New Roman"/>
          <w:szCs w:val="24"/>
        </w:rPr>
        <w:t xml:space="preserve"> polegała na </w:t>
      </w:r>
      <w:r w:rsidR="00563356" w:rsidRPr="0083169B">
        <w:rPr>
          <w:rFonts w:ascii="Times New Roman" w:hAnsi="Times New Roman" w:cs="Times New Roman"/>
          <w:szCs w:val="24"/>
        </w:rPr>
        <w:t xml:space="preserve">dodaniu w tym przepisie odniesienia </w:t>
      </w:r>
      <w:r w:rsidR="00EC69C4">
        <w:rPr>
          <w:rFonts w:ascii="Times New Roman" w:hAnsi="Times New Roman" w:cs="Times New Roman"/>
          <w:szCs w:val="24"/>
        </w:rPr>
        <w:t xml:space="preserve">w wytycznych </w:t>
      </w:r>
      <w:r w:rsidR="00563356" w:rsidRPr="0083169B">
        <w:rPr>
          <w:rFonts w:ascii="Times New Roman" w:hAnsi="Times New Roman" w:cs="Times New Roman"/>
          <w:szCs w:val="24"/>
        </w:rPr>
        <w:t>do kwestii zrównoważonego rozwoju</w:t>
      </w:r>
      <w:r w:rsidR="00F370C0" w:rsidRPr="0083169B">
        <w:rPr>
          <w:rFonts w:ascii="Times New Roman" w:hAnsi="Times New Roman" w:cs="Times New Roman"/>
          <w:szCs w:val="24"/>
        </w:rPr>
        <w:t>.</w:t>
      </w:r>
    </w:p>
    <w:p w14:paraId="22B2899E" w14:textId="34925A3A" w:rsidR="007E25EE" w:rsidRPr="0083169B" w:rsidRDefault="00D01DC7" w:rsidP="00F75A32">
      <w:pPr>
        <w:pStyle w:val="ARTartustawynprozporzdzenia"/>
        <w:spacing w:before="0"/>
        <w:ind w:firstLine="0"/>
        <w:rPr>
          <w:rFonts w:ascii="Times New Roman" w:hAnsi="Times New Roman" w:cs="Times New Roman"/>
          <w:szCs w:val="24"/>
        </w:rPr>
      </w:pPr>
      <w:r w:rsidRPr="0083169B">
        <w:rPr>
          <w:rFonts w:ascii="Times New Roman" w:hAnsi="Times New Roman" w:cs="Times New Roman"/>
          <w:szCs w:val="24"/>
        </w:rPr>
        <w:t xml:space="preserve">W związku z tym istnieje konieczność zastąpienia nowym aktem prawnym rozporządzenia obowiązującego, tj. </w:t>
      </w:r>
      <w:bookmarkStart w:id="2" w:name="_Hlk181116132"/>
      <w:r w:rsidR="007E25EE" w:rsidRPr="0083169B">
        <w:rPr>
          <w:rFonts w:ascii="Times New Roman" w:hAnsi="Times New Roman" w:cs="Times New Roman"/>
          <w:szCs w:val="24"/>
        </w:rPr>
        <w:t>rozporządzeni</w:t>
      </w:r>
      <w:r w:rsidRPr="0083169B">
        <w:rPr>
          <w:rFonts w:ascii="Times New Roman" w:hAnsi="Times New Roman" w:cs="Times New Roman"/>
          <w:szCs w:val="24"/>
        </w:rPr>
        <w:t>a</w:t>
      </w:r>
      <w:r w:rsidR="007E25EE" w:rsidRPr="0083169B">
        <w:rPr>
          <w:rFonts w:ascii="Times New Roman" w:hAnsi="Times New Roman" w:cs="Times New Roman"/>
          <w:szCs w:val="24"/>
        </w:rPr>
        <w:t xml:space="preserve"> Ministra Finansów </w:t>
      </w:r>
      <w:r w:rsidR="00F75A32" w:rsidRPr="0083169B">
        <w:rPr>
          <w:rFonts w:ascii="Times New Roman" w:hAnsi="Times New Roman" w:cs="Times New Roman"/>
          <w:szCs w:val="24"/>
        </w:rPr>
        <w:t xml:space="preserve">z dnia </w:t>
      </w:r>
      <w:r w:rsidR="00D34C42" w:rsidRPr="0083169B">
        <w:rPr>
          <w:rFonts w:ascii="Times New Roman" w:hAnsi="Times New Roman" w:cs="Times New Roman"/>
          <w:szCs w:val="24"/>
        </w:rPr>
        <w:t>2</w:t>
      </w:r>
      <w:r w:rsidR="00F75A32" w:rsidRPr="0083169B">
        <w:rPr>
          <w:rFonts w:ascii="Times New Roman" w:hAnsi="Times New Roman" w:cs="Times New Roman"/>
          <w:szCs w:val="24"/>
        </w:rPr>
        <w:t xml:space="preserve">9 </w:t>
      </w:r>
      <w:r w:rsidR="00D34C42" w:rsidRPr="0083169B">
        <w:rPr>
          <w:rFonts w:ascii="Times New Roman" w:hAnsi="Times New Roman" w:cs="Times New Roman"/>
          <w:szCs w:val="24"/>
        </w:rPr>
        <w:t>marca</w:t>
      </w:r>
      <w:r w:rsidR="00F75A32" w:rsidRPr="0083169B">
        <w:rPr>
          <w:rFonts w:ascii="Times New Roman" w:hAnsi="Times New Roman" w:cs="Times New Roman"/>
          <w:szCs w:val="24"/>
        </w:rPr>
        <w:t xml:space="preserve"> 20</w:t>
      </w:r>
      <w:r w:rsidR="00D34C42" w:rsidRPr="0083169B">
        <w:rPr>
          <w:rFonts w:ascii="Times New Roman" w:hAnsi="Times New Roman" w:cs="Times New Roman"/>
          <w:szCs w:val="24"/>
        </w:rPr>
        <w:t>18</w:t>
      </w:r>
      <w:r w:rsidR="00E605D7">
        <w:rPr>
          <w:rFonts w:ascii="Times New Roman" w:hAnsi="Times New Roman" w:cs="Times New Roman"/>
          <w:szCs w:val="24"/>
        </w:rPr>
        <w:t xml:space="preserve"> </w:t>
      </w:r>
      <w:r w:rsidR="007E25EE" w:rsidRPr="0083169B">
        <w:rPr>
          <w:rFonts w:ascii="Times New Roman" w:hAnsi="Times New Roman" w:cs="Times New Roman"/>
          <w:szCs w:val="24"/>
        </w:rPr>
        <w:t xml:space="preserve">r. w sprawie informacji bieżących i okresowych przekazywanych przez emitentów papierów wartościowych oraz warunków uznawania za równoważne informacji wymaganych przepisami prawa państwa niebędącego państwem członkowskim </w:t>
      </w:r>
      <w:r w:rsidRPr="0083169B">
        <w:rPr>
          <w:rFonts w:ascii="Times New Roman" w:hAnsi="Times New Roman" w:cs="Times New Roman"/>
          <w:szCs w:val="24"/>
        </w:rPr>
        <w:t>(Dz. U. poz. 757</w:t>
      </w:r>
      <w:bookmarkEnd w:id="2"/>
      <w:r w:rsidRPr="0083169B">
        <w:rPr>
          <w:rFonts w:ascii="Times New Roman" w:hAnsi="Times New Roman" w:cs="Times New Roman"/>
          <w:szCs w:val="24"/>
        </w:rPr>
        <w:t>), zwanego dalej „rozporządzeniem obowiązującym”</w:t>
      </w:r>
      <w:r w:rsidR="00F75A32" w:rsidRPr="0083169B">
        <w:rPr>
          <w:rFonts w:ascii="Times New Roman" w:hAnsi="Times New Roman" w:cs="Times New Roman"/>
          <w:szCs w:val="24"/>
        </w:rPr>
        <w:t>.</w:t>
      </w:r>
    </w:p>
    <w:p w14:paraId="52F0E940" w14:textId="268AB0B5" w:rsidR="00846E64" w:rsidRPr="0083169B" w:rsidRDefault="00E01708" w:rsidP="00F75A32">
      <w:pPr>
        <w:pStyle w:val="ARTartustawynprozporzdzenia"/>
        <w:spacing w:before="0"/>
        <w:ind w:firstLine="0"/>
        <w:rPr>
          <w:rFonts w:ascii="Times New Roman" w:hAnsi="Times New Roman" w:cs="Times New Roman"/>
          <w:szCs w:val="24"/>
        </w:rPr>
      </w:pPr>
      <w:r w:rsidRPr="0083169B">
        <w:rPr>
          <w:rFonts w:ascii="Times New Roman" w:hAnsi="Times New Roman" w:cs="Times New Roman"/>
          <w:szCs w:val="24"/>
        </w:rPr>
        <w:t>Pro</w:t>
      </w:r>
      <w:r w:rsidR="006F1330" w:rsidRPr="0083169B">
        <w:rPr>
          <w:rFonts w:ascii="Times New Roman" w:hAnsi="Times New Roman" w:cs="Times New Roman"/>
          <w:szCs w:val="24"/>
        </w:rPr>
        <w:t xml:space="preserve">jektowane rozporządzenie </w:t>
      </w:r>
      <w:r w:rsidR="00D34C42" w:rsidRPr="0083169B">
        <w:rPr>
          <w:rFonts w:ascii="Times New Roman" w:hAnsi="Times New Roman" w:cs="Times New Roman"/>
          <w:color w:val="000000"/>
          <w:spacing w:val="-2"/>
          <w:szCs w:val="24"/>
        </w:rPr>
        <w:t xml:space="preserve">– tak jak rozporządzenie obowiązujące – </w:t>
      </w:r>
      <w:r w:rsidR="006F1330" w:rsidRPr="0083169B">
        <w:rPr>
          <w:rFonts w:ascii="Times New Roman" w:hAnsi="Times New Roman" w:cs="Times New Roman"/>
          <w:szCs w:val="24"/>
        </w:rPr>
        <w:t>określi</w:t>
      </w:r>
      <w:r w:rsidRPr="0083169B">
        <w:rPr>
          <w:rFonts w:ascii="Times New Roman" w:hAnsi="Times New Roman" w:cs="Times New Roman"/>
          <w:szCs w:val="24"/>
        </w:rPr>
        <w:t>:</w:t>
      </w:r>
    </w:p>
    <w:p w14:paraId="600A03B4" w14:textId="3F73A6A8" w:rsidR="00E01708" w:rsidRPr="0083169B" w:rsidRDefault="00E01708" w:rsidP="00D34201">
      <w:pPr>
        <w:pStyle w:val="PKTpunkt"/>
        <w:ind w:left="284" w:hanging="284"/>
        <w:rPr>
          <w:rFonts w:ascii="Times New Roman" w:hAnsi="Times New Roman" w:cs="Times New Roman"/>
          <w:szCs w:val="24"/>
        </w:rPr>
      </w:pPr>
      <w:r w:rsidRPr="0083169B">
        <w:rPr>
          <w:rFonts w:ascii="Times New Roman" w:hAnsi="Times New Roman" w:cs="Times New Roman"/>
          <w:szCs w:val="24"/>
        </w:rPr>
        <w:t>1)</w:t>
      </w:r>
      <w:r w:rsidRPr="0083169B">
        <w:rPr>
          <w:rFonts w:ascii="Times New Roman" w:hAnsi="Times New Roman" w:cs="Times New Roman"/>
          <w:szCs w:val="24"/>
        </w:rPr>
        <w:tab/>
        <w:t>rodzaj, zakres i formę informacji bieżących i okresowych przekazywanych przez emitentów papierów wartościowych, dla których Rzeczpospolita Polska jest państwem macierzystym, dopuszczonych do obrotu na rynku oficjalnych notowań w rozumieniu przepisów ustawy z dnia 29 lipca 2005 r. o obrocie instrumentami</w:t>
      </w:r>
      <w:r w:rsidR="005C34C8" w:rsidRPr="0083169B">
        <w:rPr>
          <w:rFonts w:ascii="Times New Roman" w:hAnsi="Times New Roman" w:cs="Times New Roman"/>
          <w:szCs w:val="24"/>
        </w:rPr>
        <w:t xml:space="preserve"> finansowymi (Dz. U. </w:t>
      </w:r>
      <w:r w:rsidR="00685C78" w:rsidRPr="0083169B">
        <w:rPr>
          <w:rFonts w:ascii="Times New Roman" w:hAnsi="Times New Roman" w:cs="Times New Roman"/>
          <w:szCs w:val="24"/>
        </w:rPr>
        <w:t>z 20</w:t>
      </w:r>
      <w:r w:rsidR="00C428EB" w:rsidRPr="0083169B">
        <w:rPr>
          <w:rFonts w:ascii="Times New Roman" w:hAnsi="Times New Roman" w:cs="Times New Roman"/>
          <w:szCs w:val="24"/>
        </w:rPr>
        <w:t>24</w:t>
      </w:r>
      <w:r w:rsidR="00685C78" w:rsidRPr="0083169B">
        <w:rPr>
          <w:rFonts w:ascii="Times New Roman" w:hAnsi="Times New Roman" w:cs="Times New Roman"/>
          <w:szCs w:val="24"/>
        </w:rPr>
        <w:t xml:space="preserve"> r. </w:t>
      </w:r>
      <w:hyperlink r:id="rId8" w:anchor="mip" w:history="1">
        <w:r w:rsidR="00685C78" w:rsidRPr="0083169B">
          <w:rPr>
            <w:rFonts w:ascii="Times New Roman" w:hAnsi="Times New Roman" w:cs="Times New Roman"/>
            <w:szCs w:val="24"/>
          </w:rPr>
          <w:t xml:space="preserve">poz. </w:t>
        </w:r>
      </w:hyperlink>
      <w:r w:rsidR="00C428EB" w:rsidRPr="0083169B">
        <w:rPr>
          <w:rFonts w:ascii="Times New Roman" w:hAnsi="Times New Roman" w:cs="Times New Roman"/>
          <w:szCs w:val="24"/>
        </w:rPr>
        <w:t>722</w:t>
      </w:r>
      <w:r w:rsidRPr="0083169B">
        <w:rPr>
          <w:rFonts w:ascii="Times New Roman" w:hAnsi="Times New Roman" w:cs="Times New Roman"/>
          <w:szCs w:val="24"/>
        </w:rPr>
        <w:t>), lub na rynku regulowanym innego niż Rzeczpospolita Polska państwa członkowskiego oraz</w:t>
      </w:r>
    </w:p>
    <w:p w14:paraId="7B3D0C9E" w14:textId="77777777" w:rsidR="00E01708" w:rsidRPr="0083169B" w:rsidRDefault="00E01708" w:rsidP="00D34201">
      <w:pPr>
        <w:pStyle w:val="PKTpunkt"/>
        <w:ind w:left="284" w:hanging="284"/>
        <w:rPr>
          <w:rFonts w:ascii="Times New Roman" w:hAnsi="Times New Roman" w:cs="Times New Roman"/>
          <w:szCs w:val="24"/>
        </w:rPr>
      </w:pPr>
      <w:r w:rsidRPr="0083169B">
        <w:rPr>
          <w:rFonts w:ascii="Times New Roman" w:hAnsi="Times New Roman" w:cs="Times New Roman"/>
          <w:szCs w:val="24"/>
        </w:rPr>
        <w:t>2)</w:t>
      </w:r>
      <w:r w:rsidRPr="0083169B">
        <w:rPr>
          <w:rFonts w:ascii="Times New Roman" w:hAnsi="Times New Roman" w:cs="Times New Roman"/>
          <w:szCs w:val="24"/>
        </w:rPr>
        <w:tab/>
        <w:t>częstotliwość i terminy przekazywania informacji, o których mowa w pkt 1, oraz</w:t>
      </w:r>
    </w:p>
    <w:p w14:paraId="701A0FBE" w14:textId="45D25A1B" w:rsidR="00E01708" w:rsidRPr="0083169B" w:rsidRDefault="00E01708" w:rsidP="00D34201">
      <w:pPr>
        <w:pStyle w:val="PKTpunkt"/>
        <w:ind w:left="284" w:hanging="284"/>
        <w:rPr>
          <w:rFonts w:ascii="Times New Roman" w:hAnsi="Times New Roman" w:cs="Times New Roman"/>
          <w:szCs w:val="24"/>
        </w:rPr>
      </w:pPr>
      <w:r w:rsidRPr="0083169B">
        <w:rPr>
          <w:rFonts w:ascii="Times New Roman" w:hAnsi="Times New Roman" w:cs="Times New Roman"/>
          <w:szCs w:val="24"/>
        </w:rPr>
        <w:t>3)</w:t>
      </w:r>
      <w:r w:rsidRPr="0083169B">
        <w:rPr>
          <w:rFonts w:ascii="Times New Roman" w:hAnsi="Times New Roman" w:cs="Times New Roman"/>
          <w:szCs w:val="24"/>
        </w:rPr>
        <w:tab/>
        <w:t xml:space="preserve">w przypadku emitentów z siedzibą w państwie niebędącym państwem członkowskim, dla których Rzeczpospolita Polska jest państwem macierzystym, których papiery wartościowe są dopuszczone do obrotu na rynku oficjalnych notowań w rozumieniu przepisów ustawy </w:t>
      </w:r>
      <w:r w:rsidR="006F1330" w:rsidRPr="0083169B">
        <w:rPr>
          <w:rFonts w:ascii="Times New Roman" w:hAnsi="Times New Roman" w:cs="Times New Roman"/>
          <w:szCs w:val="24"/>
        </w:rPr>
        <w:t xml:space="preserve">z dnia 29 lipca 2005 r. </w:t>
      </w:r>
      <w:r w:rsidRPr="0083169B">
        <w:rPr>
          <w:rFonts w:ascii="Times New Roman" w:hAnsi="Times New Roman" w:cs="Times New Roman"/>
          <w:szCs w:val="24"/>
        </w:rPr>
        <w:t>o obrocie instrumentami finansowymi – warunki uznawania za równoważne informacji wymaganych przepisami prawa państwa siedziby emitenta do informacji, o których mowa w pkt 1.</w:t>
      </w:r>
    </w:p>
    <w:p w14:paraId="73A14314" w14:textId="2830E71B" w:rsidR="000F73B2" w:rsidRPr="00953C94" w:rsidRDefault="003C1215" w:rsidP="000F73B2">
      <w:pPr>
        <w:pStyle w:val="ARTartustawynprozporzdzenia"/>
        <w:spacing w:before="0"/>
        <w:ind w:firstLine="0"/>
        <w:rPr>
          <w:rFonts w:ascii="Times New Roman" w:hAnsi="Times New Roman" w:cs="Times New Roman"/>
          <w:szCs w:val="24"/>
        </w:rPr>
      </w:pPr>
      <w:bookmarkStart w:id="3" w:name="_Hlk181116052"/>
      <w:r>
        <w:rPr>
          <w:rFonts w:ascii="Times New Roman" w:hAnsi="Times New Roman" w:cs="Times New Roman"/>
          <w:szCs w:val="24"/>
        </w:rPr>
        <w:t xml:space="preserve">W zasadniczej mierze projekt zawiera regulacje tożsame </w:t>
      </w:r>
      <w:r w:rsidR="00F17438">
        <w:rPr>
          <w:rFonts w:ascii="Times New Roman" w:hAnsi="Times New Roman" w:cs="Times New Roman"/>
          <w:szCs w:val="24"/>
        </w:rPr>
        <w:t xml:space="preserve">z przepisami </w:t>
      </w:r>
      <w:r w:rsidR="00F17438" w:rsidRPr="0083169B">
        <w:rPr>
          <w:rFonts w:ascii="Times New Roman" w:hAnsi="Times New Roman" w:cs="Times New Roman"/>
          <w:szCs w:val="24"/>
        </w:rPr>
        <w:t>rozporządzeni</w:t>
      </w:r>
      <w:r w:rsidR="00F17438">
        <w:rPr>
          <w:rFonts w:ascii="Times New Roman" w:hAnsi="Times New Roman" w:cs="Times New Roman"/>
          <w:szCs w:val="24"/>
        </w:rPr>
        <w:t>a</w:t>
      </w:r>
      <w:r w:rsidR="00F17438" w:rsidRPr="0083169B">
        <w:rPr>
          <w:rFonts w:ascii="Times New Roman" w:hAnsi="Times New Roman" w:cs="Times New Roman"/>
          <w:szCs w:val="24"/>
        </w:rPr>
        <w:t xml:space="preserve"> obowiązując</w:t>
      </w:r>
      <w:r w:rsidR="00F17438">
        <w:rPr>
          <w:rFonts w:ascii="Times New Roman" w:hAnsi="Times New Roman" w:cs="Times New Roman"/>
          <w:szCs w:val="24"/>
        </w:rPr>
        <w:t>ego.</w:t>
      </w:r>
      <w:r w:rsidR="009542B6">
        <w:rPr>
          <w:rFonts w:ascii="Times New Roman" w:hAnsi="Times New Roman" w:cs="Times New Roman"/>
          <w:szCs w:val="24"/>
        </w:rPr>
        <w:t xml:space="preserve"> </w:t>
      </w:r>
      <w:r w:rsidR="009542B6" w:rsidRPr="00953C94">
        <w:rPr>
          <w:rFonts w:ascii="Times New Roman" w:hAnsi="Times New Roman" w:cs="Times New Roman"/>
          <w:szCs w:val="24"/>
        </w:rPr>
        <w:t>Niemniej</w:t>
      </w:r>
      <w:r w:rsidR="000F73B2" w:rsidRPr="00953C94">
        <w:rPr>
          <w:rFonts w:ascii="Times New Roman" w:hAnsi="Times New Roman" w:cs="Times New Roman"/>
          <w:szCs w:val="24"/>
        </w:rPr>
        <w:t>,</w:t>
      </w:r>
      <w:r w:rsidR="009542B6" w:rsidRPr="00953C94">
        <w:rPr>
          <w:rFonts w:ascii="Times New Roman" w:hAnsi="Times New Roman" w:cs="Times New Roman"/>
          <w:szCs w:val="24"/>
        </w:rPr>
        <w:t xml:space="preserve"> </w:t>
      </w:r>
      <w:r w:rsidR="009542B6" w:rsidRPr="005122A5">
        <w:rPr>
          <w:rFonts w:ascii="Times New Roman" w:hAnsi="Times New Roman" w:cs="Times New Roman"/>
          <w:szCs w:val="24"/>
        </w:rPr>
        <w:t>w porównaniu do obowiązujących przepisów</w:t>
      </w:r>
      <w:r w:rsidR="000F73B2" w:rsidRPr="005122A5">
        <w:rPr>
          <w:rFonts w:ascii="Times New Roman" w:hAnsi="Times New Roman" w:cs="Times New Roman"/>
          <w:szCs w:val="24"/>
        </w:rPr>
        <w:t>,</w:t>
      </w:r>
      <w:r w:rsidR="009542B6" w:rsidRPr="005122A5">
        <w:rPr>
          <w:rFonts w:ascii="Times New Roman" w:hAnsi="Times New Roman" w:cs="Times New Roman"/>
          <w:szCs w:val="24"/>
        </w:rPr>
        <w:t xml:space="preserve"> </w:t>
      </w:r>
      <w:r w:rsidR="000F73B2" w:rsidRPr="00907EE3">
        <w:rPr>
          <w:rFonts w:ascii="Times New Roman" w:hAnsi="Times New Roman" w:cs="Times New Roman"/>
          <w:szCs w:val="24"/>
        </w:rPr>
        <w:t xml:space="preserve">w projektowanych regulacjach </w:t>
      </w:r>
      <w:r w:rsidR="009542B6" w:rsidRPr="00953C94">
        <w:rPr>
          <w:rFonts w:ascii="Times New Roman" w:hAnsi="Times New Roman" w:cs="Times New Roman"/>
          <w:szCs w:val="24"/>
        </w:rPr>
        <w:t>dokonano zmian redakcyjnych</w:t>
      </w:r>
      <w:r w:rsidR="0043310A" w:rsidRPr="00953C94">
        <w:rPr>
          <w:rFonts w:ascii="Times New Roman" w:hAnsi="Times New Roman" w:cs="Times New Roman"/>
          <w:szCs w:val="24"/>
        </w:rPr>
        <w:t xml:space="preserve"> i</w:t>
      </w:r>
      <w:r w:rsidR="009542B6" w:rsidRPr="00953C94">
        <w:rPr>
          <w:rFonts w:ascii="Times New Roman" w:hAnsi="Times New Roman" w:cs="Times New Roman"/>
          <w:szCs w:val="24"/>
        </w:rPr>
        <w:t xml:space="preserve"> </w:t>
      </w:r>
      <w:r w:rsidR="0043310A" w:rsidRPr="00953C94">
        <w:rPr>
          <w:rFonts w:ascii="Times New Roman" w:hAnsi="Times New Roman" w:cs="Times New Roman"/>
          <w:szCs w:val="24"/>
        </w:rPr>
        <w:t>d</w:t>
      </w:r>
      <w:r w:rsidR="009542B6" w:rsidRPr="00953C94">
        <w:rPr>
          <w:rFonts w:ascii="Times New Roman" w:hAnsi="Times New Roman" w:cs="Times New Roman"/>
          <w:szCs w:val="24"/>
        </w:rPr>
        <w:t>oprecyzow</w:t>
      </w:r>
      <w:r w:rsidR="0043310A" w:rsidRPr="00953C94">
        <w:rPr>
          <w:rFonts w:ascii="Times New Roman" w:hAnsi="Times New Roman" w:cs="Times New Roman"/>
          <w:szCs w:val="24"/>
        </w:rPr>
        <w:t>ujących,</w:t>
      </w:r>
      <w:r w:rsidR="009542B6" w:rsidRPr="00953C94">
        <w:rPr>
          <w:rFonts w:ascii="Times New Roman" w:hAnsi="Times New Roman" w:cs="Times New Roman"/>
          <w:szCs w:val="24"/>
        </w:rPr>
        <w:t xml:space="preserve"> w </w:t>
      </w:r>
      <w:r w:rsidR="0043310A" w:rsidRPr="00953C94">
        <w:rPr>
          <w:rFonts w:ascii="Times New Roman" w:hAnsi="Times New Roman" w:cs="Times New Roman"/>
          <w:szCs w:val="24"/>
        </w:rPr>
        <w:t xml:space="preserve">tym w </w:t>
      </w:r>
      <w:r w:rsidR="009542B6" w:rsidRPr="00953C94">
        <w:rPr>
          <w:rFonts w:ascii="Times New Roman" w:hAnsi="Times New Roman" w:cs="Times New Roman"/>
          <w:szCs w:val="24"/>
        </w:rPr>
        <w:t xml:space="preserve">celu </w:t>
      </w:r>
      <w:r w:rsidR="0043310A" w:rsidRPr="00953C94">
        <w:rPr>
          <w:rFonts w:ascii="Times New Roman" w:hAnsi="Times New Roman" w:cs="Times New Roman"/>
          <w:szCs w:val="24"/>
        </w:rPr>
        <w:t xml:space="preserve">zapewnienia </w:t>
      </w:r>
      <w:r w:rsidR="000F73B2" w:rsidRPr="00953C94">
        <w:rPr>
          <w:rFonts w:ascii="Times New Roman" w:hAnsi="Times New Roman" w:cs="Times New Roman"/>
          <w:szCs w:val="24"/>
        </w:rPr>
        <w:lastRenderedPageBreak/>
        <w:t xml:space="preserve">ich </w:t>
      </w:r>
      <w:r w:rsidR="009542B6" w:rsidRPr="00953C94">
        <w:rPr>
          <w:rFonts w:ascii="Times New Roman" w:hAnsi="Times New Roman" w:cs="Times New Roman"/>
          <w:szCs w:val="24"/>
        </w:rPr>
        <w:t xml:space="preserve">zgodności </w:t>
      </w:r>
      <w:r w:rsidR="00834E98" w:rsidRPr="00953C94">
        <w:rPr>
          <w:rFonts w:ascii="Times New Roman" w:hAnsi="Times New Roman" w:cs="Times New Roman"/>
          <w:szCs w:val="24"/>
        </w:rPr>
        <w:t xml:space="preserve">z brzmieniem </w:t>
      </w:r>
      <w:r w:rsidR="009542B6" w:rsidRPr="00953C94">
        <w:rPr>
          <w:rFonts w:ascii="Times New Roman" w:hAnsi="Times New Roman" w:cs="Times New Roman"/>
          <w:szCs w:val="24"/>
        </w:rPr>
        <w:t>upoważnieni</w:t>
      </w:r>
      <w:r w:rsidR="00834E98" w:rsidRPr="00953C94">
        <w:rPr>
          <w:rFonts w:ascii="Times New Roman" w:hAnsi="Times New Roman" w:cs="Times New Roman"/>
          <w:szCs w:val="24"/>
        </w:rPr>
        <w:t>a</w:t>
      </w:r>
      <w:r w:rsidR="0043310A" w:rsidRPr="00953C94">
        <w:rPr>
          <w:rFonts w:ascii="Times New Roman" w:hAnsi="Times New Roman" w:cs="Times New Roman"/>
          <w:szCs w:val="24"/>
        </w:rPr>
        <w:t xml:space="preserve"> do wydania rozporządzenia.</w:t>
      </w:r>
      <w:r w:rsidR="002B39F0" w:rsidRPr="00953C94">
        <w:rPr>
          <w:rFonts w:ascii="Times New Roman" w:hAnsi="Times New Roman" w:cs="Times New Roman"/>
          <w:szCs w:val="24"/>
        </w:rPr>
        <w:t xml:space="preserve"> </w:t>
      </w:r>
      <w:r w:rsidR="000F73B2" w:rsidRPr="00953C94">
        <w:rPr>
          <w:rFonts w:ascii="Times New Roman" w:hAnsi="Times New Roman" w:cs="Times New Roman"/>
          <w:szCs w:val="24"/>
        </w:rPr>
        <w:t>Dotyczy to propozycji regulacji zawartych w:</w:t>
      </w:r>
    </w:p>
    <w:p w14:paraId="29755C35" w14:textId="77777777" w:rsidR="000B7246" w:rsidRDefault="000F73B2" w:rsidP="004B7C73">
      <w:pPr>
        <w:pStyle w:val="ARTartustawynprozporzdzenia"/>
        <w:spacing w:before="0"/>
        <w:ind w:left="284" w:hanging="284"/>
        <w:rPr>
          <w:rFonts w:ascii="Times New Roman" w:hAnsi="Times New Roman" w:cs="Times New Roman"/>
          <w:szCs w:val="24"/>
        </w:rPr>
      </w:pPr>
      <w:r w:rsidRPr="00953C94">
        <w:rPr>
          <w:rFonts w:ascii="Times New Roman" w:hAnsi="Times New Roman" w:cs="Times New Roman"/>
          <w:szCs w:val="24"/>
        </w:rPr>
        <w:t>1)</w:t>
      </w:r>
      <w:r w:rsidRPr="00953C94">
        <w:rPr>
          <w:rFonts w:ascii="Times New Roman" w:hAnsi="Times New Roman" w:cs="Times New Roman"/>
          <w:szCs w:val="24"/>
        </w:rPr>
        <w:tab/>
      </w:r>
      <w:r w:rsidR="00834E98" w:rsidRPr="00953C94">
        <w:rPr>
          <w:rFonts w:ascii="Times New Roman" w:hAnsi="Times New Roman" w:cs="Times New Roman"/>
          <w:szCs w:val="24"/>
        </w:rPr>
        <w:t>§ 1</w:t>
      </w:r>
      <w:r w:rsidR="000B7246">
        <w:rPr>
          <w:rFonts w:ascii="Times New Roman" w:hAnsi="Times New Roman" w:cs="Times New Roman"/>
          <w:szCs w:val="24"/>
        </w:rPr>
        <w:t>:</w:t>
      </w:r>
    </w:p>
    <w:p w14:paraId="08BF5C02" w14:textId="565BDDC9" w:rsidR="004B7C73" w:rsidRPr="000B7246" w:rsidRDefault="000B7246" w:rsidP="000B7246">
      <w:pPr>
        <w:pStyle w:val="ARTartustawynprozporzdzenia"/>
        <w:spacing w:before="0"/>
        <w:ind w:left="568" w:hanging="284"/>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r>
      <w:r w:rsidR="00834E98" w:rsidRPr="000B7246">
        <w:rPr>
          <w:rFonts w:ascii="Times New Roman" w:hAnsi="Times New Roman" w:cs="Times New Roman"/>
          <w:szCs w:val="24"/>
        </w:rPr>
        <w:t xml:space="preserve">ust. 1 pkt 1 </w:t>
      </w:r>
      <w:r w:rsidR="000F73B2" w:rsidRPr="000B7246">
        <w:rPr>
          <w:rFonts w:ascii="Times New Roman" w:hAnsi="Times New Roman" w:cs="Times New Roman"/>
          <w:szCs w:val="24"/>
        </w:rPr>
        <w:t xml:space="preserve">– </w:t>
      </w:r>
      <w:r w:rsidR="00834E98" w:rsidRPr="000B7246">
        <w:rPr>
          <w:rFonts w:ascii="Times New Roman" w:hAnsi="Times New Roman" w:cs="Times New Roman"/>
          <w:szCs w:val="24"/>
        </w:rPr>
        <w:t>skrót „</w:t>
      </w:r>
      <w:r w:rsidR="00040B11" w:rsidRPr="000B7246">
        <w:rPr>
          <w:rFonts w:ascii="Times New Roman" w:hAnsi="Times New Roman" w:cs="Times New Roman"/>
          <w:szCs w:val="24"/>
        </w:rPr>
        <w:t>ustaw</w:t>
      </w:r>
      <w:r w:rsidR="00F43731" w:rsidRPr="000B7246">
        <w:rPr>
          <w:rFonts w:ascii="Times New Roman" w:hAnsi="Times New Roman" w:cs="Times New Roman"/>
          <w:szCs w:val="24"/>
        </w:rPr>
        <w:t>y</w:t>
      </w:r>
      <w:r w:rsidR="00040B11" w:rsidRPr="000B7246">
        <w:rPr>
          <w:rFonts w:ascii="Times New Roman" w:hAnsi="Times New Roman" w:cs="Times New Roman"/>
          <w:szCs w:val="24"/>
        </w:rPr>
        <w:t xml:space="preserve"> o obrocie instrumentami finansowymi” przeniesiono do regulacji stanowiących tzw. „słowniczek”</w:t>
      </w:r>
      <w:r w:rsidR="009E73AB">
        <w:rPr>
          <w:rFonts w:ascii="Times New Roman" w:hAnsi="Times New Roman" w:cs="Times New Roman"/>
          <w:szCs w:val="24"/>
        </w:rPr>
        <w:t>,</w:t>
      </w:r>
    </w:p>
    <w:p w14:paraId="7CBA47B6" w14:textId="255BBFAF" w:rsidR="00201BB2" w:rsidRPr="00953C94" w:rsidRDefault="000B7246" w:rsidP="000B7246">
      <w:pPr>
        <w:pStyle w:val="ARTartustawynprozporzdzenia"/>
        <w:spacing w:before="0"/>
        <w:ind w:left="568" w:hanging="284"/>
        <w:rPr>
          <w:rFonts w:ascii="Times New Roman" w:hAnsi="Times New Roman" w:cs="Times New Roman"/>
          <w:szCs w:val="24"/>
        </w:rPr>
      </w:pPr>
      <w:r w:rsidRPr="000B7246">
        <w:rPr>
          <w:rFonts w:ascii="Times New Roman" w:hAnsi="Times New Roman" w:cs="Times New Roman"/>
          <w:szCs w:val="24"/>
        </w:rPr>
        <w:t>b)</w:t>
      </w:r>
      <w:r w:rsidRPr="000B7246">
        <w:rPr>
          <w:rFonts w:ascii="Times New Roman" w:hAnsi="Times New Roman" w:cs="Times New Roman"/>
          <w:szCs w:val="24"/>
        </w:rPr>
        <w:tab/>
      </w:r>
      <w:r w:rsidR="00F43731" w:rsidRPr="000B7246">
        <w:rPr>
          <w:rFonts w:ascii="Times New Roman" w:hAnsi="Times New Roman" w:cs="Times New Roman"/>
          <w:szCs w:val="24"/>
        </w:rPr>
        <w:t xml:space="preserve">ust. 2 </w:t>
      </w:r>
      <w:r w:rsidR="000F73B2" w:rsidRPr="000B7246">
        <w:rPr>
          <w:rFonts w:ascii="Times New Roman" w:hAnsi="Times New Roman" w:cs="Times New Roman"/>
          <w:szCs w:val="24"/>
        </w:rPr>
        <w:t xml:space="preserve">– </w:t>
      </w:r>
      <w:r w:rsidR="00444818" w:rsidRPr="000B7246">
        <w:rPr>
          <w:rFonts w:ascii="Times New Roman" w:hAnsi="Times New Roman" w:cs="Times New Roman"/>
          <w:szCs w:val="24"/>
        </w:rPr>
        <w:t>usunięto końcową część zdania</w:t>
      </w:r>
      <w:r w:rsidR="000F73B2" w:rsidRPr="000B7246">
        <w:rPr>
          <w:rFonts w:ascii="Times New Roman" w:hAnsi="Times New Roman" w:cs="Times New Roman"/>
          <w:szCs w:val="24"/>
        </w:rPr>
        <w:t xml:space="preserve"> w brzmieniu „nawet wówczas gdy treść przekazanej informacji poufnej nie zawiera wszystkich informacji wymaganych dla raportu bieżącego, określonych w rozporządzeniu”</w:t>
      </w:r>
      <w:r w:rsidR="00A30D46" w:rsidRPr="000B7246">
        <w:rPr>
          <w:rFonts w:ascii="Times New Roman" w:hAnsi="Times New Roman" w:cs="Times New Roman"/>
          <w:szCs w:val="24"/>
        </w:rPr>
        <w:t>. Doprecyzowanie to jest zbędne z uwagi na to, że przepis jasno wskazuje</w:t>
      </w:r>
      <w:r w:rsidR="00A30D46" w:rsidRPr="0058210C">
        <w:rPr>
          <w:rFonts w:ascii="Times New Roman" w:hAnsi="Times New Roman" w:cs="Times New Roman"/>
          <w:szCs w:val="24"/>
        </w:rPr>
        <w:t>, że p</w:t>
      </w:r>
      <w:r w:rsidR="00A30D46" w:rsidRPr="00953C94">
        <w:rPr>
          <w:rFonts w:ascii="Times New Roman" w:hAnsi="Times New Roman" w:cs="Times New Roman"/>
          <w:szCs w:val="24"/>
        </w:rPr>
        <w:t xml:space="preserve">rzepisów rozporządzenia nie stosuje się </w:t>
      </w:r>
      <w:r w:rsidR="004B7C73" w:rsidRPr="00953C94">
        <w:rPr>
          <w:rFonts w:ascii="Times New Roman" w:hAnsi="Times New Roman" w:cs="Times New Roman"/>
          <w:szCs w:val="24"/>
        </w:rPr>
        <w:t xml:space="preserve">po spełnieniu określonych w tym przepisie przesłanek, tj. </w:t>
      </w:r>
      <w:r w:rsidR="00A30D46" w:rsidRPr="00953C94">
        <w:rPr>
          <w:rFonts w:ascii="Times New Roman" w:hAnsi="Times New Roman" w:cs="Times New Roman"/>
          <w:szCs w:val="24"/>
        </w:rPr>
        <w:t xml:space="preserve">gdy informacja </w:t>
      </w:r>
      <w:r w:rsidR="004B7C73" w:rsidRPr="00953C94">
        <w:rPr>
          <w:rFonts w:ascii="Times New Roman" w:hAnsi="Times New Roman" w:cs="Times New Roman"/>
          <w:szCs w:val="24"/>
        </w:rPr>
        <w:t>bieżąca</w:t>
      </w:r>
      <w:r w:rsidR="00A30D46" w:rsidRPr="00953C94">
        <w:rPr>
          <w:rFonts w:ascii="Times New Roman" w:hAnsi="Times New Roman" w:cs="Times New Roman"/>
          <w:szCs w:val="24"/>
        </w:rPr>
        <w:t xml:space="preserve"> została już przekazana do publicznej wiadomości jako informacja poufna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 z 12.06.2014, str. 1, z późn. zm.)</w:t>
      </w:r>
      <w:r w:rsidR="004B7C73" w:rsidRPr="00953C94">
        <w:rPr>
          <w:rFonts w:ascii="Times New Roman" w:hAnsi="Times New Roman" w:cs="Times New Roman"/>
          <w:szCs w:val="24"/>
        </w:rPr>
        <w:t>;</w:t>
      </w:r>
    </w:p>
    <w:p w14:paraId="1C256464" w14:textId="22E3FB2F" w:rsidR="00201BB2" w:rsidRPr="00953C94" w:rsidRDefault="00BC5A20" w:rsidP="00201BB2">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2</w:t>
      </w:r>
      <w:r w:rsidR="00201BB2" w:rsidRPr="00953C94">
        <w:rPr>
          <w:rFonts w:ascii="Times New Roman" w:hAnsi="Times New Roman" w:cs="Times New Roman"/>
          <w:szCs w:val="24"/>
        </w:rPr>
        <w:t>)</w:t>
      </w:r>
      <w:r w:rsidR="00201BB2" w:rsidRPr="0058210C">
        <w:rPr>
          <w:rFonts w:ascii="Times New Roman" w:hAnsi="Times New Roman" w:cs="Times New Roman"/>
          <w:szCs w:val="24"/>
        </w:rPr>
        <w:tab/>
      </w:r>
      <w:r w:rsidR="002B39F0" w:rsidRPr="00953C94">
        <w:rPr>
          <w:rFonts w:ascii="Times New Roman" w:hAnsi="Times New Roman" w:cs="Times New Roman"/>
          <w:szCs w:val="24"/>
        </w:rPr>
        <w:t xml:space="preserve">§ </w:t>
      </w:r>
      <w:r w:rsidR="00834E98" w:rsidRPr="00953C94">
        <w:rPr>
          <w:rFonts w:ascii="Times New Roman" w:hAnsi="Times New Roman" w:cs="Times New Roman"/>
          <w:szCs w:val="24"/>
        </w:rPr>
        <w:t>2</w:t>
      </w:r>
      <w:r w:rsidR="002B39F0" w:rsidRPr="00953C94">
        <w:rPr>
          <w:rFonts w:ascii="Times New Roman" w:hAnsi="Times New Roman" w:cs="Times New Roman"/>
          <w:szCs w:val="24"/>
        </w:rPr>
        <w:t xml:space="preserve"> ust. 1</w:t>
      </w:r>
      <w:r w:rsidR="00201BB2" w:rsidRPr="00953C94">
        <w:rPr>
          <w:rFonts w:ascii="Times New Roman" w:hAnsi="Times New Roman" w:cs="Times New Roman"/>
          <w:szCs w:val="24"/>
        </w:rPr>
        <w:t>:</w:t>
      </w:r>
    </w:p>
    <w:p w14:paraId="351F3391" w14:textId="36349A8D" w:rsidR="00201BB2" w:rsidRPr="00953C94" w:rsidRDefault="00201BB2" w:rsidP="0040700A">
      <w:pPr>
        <w:pStyle w:val="ARTartustawynprozporzdzenia"/>
        <w:spacing w:before="0"/>
        <w:ind w:left="568" w:hanging="284"/>
        <w:rPr>
          <w:rFonts w:ascii="Times New Roman" w:hAnsi="Times New Roman" w:cs="Times New Roman"/>
          <w:szCs w:val="24"/>
        </w:rPr>
      </w:pPr>
      <w:r w:rsidRPr="00953C94">
        <w:rPr>
          <w:rFonts w:ascii="Times New Roman" w:hAnsi="Times New Roman" w:cs="Times New Roman"/>
          <w:szCs w:val="24"/>
        </w:rPr>
        <w:t>a)</w:t>
      </w:r>
      <w:r w:rsidRPr="00953C94">
        <w:rPr>
          <w:rFonts w:ascii="Times New Roman" w:hAnsi="Times New Roman" w:cs="Times New Roman"/>
          <w:szCs w:val="24"/>
        </w:rPr>
        <w:tab/>
      </w:r>
      <w:r w:rsidR="00C11535" w:rsidRPr="00953C94">
        <w:rPr>
          <w:rFonts w:ascii="Times New Roman" w:hAnsi="Times New Roman" w:cs="Times New Roman"/>
          <w:szCs w:val="24"/>
        </w:rPr>
        <w:t xml:space="preserve">uszeregowano w kolejności alfabetycznej przepisy stanowiące słowniczek </w:t>
      </w:r>
      <w:r w:rsidR="004853D6" w:rsidRPr="00953C94">
        <w:rPr>
          <w:rFonts w:ascii="Times New Roman" w:hAnsi="Times New Roman" w:cs="Times New Roman"/>
          <w:szCs w:val="24"/>
        </w:rPr>
        <w:t xml:space="preserve">w celu zapewnienia lepszej przejrzystości </w:t>
      </w:r>
      <w:r w:rsidR="00C11535" w:rsidRPr="00953C94">
        <w:rPr>
          <w:rFonts w:ascii="Times New Roman" w:hAnsi="Times New Roman" w:cs="Times New Roman"/>
          <w:szCs w:val="24"/>
        </w:rPr>
        <w:t xml:space="preserve">tych </w:t>
      </w:r>
      <w:r w:rsidR="004853D6" w:rsidRPr="00953C94">
        <w:rPr>
          <w:rFonts w:ascii="Times New Roman" w:hAnsi="Times New Roman" w:cs="Times New Roman"/>
          <w:szCs w:val="24"/>
        </w:rPr>
        <w:t>przepisów</w:t>
      </w:r>
      <w:r w:rsidRPr="00953C94">
        <w:rPr>
          <w:rFonts w:ascii="Times New Roman" w:hAnsi="Times New Roman" w:cs="Times New Roman"/>
          <w:szCs w:val="24"/>
        </w:rPr>
        <w:t>,</w:t>
      </w:r>
    </w:p>
    <w:p w14:paraId="4B88BF60" w14:textId="41A0A4ED" w:rsidR="00101D34" w:rsidRDefault="00C4323C" w:rsidP="0040700A">
      <w:pPr>
        <w:pStyle w:val="ARTartustawynprozporzdzenia"/>
        <w:spacing w:before="0"/>
        <w:ind w:left="568" w:hanging="284"/>
        <w:rPr>
          <w:rFonts w:ascii="Times New Roman" w:hAnsi="Times New Roman" w:cs="Times New Roman"/>
          <w:szCs w:val="24"/>
        </w:rPr>
      </w:pPr>
      <w:r w:rsidRPr="00953C94">
        <w:rPr>
          <w:rFonts w:ascii="Times New Roman" w:hAnsi="Times New Roman" w:cs="Times New Roman"/>
          <w:szCs w:val="24"/>
        </w:rPr>
        <w:t>b</w:t>
      </w:r>
      <w:r w:rsidR="00101D34" w:rsidRPr="00953C94">
        <w:rPr>
          <w:rFonts w:ascii="Times New Roman" w:hAnsi="Times New Roman" w:cs="Times New Roman"/>
          <w:szCs w:val="24"/>
        </w:rPr>
        <w:t>)</w:t>
      </w:r>
      <w:r w:rsidRPr="00953C94">
        <w:rPr>
          <w:rFonts w:ascii="Times New Roman" w:hAnsi="Times New Roman" w:cs="Times New Roman"/>
          <w:szCs w:val="24"/>
        </w:rPr>
        <w:tab/>
      </w:r>
      <w:r w:rsidR="00101D34" w:rsidRPr="00953C94">
        <w:rPr>
          <w:rFonts w:ascii="Times New Roman" w:hAnsi="Times New Roman" w:cs="Times New Roman"/>
          <w:szCs w:val="24"/>
        </w:rPr>
        <w:t>pkt 2 i 6 (</w:t>
      </w:r>
      <w:r w:rsidRPr="00953C94">
        <w:rPr>
          <w:rFonts w:ascii="Times New Roman" w:hAnsi="Times New Roman" w:cs="Times New Roman"/>
          <w:i/>
          <w:iCs/>
          <w:szCs w:val="24"/>
        </w:rPr>
        <w:t xml:space="preserve">odpowiednio </w:t>
      </w:r>
      <w:r w:rsidR="00101D34" w:rsidRPr="00953C94">
        <w:rPr>
          <w:rFonts w:ascii="Times New Roman" w:hAnsi="Times New Roman" w:cs="Times New Roman"/>
          <w:i/>
          <w:iCs/>
          <w:szCs w:val="24"/>
        </w:rPr>
        <w:t xml:space="preserve">pkt </w:t>
      </w:r>
      <w:r w:rsidRPr="00953C94">
        <w:rPr>
          <w:rFonts w:ascii="Times New Roman" w:hAnsi="Times New Roman" w:cs="Times New Roman"/>
          <w:i/>
          <w:iCs/>
          <w:szCs w:val="24"/>
        </w:rPr>
        <w:t>19 i 16</w:t>
      </w:r>
      <w:r w:rsidR="00101D34" w:rsidRPr="00953C94">
        <w:rPr>
          <w:rFonts w:ascii="Times New Roman" w:hAnsi="Times New Roman" w:cs="Times New Roman"/>
          <w:i/>
          <w:iCs/>
          <w:szCs w:val="24"/>
        </w:rPr>
        <w:t xml:space="preserve"> w rozporządzeniu obowiązującym</w:t>
      </w:r>
      <w:r w:rsidR="00101D34" w:rsidRPr="00953C94">
        <w:rPr>
          <w:rFonts w:ascii="Times New Roman" w:hAnsi="Times New Roman" w:cs="Times New Roman"/>
          <w:szCs w:val="24"/>
        </w:rPr>
        <w:t>)</w:t>
      </w:r>
      <w:r w:rsidRPr="00953C94">
        <w:rPr>
          <w:rFonts w:ascii="Times New Roman" w:hAnsi="Times New Roman" w:cs="Times New Roman"/>
          <w:szCs w:val="24"/>
        </w:rPr>
        <w:t xml:space="preserve"> – doprecyzowano definicje odpowiednio „alternatywnej spółki inwestycyjnej” i „funduszu” poprzez odesłanie do właściwych przepisów ustawy z dnia 27 maja 2004 r. o funduszach inwestycyjnych i zarządzaniu alternatywnymi funduszami inwestycyjnymi (Dz. U. z 2024 r. poz. 1034, z późn. zm.),</w:t>
      </w:r>
    </w:p>
    <w:p w14:paraId="663C55AC" w14:textId="305311A7" w:rsidR="00484003" w:rsidRPr="00484003" w:rsidRDefault="00CA111A" w:rsidP="0040700A">
      <w:pPr>
        <w:pStyle w:val="ARTartustawynprozporzdzenia"/>
        <w:spacing w:before="0"/>
        <w:ind w:left="568" w:hanging="284"/>
        <w:rPr>
          <w:rFonts w:ascii="Times New Roman" w:hAnsi="Times New Roman" w:cs="Times New Roman"/>
          <w:i/>
          <w:iCs/>
          <w:szCs w:val="24"/>
        </w:rPr>
      </w:pPr>
      <w:r>
        <w:rPr>
          <w:rFonts w:ascii="Times New Roman" w:hAnsi="Times New Roman" w:cs="Times New Roman"/>
          <w:szCs w:val="24"/>
        </w:rPr>
        <w:t>c)</w:t>
      </w:r>
      <w:r>
        <w:rPr>
          <w:rFonts w:ascii="Times New Roman" w:hAnsi="Times New Roman" w:cs="Times New Roman"/>
          <w:szCs w:val="24"/>
        </w:rPr>
        <w:tab/>
        <w:t xml:space="preserve">pkt 3 </w:t>
      </w:r>
      <w:r w:rsidRPr="00953C94">
        <w:rPr>
          <w:rFonts w:ascii="Times New Roman" w:hAnsi="Times New Roman" w:cs="Times New Roman"/>
          <w:szCs w:val="24"/>
        </w:rPr>
        <w:t>(</w:t>
      </w:r>
      <w:r>
        <w:rPr>
          <w:rFonts w:ascii="Times New Roman" w:hAnsi="Times New Roman" w:cs="Times New Roman"/>
          <w:szCs w:val="24"/>
        </w:rPr>
        <w:t xml:space="preserve">pkt 37 </w:t>
      </w:r>
      <w:r w:rsidRPr="00953C94">
        <w:rPr>
          <w:rFonts w:ascii="Times New Roman" w:hAnsi="Times New Roman" w:cs="Times New Roman"/>
          <w:i/>
          <w:iCs/>
          <w:szCs w:val="24"/>
        </w:rPr>
        <w:t>w rozporządzeniu obowiązującym</w:t>
      </w:r>
      <w:r w:rsidRPr="00953C94">
        <w:rPr>
          <w:rFonts w:ascii="Times New Roman" w:hAnsi="Times New Roman" w:cs="Times New Roman"/>
          <w:szCs w:val="24"/>
        </w:rPr>
        <w:t>) –</w:t>
      </w:r>
      <w:r>
        <w:rPr>
          <w:rFonts w:ascii="Times New Roman" w:hAnsi="Times New Roman" w:cs="Times New Roman"/>
          <w:szCs w:val="24"/>
        </w:rPr>
        <w:t xml:space="preserve"> przeniesiono do dodanego ust. 3 w § 2</w:t>
      </w:r>
      <w:r w:rsidRPr="00CA111A">
        <w:rPr>
          <w:rFonts w:ascii="Times New Roman" w:hAnsi="Times New Roman" w:cs="Times New Roman"/>
          <w:szCs w:val="24"/>
        </w:rPr>
        <w:t xml:space="preserve"> </w:t>
      </w:r>
      <w:r>
        <w:rPr>
          <w:rFonts w:ascii="Times New Roman" w:hAnsi="Times New Roman" w:cs="Times New Roman"/>
          <w:szCs w:val="24"/>
        </w:rPr>
        <w:t xml:space="preserve">część </w:t>
      </w:r>
      <w:r w:rsidR="00484003">
        <w:rPr>
          <w:rFonts w:ascii="Times New Roman" w:hAnsi="Times New Roman" w:cs="Times New Roman"/>
          <w:szCs w:val="24"/>
        </w:rPr>
        <w:t xml:space="preserve">dotychczasowej </w:t>
      </w:r>
      <w:r>
        <w:rPr>
          <w:rFonts w:ascii="Times New Roman" w:hAnsi="Times New Roman" w:cs="Times New Roman"/>
          <w:szCs w:val="24"/>
        </w:rPr>
        <w:t xml:space="preserve">regulacji w brzmieniu </w:t>
      </w:r>
      <w:r w:rsidRPr="00484003">
        <w:rPr>
          <w:rFonts w:ascii="Times New Roman" w:hAnsi="Times New Roman" w:cs="Times New Roman"/>
          <w:i/>
          <w:iCs/>
          <w:szCs w:val="24"/>
        </w:rPr>
        <w:t>„kwotę korekty z tytułu zmian zasad (polityki) rachunkowości i korekty błędu odnosi się na kapitał własny i wykazuje jako niepodzielony zysk lub niepokrytą stratę z lat ubiegłych; dane porównywalne sporządza się z uwzględnieniem zasad zapewnienia porównywalności, określonych w MSR;”</w:t>
      </w:r>
      <w:r w:rsidR="00484003" w:rsidRPr="00484003">
        <w:rPr>
          <w:rFonts w:ascii="Times New Roman" w:hAnsi="Times New Roman" w:cs="Times New Roman"/>
          <w:szCs w:val="24"/>
        </w:rPr>
        <w:t xml:space="preserve">, mając na uwadze </w:t>
      </w:r>
      <w:r w:rsidR="00484003">
        <w:rPr>
          <w:rFonts w:ascii="Times New Roman" w:hAnsi="Times New Roman" w:cs="Times New Roman"/>
          <w:szCs w:val="24"/>
        </w:rPr>
        <w:t xml:space="preserve">jej </w:t>
      </w:r>
      <w:r w:rsidR="00484003" w:rsidRPr="00484003">
        <w:rPr>
          <w:rFonts w:ascii="Times New Roman" w:hAnsi="Times New Roman" w:cs="Times New Roman"/>
          <w:szCs w:val="24"/>
        </w:rPr>
        <w:t>normatywny i merytoryczny charakter</w:t>
      </w:r>
      <w:r w:rsidR="00484003">
        <w:rPr>
          <w:rFonts w:ascii="Times New Roman" w:hAnsi="Times New Roman" w:cs="Times New Roman"/>
          <w:szCs w:val="24"/>
        </w:rPr>
        <w:t>,</w:t>
      </w:r>
      <w:r w:rsidR="00484003" w:rsidRPr="00484003">
        <w:rPr>
          <w:rFonts w:ascii="Times New Roman" w:hAnsi="Times New Roman" w:cs="Times New Roman"/>
          <w:szCs w:val="24"/>
        </w:rPr>
        <w:t xml:space="preserve"> </w:t>
      </w:r>
      <w:r w:rsidR="00484003">
        <w:rPr>
          <w:rFonts w:ascii="Times New Roman" w:hAnsi="Times New Roman" w:cs="Times New Roman"/>
          <w:szCs w:val="24"/>
        </w:rPr>
        <w:t>oraz że regulacja ta nie jest elementem definicji „danych porównywalnych”,</w:t>
      </w:r>
    </w:p>
    <w:p w14:paraId="080FC06D" w14:textId="38EF1196" w:rsidR="004044CF" w:rsidRPr="00953C94" w:rsidRDefault="00BC5A20" w:rsidP="0040700A">
      <w:pPr>
        <w:pStyle w:val="ARTartustawynprozporzdzenia"/>
        <w:spacing w:before="0"/>
        <w:ind w:left="568" w:hanging="284"/>
        <w:rPr>
          <w:rFonts w:ascii="Times New Roman" w:hAnsi="Times New Roman" w:cs="Times New Roman"/>
          <w:szCs w:val="24"/>
        </w:rPr>
      </w:pPr>
      <w:r>
        <w:rPr>
          <w:rFonts w:ascii="Times New Roman" w:hAnsi="Times New Roman" w:cs="Times New Roman"/>
          <w:szCs w:val="24"/>
        </w:rPr>
        <w:t>d</w:t>
      </w:r>
      <w:r w:rsidR="00C4323C" w:rsidRPr="00953C94">
        <w:rPr>
          <w:rFonts w:ascii="Times New Roman" w:hAnsi="Times New Roman" w:cs="Times New Roman"/>
          <w:szCs w:val="24"/>
        </w:rPr>
        <w:t>)</w:t>
      </w:r>
      <w:r w:rsidR="00C4323C" w:rsidRPr="00953C94">
        <w:rPr>
          <w:rFonts w:ascii="Times New Roman" w:hAnsi="Times New Roman" w:cs="Times New Roman"/>
          <w:szCs w:val="24"/>
        </w:rPr>
        <w:tab/>
        <w:t>pkt 1</w:t>
      </w:r>
      <w:r w:rsidR="000B7246">
        <w:rPr>
          <w:rFonts w:ascii="Times New Roman" w:hAnsi="Times New Roman" w:cs="Times New Roman"/>
          <w:szCs w:val="24"/>
        </w:rPr>
        <w:t>3</w:t>
      </w:r>
      <w:r w:rsidR="00C4323C" w:rsidRPr="00953C94">
        <w:rPr>
          <w:rFonts w:ascii="Times New Roman" w:hAnsi="Times New Roman" w:cs="Times New Roman"/>
          <w:szCs w:val="24"/>
        </w:rPr>
        <w:t xml:space="preserve"> lit. b</w:t>
      </w:r>
      <w:r w:rsidR="00F476B7" w:rsidRPr="00953C94">
        <w:rPr>
          <w:rFonts w:ascii="Times New Roman" w:hAnsi="Times New Roman" w:cs="Times New Roman"/>
          <w:szCs w:val="24"/>
        </w:rPr>
        <w:t xml:space="preserve"> (</w:t>
      </w:r>
      <w:r w:rsidR="00F476B7" w:rsidRPr="00953C94">
        <w:rPr>
          <w:rFonts w:ascii="Times New Roman" w:hAnsi="Times New Roman" w:cs="Times New Roman"/>
          <w:i/>
          <w:iCs/>
          <w:szCs w:val="24"/>
        </w:rPr>
        <w:t>pkt 21 lit. b w rozporządzeniu obowiązującym</w:t>
      </w:r>
      <w:r w:rsidR="00F476B7" w:rsidRPr="00953C94">
        <w:rPr>
          <w:rFonts w:ascii="Times New Roman" w:hAnsi="Times New Roman" w:cs="Times New Roman"/>
          <w:szCs w:val="24"/>
        </w:rPr>
        <w:t>)</w:t>
      </w:r>
      <w:r w:rsidR="00C4323C" w:rsidRPr="00953C94">
        <w:rPr>
          <w:rFonts w:ascii="Times New Roman" w:hAnsi="Times New Roman" w:cs="Times New Roman"/>
          <w:szCs w:val="24"/>
        </w:rPr>
        <w:t xml:space="preserve"> – zmodyfikowano </w:t>
      </w:r>
      <w:r w:rsidR="004044CF" w:rsidRPr="00953C94">
        <w:rPr>
          <w:rFonts w:ascii="Times New Roman" w:hAnsi="Times New Roman" w:cs="Times New Roman"/>
          <w:szCs w:val="24"/>
        </w:rPr>
        <w:t xml:space="preserve">definicję „jednostki samorządu terytorialnego” przez zmianę brzmienia </w:t>
      </w:r>
      <w:r w:rsidR="00F476B7" w:rsidRPr="00953C94">
        <w:rPr>
          <w:rFonts w:ascii="Times New Roman" w:hAnsi="Times New Roman" w:cs="Times New Roman"/>
          <w:szCs w:val="24"/>
        </w:rPr>
        <w:t xml:space="preserve">jej </w:t>
      </w:r>
      <w:r w:rsidR="004044CF" w:rsidRPr="00953C94">
        <w:rPr>
          <w:rFonts w:ascii="Times New Roman" w:hAnsi="Times New Roman" w:cs="Times New Roman"/>
          <w:szCs w:val="24"/>
        </w:rPr>
        <w:t>części odnoszące</w:t>
      </w:r>
      <w:r w:rsidR="00F476B7" w:rsidRPr="00953C94">
        <w:rPr>
          <w:rFonts w:ascii="Times New Roman" w:hAnsi="Times New Roman" w:cs="Times New Roman"/>
          <w:szCs w:val="24"/>
        </w:rPr>
        <w:t>j</w:t>
      </w:r>
      <w:r w:rsidR="004044CF" w:rsidRPr="00953C94">
        <w:rPr>
          <w:rFonts w:ascii="Times New Roman" w:hAnsi="Times New Roman" w:cs="Times New Roman"/>
          <w:szCs w:val="24"/>
        </w:rPr>
        <w:t xml:space="preserve"> się </w:t>
      </w:r>
      <w:r w:rsidR="004044CF" w:rsidRPr="00953C94">
        <w:rPr>
          <w:rFonts w:ascii="Times New Roman" w:hAnsi="Times New Roman" w:cs="Times New Roman"/>
          <w:szCs w:val="24"/>
        </w:rPr>
        <w:lastRenderedPageBreak/>
        <w:t>do zagranicznej jednostki terytorialnej</w:t>
      </w:r>
      <w:r w:rsidR="006B28B2" w:rsidRPr="00953C94">
        <w:rPr>
          <w:rFonts w:ascii="Times New Roman" w:hAnsi="Times New Roman" w:cs="Times New Roman"/>
          <w:szCs w:val="24"/>
        </w:rPr>
        <w:t>,</w:t>
      </w:r>
      <w:r w:rsidR="004044CF" w:rsidRPr="00953C94">
        <w:rPr>
          <w:rFonts w:ascii="Times New Roman" w:hAnsi="Times New Roman" w:cs="Times New Roman"/>
          <w:szCs w:val="24"/>
        </w:rPr>
        <w:t xml:space="preserve"> mając na uwadze, że jednostka taka </w:t>
      </w:r>
      <w:r w:rsidR="006B28B2" w:rsidRPr="00953C94">
        <w:rPr>
          <w:rFonts w:ascii="Times New Roman" w:hAnsi="Times New Roman" w:cs="Times New Roman"/>
          <w:szCs w:val="24"/>
        </w:rPr>
        <w:t>nie musi być jednostką samorządu terytorialnego,</w:t>
      </w:r>
    </w:p>
    <w:p w14:paraId="052AE438" w14:textId="15B16230" w:rsidR="00BB7E7F" w:rsidRPr="00953C94" w:rsidRDefault="00BC5A20" w:rsidP="0040700A">
      <w:pPr>
        <w:pStyle w:val="ARTartustawynprozporzdzenia"/>
        <w:spacing w:before="0"/>
        <w:ind w:left="568" w:hanging="284"/>
        <w:rPr>
          <w:rFonts w:ascii="Times New Roman" w:hAnsi="Times New Roman" w:cs="Times New Roman"/>
          <w:szCs w:val="24"/>
        </w:rPr>
      </w:pPr>
      <w:r>
        <w:rPr>
          <w:rFonts w:ascii="Times New Roman" w:hAnsi="Times New Roman" w:cs="Times New Roman"/>
          <w:szCs w:val="24"/>
        </w:rPr>
        <w:t>e</w:t>
      </w:r>
      <w:r w:rsidR="00F476B7" w:rsidRPr="00953C94">
        <w:rPr>
          <w:rFonts w:ascii="Times New Roman" w:hAnsi="Times New Roman" w:cs="Times New Roman"/>
          <w:szCs w:val="24"/>
        </w:rPr>
        <w:t>)</w:t>
      </w:r>
      <w:r w:rsidR="00F476B7" w:rsidRPr="00953C94">
        <w:rPr>
          <w:rFonts w:ascii="Times New Roman" w:hAnsi="Times New Roman" w:cs="Times New Roman"/>
          <w:szCs w:val="24"/>
        </w:rPr>
        <w:tab/>
        <w:t xml:space="preserve">pkt </w:t>
      </w:r>
      <w:r w:rsidR="000B7246">
        <w:rPr>
          <w:rFonts w:ascii="Times New Roman" w:hAnsi="Times New Roman" w:cs="Times New Roman"/>
          <w:szCs w:val="24"/>
        </w:rPr>
        <w:t>19</w:t>
      </w:r>
      <w:r w:rsidR="00F476B7" w:rsidRPr="00953C94">
        <w:rPr>
          <w:rFonts w:ascii="Times New Roman" w:hAnsi="Times New Roman" w:cs="Times New Roman"/>
          <w:szCs w:val="24"/>
        </w:rPr>
        <w:t xml:space="preserve"> lit. b (</w:t>
      </w:r>
      <w:r w:rsidR="00F476B7" w:rsidRPr="00953C94">
        <w:rPr>
          <w:rFonts w:ascii="Times New Roman" w:hAnsi="Times New Roman" w:cs="Times New Roman"/>
          <w:i/>
          <w:iCs/>
          <w:szCs w:val="24"/>
        </w:rPr>
        <w:t>pkt 31 lit. b w rozporządzeniu obowiązującym</w:t>
      </w:r>
      <w:r w:rsidR="00F476B7" w:rsidRPr="00953C94">
        <w:rPr>
          <w:rFonts w:ascii="Times New Roman" w:hAnsi="Times New Roman" w:cs="Times New Roman"/>
          <w:szCs w:val="24"/>
        </w:rPr>
        <w:t>)</w:t>
      </w:r>
      <w:r w:rsidR="00BB7E7F" w:rsidRPr="00953C94">
        <w:rPr>
          <w:rFonts w:ascii="Times New Roman" w:hAnsi="Times New Roman" w:cs="Times New Roman"/>
          <w:szCs w:val="24"/>
        </w:rPr>
        <w:t xml:space="preserve"> – zmodyfikowano definicję „osoby nadzorującej” przez zmianę brzmienia jej części odnoszącej się do przypadku emitenta będącego jednostką samorządu terytorialnego, mając na uwadze, że w przypadku </w:t>
      </w:r>
      <w:r w:rsidR="00C74F2F" w:rsidRPr="00953C94">
        <w:rPr>
          <w:rFonts w:ascii="Times New Roman" w:hAnsi="Times New Roman" w:cs="Times New Roman"/>
          <w:szCs w:val="24"/>
        </w:rPr>
        <w:t xml:space="preserve">emitenta będącego zagraniczną jednostką terytorialną nie musi występować rada, w związku z czym </w:t>
      </w:r>
      <w:r w:rsidR="00C44671" w:rsidRPr="00953C94">
        <w:rPr>
          <w:rFonts w:ascii="Times New Roman" w:hAnsi="Times New Roman" w:cs="Times New Roman"/>
          <w:szCs w:val="24"/>
        </w:rPr>
        <w:t>rozszerzono zakres tego przepisu o „inny organ stanowiący jednostki”,</w:t>
      </w:r>
    </w:p>
    <w:p w14:paraId="3E19BB0D" w14:textId="7FA856C6" w:rsidR="00101D34" w:rsidRPr="00953C94" w:rsidRDefault="00BC5A20" w:rsidP="0040700A">
      <w:pPr>
        <w:pStyle w:val="ARTartustawynprozporzdzenia"/>
        <w:spacing w:before="0"/>
        <w:ind w:left="568" w:hanging="284"/>
        <w:rPr>
          <w:rFonts w:ascii="Times New Roman" w:hAnsi="Times New Roman" w:cs="Times New Roman"/>
          <w:szCs w:val="24"/>
        </w:rPr>
      </w:pPr>
      <w:r>
        <w:rPr>
          <w:rFonts w:ascii="Times New Roman" w:hAnsi="Times New Roman" w:cs="Times New Roman"/>
          <w:szCs w:val="24"/>
        </w:rPr>
        <w:t>f</w:t>
      </w:r>
      <w:r w:rsidR="000B27BF" w:rsidRPr="00953C94">
        <w:rPr>
          <w:rFonts w:ascii="Times New Roman" w:hAnsi="Times New Roman" w:cs="Times New Roman"/>
          <w:szCs w:val="24"/>
        </w:rPr>
        <w:t>)</w:t>
      </w:r>
      <w:r w:rsidR="000B27BF" w:rsidRPr="00953C94">
        <w:rPr>
          <w:rFonts w:ascii="Times New Roman" w:hAnsi="Times New Roman" w:cs="Times New Roman"/>
          <w:szCs w:val="24"/>
        </w:rPr>
        <w:tab/>
        <w:t>pkt 2</w:t>
      </w:r>
      <w:r w:rsidR="000B7246">
        <w:rPr>
          <w:rFonts w:ascii="Times New Roman" w:hAnsi="Times New Roman" w:cs="Times New Roman"/>
          <w:szCs w:val="24"/>
        </w:rPr>
        <w:t>1</w:t>
      </w:r>
      <w:r w:rsidR="000B27BF" w:rsidRPr="00953C94">
        <w:rPr>
          <w:rFonts w:ascii="Times New Roman" w:hAnsi="Times New Roman" w:cs="Times New Roman"/>
          <w:szCs w:val="24"/>
        </w:rPr>
        <w:t xml:space="preserve"> (</w:t>
      </w:r>
      <w:r w:rsidR="000B27BF" w:rsidRPr="00953C94">
        <w:rPr>
          <w:rFonts w:ascii="Times New Roman" w:hAnsi="Times New Roman" w:cs="Times New Roman"/>
          <w:i/>
          <w:iCs/>
          <w:szCs w:val="24"/>
        </w:rPr>
        <w:t>pkt 32 w rozporządzeniu obowiązującym</w:t>
      </w:r>
      <w:r w:rsidR="000B27BF" w:rsidRPr="00953C94">
        <w:rPr>
          <w:rFonts w:ascii="Times New Roman" w:hAnsi="Times New Roman" w:cs="Times New Roman"/>
          <w:szCs w:val="24"/>
        </w:rPr>
        <w:t xml:space="preserve">) – zmodyfikowano definicję „podmiotu powiązanego” odsyłając do jego rozumienia w MSR, </w:t>
      </w:r>
      <w:r w:rsidR="00E605D7" w:rsidRPr="00953C94">
        <w:rPr>
          <w:rFonts w:ascii="Times New Roman" w:hAnsi="Times New Roman" w:cs="Times New Roman"/>
          <w:szCs w:val="24"/>
        </w:rPr>
        <w:t xml:space="preserve">które to pojęcie zostało zdefiniowane w </w:t>
      </w:r>
      <w:r w:rsidR="000B27BF" w:rsidRPr="00953C94">
        <w:rPr>
          <w:rFonts w:ascii="Times New Roman" w:hAnsi="Times New Roman" w:cs="Times New Roman"/>
          <w:szCs w:val="24"/>
        </w:rPr>
        <w:t>słowniczku</w:t>
      </w:r>
      <w:r w:rsidR="00E605D7" w:rsidRPr="00953C94">
        <w:rPr>
          <w:rFonts w:ascii="Times New Roman" w:hAnsi="Times New Roman" w:cs="Times New Roman"/>
          <w:szCs w:val="24"/>
        </w:rPr>
        <w:t xml:space="preserve"> i jest wielokrotnie używane w projektowanym rozporządzeniu, w związku z czym brak jest potrzeby odesłania do rozporządzenia (WE) nr 1606/2002 Parlamentu Europejskiego Rady z dnia 19 lipca 2002 r. w sprawie stosowania międzynarodowych standardów rachunkowości (Dz. Urz. WE L 243 z 11.09.2002, str. 1, z późn. zm. – Dz. Urz. UE Polskie wydanie specjalne rozdz. 13, t. 29, str. 609, z późn. zm.</w:t>
      </w:r>
      <w:r w:rsidR="001A781D" w:rsidRPr="00953C94">
        <w:rPr>
          <w:rFonts w:ascii="Times New Roman" w:hAnsi="Times New Roman" w:cs="Times New Roman"/>
          <w:szCs w:val="24"/>
        </w:rPr>
        <w:t>),</w:t>
      </w:r>
    </w:p>
    <w:p w14:paraId="31CDB18B" w14:textId="5D7ECB1E" w:rsidR="0040700A" w:rsidRPr="00953C94" w:rsidRDefault="00BC5A20" w:rsidP="0040700A">
      <w:pPr>
        <w:pStyle w:val="ARTartustawynprozporzdzenia"/>
        <w:spacing w:before="0"/>
        <w:ind w:left="568" w:hanging="284"/>
        <w:rPr>
          <w:rFonts w:ascii="Times New Roman" w:hAnsi="Times New Roman" w:cs="Times New Roman"/>
          <w:szCs w:val="24"/>
        </w:rPr>
      </w:pPr>
      <w:r>
        <w:rPr>
          <w:rFonts w:ascii="Times New Roman" w:hAnsi="Times New Roman" w:cs="Times New Roman"/>
          <w:szCs w:val="24"/>
        </w:rPr>
        <w:t>g</w:t>
      </w:r>
      <w:r w:rsidR="0040700A" w:rsidRPr="00953C94">
        <w:rPr>
          <w:rFonts w:ascii="Times New Roman" w:hAnsi="Times New Roman" w:cs="Times New Roman"/>
          <w:szCs w:val="24"/>
        </w:rPr>
        <w:t>)</w:t>
      </w:r>
      <w:r w:rsidR="0040700A" w:rsidRPr="00953C94">
        <w:rPr>
          <w:rFonts w:ascii="Times New Roman" w:hAnsi="Times New Roman" w:cs="Times New Roman"/>
          <w:szCs w:val="24"/>
        </w:rPr>
        <w:tab/>
        <w:t>pkt 2</w:t>
      </w:r>
      <w:r w:rsidR="00484003">
        <w:rPr>
          <w:rFonts w:ascii="Times New Roman" w:hAnsi="Times New Roman" w:cs="Times New Roman"/>
          <w:szCs w:val="24"/>
        </w:rPr>
        <w:t>7</w:t>
      </w:r>
      <w:r w:rsidR="0040700A" w:rsidRPr="00953C94">
        <w:rPr>
          <w:rFonts w:ascii="Times New Roman" w:hAnsi="Times New Roman" w:cs="Times New Roman"/>
          <w:szCs w:val="24"/>
        </w:rPr>
        <w:t>–3</w:t>
      </w:r>
      <w:r w:rsidR="00484003">
        <w:rPr>
          <w:rFonts w:ascii="Times New Roman" w:hAnsi="Times New Roman" w:cs="Times New Roman"/>
          <w:szCs w:val="24"/>
        </w:rPr>
        <w:t>1</w:t>
      </w:r>
      <w:r w:rsidR="0040700A" w:rsidRPr="00953C94">
        <w:rPr>
          <w:rFonts w:ascii="Times New Roman" w:hAnsi="Times New Roman" w:cs="Times New Roman"/>
          <w:szCs w:val="24"/>
        </w:rPr>
        <w:t xml:space="preserve"> (</w:t>
      </w:r>
      <w:r w:rsidR="0040700A" w:rsidRPr="00953C94">
        <w:rPr>
          <w:rFonts w:ascii="Times New Roman" w:hAnsi="Times New Roman" w:cs="Times New Roman"/>
          <w:i/>
          <w:iCs/>
          <w:szCs w:val="24"/>
        </w:rPr>
        <w:t>pkt 7, 9, 8, 10 i 11 w rozporządzeniu obowiązującym</w:t>
      </w:r>
      <w:r w:rsidR="0040700A" w:rsidRPr="00953C94">
        <w:rPr>
          <w:rFonts w:ascii="Times New Roman" w:hAnsi="Times New Roman" w:cs="Times New Roman"/>
          <w:szCs w:val="24"/>
        </w:rPr>
        <w:t>) – w definicjach rozporządzeń wskazanych w tych przepisach zamieniono odesłania do konkretnych aktów prawnych na odesłania do przepisów wydanych na podstawie określonych przepisów ustawowych, tj. zastosowano tzw. „odesłania dynamiczne”, o których mowa w § 159 rozporządzenia Prezesa Rady Ministrów z dnia 20 czerwca 2002 r. w sprawie „Zasad techniki prawodawczej” (Dz. U. z 2016 r. poz. 283), co przyczyni się do większej stabilności regulacji z uwagi na brak konieczności zmiany projektowanego rozporządzenia w sytuacji wydania nowego rozporządzenia definiowanego w słowniczku</w:t>
      </w:r>
      <w:r w:rsidR="009E73AB">
        <w:rPr>
          <w:rFonts w:ascii="Times New Roman" w:hAnsi="Times New Roman" w:cs="Times New Roman"/>
          <w:szCs w:val="24"/>
        </w:rPr>
        <w:t>,</w:t>
      </w:r>
    </w:p>
    <w:p w14:paraId="61012045" w14:textId="013F6DCE" w:rsidR="00B04FA8" w:rsidRPr="00953C94" w:rsidRDefault="0040700A" w:rsidP="0040700A">
      <w:pPr>
        <w:pStyle w:val="ARTartustawynprozporzdzenia"/>
        <w:spacing w:before="0"/>
        <w:ind w:left="568" w:hanging="284"/>
        <w:rPr>
          <w:rFonts w:ascii="Times New Roman" w:hAnsi="Times New Roman" w:cs="Times New Roman"/>
          <w:szCs w:val="24"/>
        </w:rPr>
      </w:pPr>
      <w:r w:rsidRPr="00953C94">
        <w:rPr>
          <w:rFonts w:ascii="Times New Roman" w:hAnsi="Times New Roman" w:cs="Times New Roman"/>
          <w:szCs w:val="24"/>
        </w:rPr>
        <w:t>h</w:t>
      </w:r>
      <w:r w:rsidR="00AC1A87" w:rsidRPr="00953C94">
        <w:rPr>
          <w:rFonts w:ascii="Times New Roman" w:hAnsi="Times New Roman" w:cs="Times New Roman"/>
          <w:szCs w:val="24"/>
        </w:rPr>
        <w:t>)</w:t>
      </w:r>
      <w:r w:rsidR="00AC1A87" w:rsidRPr="00953C94">
        <w:rPr>
          <w:rFonts w:ascii="Times New Roman" w:hAnsi="Times New Roman" w:cs="Times New Roman"/>
          <w:szCs w:val="24"/>
        </w:rPr>
        <w:tab/>
        <w:t>pkt 3</w:t>
      </w:r>
      <w:r w:rsidR="00484003">
        <w:rPr>
          <w:rFonts w:ascii="Times New Roman" w:hAnsi="Times New Roman" w:cs="Times New Roman"/>
          <w:szCs w:val="24"/>
        </w:rPr>
        <w:t>2</w:t>
      </w:r>
      <w:r w:rsidR="00AC1A87" w:rsidRPr="00E628B8">
        <w:rPr>
          <w:rFonts w:ascii="Times New Roman" w:hAnsi="Times New Roman" w:cs="Times New Roman"/>
          <w:szCs w:val="24"/>
        </w:rPr>
        <w:t xml:space="preserve"> i 3</w:t>
      </w:r>
      <w:r w:rsidR="00484003">
        <w:rPr>
          <w:rFonts w:ascii="Times New Roman" w:hAnsi="Times New Roman" w:cs="Times New Roman"/>
          <w:szCs w:val="24"/>
        </w:rPr>
        <w:t>3</w:t>
      </w:r>
      <w:r w:rsidR="00AC1A87" w:rsidRPr="00E628B8">
        <w:rPr>
          <w:rFonts w:ascii="Times New Roman" w:hAnsi="Times New Roman" w:cs="Times New Roman"/>
          <w:szCs w:val="24"/>
        </w:rPr>
        <w:t xml:space="preserve"> (</w:t>
      </w:r>
      <w:r w:rsidR="00AC1A87" w:rsidRPr="00E628B8">
        <w:rPr>
          <w:rFonts w:ascii="Times New Roman" w:hAnsi="Times New Roman" w:cs="Times New Roman"/>
          <w:i/>
          <w:iCs/>
          <w:szCs w:val="24"/>
        </w:rPr>
        <w:t>pkt 36 i 3</w:t>
      </w:r>
      <w:r w:rsidR="00E628B8">
        <w:rPr>
          <w:rFonts w:ascii="Times New Roman" w:hAnsi="Times New Roman" w:cs="Times New Roman"/>
          <w:i/>
          <w:iCs/>
          <w:szCs w:val="24"/>
        </w:rPr>
        <w:t>5</w:t>
      </w:r>
      <w:r w:rsidR="00AC1A87" w:rsidRPr="00E628B8">
        <w:rPr>
          <w:rFonts w:ascii="Times New Roman" w:hAnsi="Times New Roman" w:cs="Times New Roman"/>
          <w:i/>
          <w:iCs/>
          <w:szCs w:val="24"/>
        </w:rPr>
        <w:t xml:space="preserve"> w rozporządzeniu obowiązującym</w:t>
      </w:r>
      <w:r w:rsidR="00AC1A87" w:rsidRPr="00E628B8">
        <w:rPr>
          <w:rFonts w:ascii="Times New Roman" w:hAnsi="Times New Roman" w:cs="Times New Roman"/>
          <w:szCs w:val="24"/>
        </w:rPr>
        <w:t>) – doprecyzowano odesłanie do wymogów jakie należy stosować przy ujawnianiu danych przez wskazanie rozdziałów 4 i 5</w:t>
      </w:r>
      <w:r w:rsidR="00953C94">
        <w:rPr>
          <w:rFonts w:ascii="Times New Roman" w:hAnsi="Times New Roman" w:cs="Times New Roman"/>
          <w:szCs w:val="24"/>
        </w:rPr>
        <w:t xml:space="preserve"> projektowanego rozporządzenia</w:t>
      </w:r>
      <w:r w:rsidR="009E73AB">
        <w:rPr>
          <w:rFonts w:ascii="Times New Roman" w:hAnsi="Times New Roman" w:cs="Times New Roman"/>
          <w:szCs w:val="24"/>
        </w:rPr>
        <w:t>,</w:t>
      </w:r>
    </w:p>
    <w:p w14:paraId="3929E7D8" w14:textId="79642564" w:rsidR="000B7246" w:rsidRDefault="00C26458" w:rsidP="0040700A">
      <w:pPr>
        <w:pStyle w:val="ARTartustawynprozporzdzenia"/>
        <w:spacing w:before="0"/>
        <w:ind w:left="568" w:hanging="284"/>
        <w:rPr>
          <w:rFonts w:ascii="Times New Roman" w:hAnsi="Times New Roman" w:cs="Times New Roman"/>
          <w:szCs w:val="24"/>
        </w:rPr>
      </w:pPr>
      <w:r w:rsidRPr="00953C94">
        <w:rPr>
          <w:rFonts w:ascii="Times New Roman" w:hAnsi="Times New Roman" w:cs="Times New Roman"/>
          <w:szCs w:val="24"/>
        </w:rPr>
        <w:t>i)</w:t>
      </w:r>
      <w:r w:rsidRPr="00953C94">
        <w:rPr>
          <w:rFonts w:ascii="Times New Roman" w:hAnsi="Times New Roman" w:cs="Times New Roman"/>
          <w:szCs w:val="24"/>
        </w:rPr>
        <w:tab/>
        <w:t>pkt 44 – dodano skrót ustawy z dnia 15 stycznia 2015 r. o obligacjach (Dz. U. z 2024 r. poz. 708)</w:t>
      </w:r>
      <w:r w:rsidR="009E73AB">
        <w:rPr>
          <w:rFonts w:ascii="Times New Roman" w:hAnsi="Times New Roman" w:cs="Times New Roman"/>
          <w:szCs w:val="24"/>
        </w:rPr>
        <w:t>,</w:t>
      </w:r>
    </w:p>
    <w:p w14:paraId="734C4644" w14:textId="538881E9" w:rsidR="00C26458" w:rsidRPr="00953C94" w:rsidRDefault="00BC5A20" w:rsidP="0040700A">
      <w:pPr>
        <w:pStyle w:val="ARTartustawynprozporzdzenia"/>
        <w:spacing w:before="0"/>
        <w:ind w:left="568" w:hanging="284"/>
        <w:rPr>
          <w:rFonts w:ascii="Times New Roman" w:hAnsi="Times New Roman" w:cs="Times New Roman"/>
          <w:szCs w:val="24"/>
        </w:rPr>
      </w:pPr>
      <w:r>
        <w:rPr>
          <w:rFonts w:ascii="Times New Roman" w:hAnsi="Times New Roman" w:cs="Times New Roman"/>
          <w:szCs w:val="24"/>
        </w:rPr>
        <w:t>j</w:t>
      </w:r>
      <w:r w:rsidR="000B7246" w:rsidRPr="00953C94">
        <w:rPr>
          <w:rFonts w:ascii="Times New Roman" w:hAnsi="Times New Roman" w:cs="Times New Roman"/>
          <w:szCs w:val="24"/>
        </w:rPr>
        <w:t>)</w:t>
      </w:r>
      <w:r w:rsidR="000B7246" w:rsidRPr="00953C94">
        <w:rPr>
          <w:rFonts w:ascii="Times New Roman" w:hAnsi="Times New Roman" w:cs="Times New Roman"/>
          <w:szCs w:val="24"/>
        </w:rPr>
        <w:tab/>
      </w:r>
      <w:r w:rsidR="000B7246">
        <w:rPr>
          <w:rFonts w:ascii="Times New Roman" w:hAnsi="Times New Roman" w:cs="Times New Roman"/>
          <w:szCs w:val="24"/>
        </w:rPr>
        <w:t>usunięto definicje „</w:t>
      </w:r>
      <w:r w:rsidR="000B7246" w:rsidRPr="00953C94">
        <w:rPr>
          <w:rFonts w:ascii="Times New Roman" w:hAnsi="Times New Roman" w:cs="Times New Roman"/>
          <w:szCs w:val="24"/>
        </w:rPr>
        <w:t>raportu bieżącego</w:t>
      </w:r>
      <w:r w:rsidR="000B7246">
        <w:rPr>
          <w:rFonts w:ascii="Times New Roman" w:hAnsi="Times New Roman" w:cs="Times New Roman"/>
          <w:szCs w:val="24"/>
        </w:rPr>
        <w:t>”</w:t>
      </w:r>
      <w:r w:rsidR="000B7246" w:rsidRPr="00953C94">
        <w:rPr>
          <w:rFonts w:ascii="Times New Roman" w:hAnsi="Times New Roman" w:cs="Times New Roman"/>
          <w:szCs w:val="24"/>
        </w:rPr>
        <w:t xml:space="preserve"> </w:t>
      </w:r>
      <w:r w:rsidR="000B7246">
        <w:rPr>
          <w:rFonts w:ascii="Times New Roman" w:hAnsi="Times New Roman" w:cs="Times New Roman"/>
          <w:szCs w:val="24"/>
        </w:rPr>
        <w:t>„</w:t>
      </w:r>
      <w:r w:rsidR="000B7246" w:rsidRPr="00953C94">
        <w:rPr>
          <w:rFonts w:ascii="Times New Roman" w:hAnsi="Times New Roman" w:cs="Times New Roman"/>
          <w:szCs w:val="24"/>
        </w:rPr>
        <w:t>raportu okresowego</w:t>
      </w:r>
      <w:r w:rsidR="000B7246">
        <w:rPr>
          <w:rFonts w:ascii="Times New Roman" w:hAnsi="Times New Roman" w:cs="Times New Roman"/>
          <w:szCs w:val="24"/>
        </w:rPr>
        <w:t>” i „kapitałów własnych emitenta”</w:t>
      </w:r>
      <w:r w:rsidR="000B7246" w:rsidRPr="00953C94">
        <w:rPr>
          <w:rFonts w:ascii="Times New Roman" w:hAnsi="Times New Roman" w:cs="Times New Roman"/>
          <w:szCs w:val="24"/>
        </w:rPr>
        <w:t xml:space="preserve"> </w:t>
      </w:r>
      <w:r>
        <w:rPr>
          <w:rFonts w:ascii="Times New Roman" w:hAnsi="Times New Roman" w:cs="Times New Roman"/>
          <w:szCs w:val="24"/>
        </w:rPr>
        <w:t>(</w:t>
      </w:r>
      <w:r w:rsidR="00484003" w:rsidRPr="00953C94">
        <w:rPr>
          <w:rFonts w:ascii="Times New Roman" w:hAnsi="Times New Roman" w:cs="Times New Roman"/>
          <w:i/>
          <w:iCs/>
          <w:szCs w:val="24"/>
        </w:rPr>
        <w:t>pkt 33</w:t>
      </w:r>
      <w:r>
        <w:rPr>
          <w:rFonts w:ascii="Times New Roman" w:hAnsi="Times New Roman" w:cs="Times New Roman"/>
          <w:i/>
          <w:iCs/>
          <w:szCs w:val="24"/>
        </w:rPr>
        <w:t>,</w:t>
      </w:r>
      <w:r w:rsidR="00484003" w:rsidRPr="00953C94">
        <w:rPr>
          <w:rFonts w:ascii="Times New Roman" w:hAnsi="Times New Roman" w:cs="Times New Roman"/>
          <w:i/>
          <w:iCs/>
          <w:szCs w:val="24"/>
        </w:rPr>
        <w:t xml:space="preserve"> 34 </w:t>
      </w:r>
      <w:r>
        <w:rPr>
          <w:rFonts w:ascii="Times New Roman" w:hAnsi="Times New Roman" w:cs="Times New Roman"/>
          <w:i/>
          <w:iCs/>
          <w:szCs w:val="24"/>
        </w:rPr>
        <w:t xml:space="preserve">i 39 </w:t>
      </w:r>
      <w:r w:rsidR="00484003" w:rsidRPr="00953C94">
        <w:rPr>
          <w:rFonts w:ascii="Times New Roman" w:hAnsi="Times New Roman" w:cs="Times New Roman"/>
          <w:i/>
          <w:iCs/>
          <w:szCs w:val="24"/>
        </w:rPr>
        <w:t>w rozporządzeniu obowiązującym</w:t>
      </w:r>
      <w:r w:rsidR="00484003" w:rsidRPr="00953C94">
        <w:rPr>
          <w:rFonts w:ascii="Times New Roman" w:hAnsi="Times New Roman" w:cs="Times New Roman"/>
          <w:szCs w:val="24"/>
        </w:rPr>
        <w:t xml:space="preserve">) – </w:t>
      </w:r>
      <w:r w:rsidR="000B7246">
        <w:rPr>
          <w:rFonts w:ascii="Times New Roman" w:hAnsi="Times New Roman" w:cs="Times New Roman"/>
          <w:szCs w:val="24"/>
        </w:rPr>
        <w:t>jako niepotrzebnych do właściwego odczytania przepisów rozporządzenia</w:t>
      </w:r>
      <w:r w:rsidR="009E73AB">
        <w:rPr>
          <w:rFonts w:ascii="Times New Roman" w:hAnsi="Times New Roman" w:cs="Times New Roman"/>
          <w:szCs w:val="24"/>
        </w:rPr>
        <w:t>;</w:t>
      </w:r>
    </w:p>
    <w:p w14:paraId="7E555130" w14:textId="5ECA729A" w:rsidR="000B15F8" w:rsidRPr="00953C94" w:rsidRDefault="00BC5A20" w:rsidP="00AC7BB5">
      <w:pPr>
        <w:pStyle w:val="PKTpunkt"/>
        <w:rPr>
          <w:rFonts w:ascii="Times New Roman" w:hAnsi="Times New Roman" w:cs="Times New Roman"/>
          <w:szCs w:val="24"/>
        </w:rPr>
      </w:pPr>
      <w:r>
        <w:rPr>
          <w:rFonts w:ascii="Times New Roman" w:hAnsi="Times New Roman" w:cs="Times New Roman"/>
          <w:szCs w:val="24"/>
        </w:rPr>
        <w:lastRenderedPageBreak/>
        <w:t>3</w:t>
      </w:r>
      <w:r w:rsidR="00AE32D7" w:rsidRPr="00953C94">
        <w:rPr>
          <w:rFonts w:ascii="Times New Roman" w:hAnsi="Times New Roman" w:cs="Times New Roman"/>
          <w:szCs w:val="24"/>
        </w:rPr>
        <w:t>)</w:t>
      </w:r>
      <w:r w:rsidR="00AE32D7" w:rsidRPr="00953C94">
        <w:rPr>
          <w:rFonts w:ascii="Times New Roman" w:hAnsi="Times New Roman" w:cs="Times New Roman"/>
          <w:szCs w:val="24"/>
        </w:rPr>
        <w:tab/>
      </w:r>
      <w:r w:rsidR="000133AB" w:rsidRPr="00953C94">
        <w:rPr>
          <w:rFonts w:ascii="Times New Roman" w:hAnsi="Times New Roman" w:cs="Times New Roman"/>
          <w:szCs w:val="24"/>
        </w:rPr>
        <w:t>§ 5 pkt 5 (</w:t>
      </w:r>
      <w:r w:rsidR="000133AB" w:rsidRPr="00953C94">
        <w:rPr>
          <w:rFonts w:ascii="Times New Roman" w:hAnsi="Times New Roman" w:cs="Times New Roman"/>
          <w:i/>
          <w:iCs/>
          <w:szCs w:val="24"/>
        </w:rPr>
        <w:t>pkt 4 w rozporządzeniu obowiązującym</w:t>
      </w:r>
      <w:r w:rsidR="000133AB" w:rsidRPr="00953C94">
        <w:rPr>
          <w:rFonts w:ascii="Times New Roman" w:hAnsi="Times New Roman" w:cs="Times New Roman"/>
          <w:szCs w:val="24"/>
        </w:rPr>
        <w:t xml:space="preserve">) – </w:t>
      </w:r>
      <w:r w:rsidR="000B15F8" w:rsidRPr="00953C94">
        <w:rPr>
          <w:rFonts w:ascii="Times New Roman" w:hAnsi="Times New Roman" w:cs="Times New Roman"/>
          <w:szCs w:val="24"/>
        </w:rPr>
        <w:t>doprecyzowano, że emitent przekazuje informację „o decyzji osoby zarządzającej lub nadzorującej o rezygnacji z ubiegania się o wybór w następnej kadencji” zamiast „informacji o powzięciu informacji” o takiej decyzji</w:t>
      </w:r>
      <w:r w:rsidR="00AC7BB5" w:rsidRPr="00953C94">
        <w:rPr>
          <w:rFonts w:ascii="Times New Roman" w:hAnsi="Times New Roman" w:cs="Times New Roman"/>
          <w:szCs w:val="24"/>
        </w:rPr>
        <w:t xml:space="preserve">, mając na uwadze, że warunkiem koniecznym do </w:t>
      </w:r>
      <w:r w:rsidR="000B15F8" w:rsidRPr="00953C94">
        <w:rPr>
          <w:rFonts w:ascii="Times New Roman" w:hAnsi="Times New Roman" w:cs="Times New Roman"/>
          <w:szCs w:val="24"/>
        </w:rPr>
        <w:t xml:space="preserve">rezygnacji jest </w:t>
      </w:r>
      <w:r w:rsidR="00C26458" w:rsidRPr="00953C94">
        <w:rPr>
          <w:rFonts w:ascii="Times New Roman" w:hAnsi="Times New Roman" w:cs="Times New Roman"/>
          <w:szCs w:val="24"/>
        </w:rPr>
        <w:t>podjęcie decyzji w tym zakresie</w:t>
      </w:r>
      <w:r w:rsidR="00C7761D" w:rsidRPr="00953C94">
        <w:rPr>
          <w:rFonts w:ascii="Times New Roman" w:hAnsi="Times New Roman" w:cs="Times New Roman"/>
          <w:szCs w:val="24"/>
        </w:rPr>
        <w:t>;</w:t>
      </w:r>
    </w:p>
    <w:p w14:paraId="7F76F2C4" w14:textId="3FD0D12E" w:rsidR="000B15F8" w:rsidRPr="00953C94" w:rsidRDefault="00BC5A20" w:rsidP="00C7761D">
      <w:pPr>
        <w:pStyle w:val="PKTpunkt"/>
        <w:rPr>
          <w:rFonts w:ascii="Times New Roman" w:hAnsi="Times New Roman" w:cs="Times New Roman"/>
          <w:szCs w:val="24"/>
        </w:rPr>
      </w:pPr>
      <w:r>
        <w:rPr>
          <w:rFonts w:ascii="Times New Roman" w:hAnsi="Times New Roman" w:cs="Times New Roman"/>
          <w:szCs w:val="24"/>
        </w:rPr>
        <w:t>4</w:t>
      </w:r>
      <w:r w:rsidR="00C7761D" w:rsidRPr="00953C94">
        <w:rPr>
          <w:rFonts w:ascii="Times New Roman" w:hAnsi="Times New Roman" w:cs="Times New Roman"/>
          <w:szCs w:val="24"/>
        </w:rPr>
        <w:t>)</w:t>
      </w:r>
      <w:r w:rsidR="00C7761D" w:rsidRPr="00953C94">
        <w:rPr>
          <w:rFonts w:ascii="Times New Roman" w:hAnsi="Times New Roman" w:cs="Times New Roman"/>
          <w:szCs w:val="24"/>
        </w:rPr>
        <w:tab/>
        <w:t>§ 22 (</w:t>
      </w:r>
      <w:r w:rsidR="00C7761D" w:rsidRPr="00953C94">
        <w:rPr>
          <w:rFonts w:ascii="Times New Roman" w:hAnsi="Times New Roman" w:cs="Times New Roman"/>
          <w:i/>
          <w:iCs/>
          <w:szCs w:val="24"/>
        </w:rPr>
        <w:t>§ 21 w rozporządzeniu obowiązującym</w:t>
      </w:r>
      <w:r w:rsidR="00C7761D" w:rsidRPr="00953C94">
        <w:rPr>
          <w:rFonts w:ascii="Times New Roman" w:hAnsi="Times New Roman" w:cs="Times New Roman"/>
          <w:szCs w:val="24"/>
        </w:rPr>
        <w:t>) – zmieniono redakcję tego przepisu</w:t>
      </w:r>
      <w:r w:rsidR="00D3636F" w:rsidRPr="00953C94">
        <w:rPr>
          <w:rFonts w:ascii="Times New Roman" w:hAnsi="Times New Roman" w:cs="Times New Roman"/>
          <w:szCs w:val="24"/>
        </w:rPr>
        <w:t>,</w:t>
      </w:r>
      <w:r w:rsidR="00C7761D" w:rsidRPr="00953C94">
        <w:rPr>
          <w:rFonts w:ascii="Times New Roman" w:hAnsi="Times New Roman" w:cs="Times New Roman"/>
          <w:szCs w:val="24"/>
        </w:rPr>
        <w:t xml:space="preserve"> wprowadzając wyliczenie punktowe </w:t>
      </w:r>
      <w:r w:rsidR="00D3636F" w:rsidRPr="00953C94">
        <w:rPr>
          <w:rFonts w:ascii="Times New Roman" w:hAnsi="Times New Roman" w:cs="Times New Roman"/>
          <w:szCs w:val="24"/>
        </w:rPr>
        <w:t>w celu poprawy jego czytelności;</w:t>
      </w:r>
    </w:p>
    <w:p w14:paraId="2E5409B7" w14:textId="13923419" w:rsidR="000B15F8" w:rsidRPr="00953C94" w:rsidRDefault="00BC5A20" w:rsidP="0080155E">
      <w:pPr>
        <w:pStyle w:val="PKTpunkt"/>
        <w:rPr>
          <w:rFonts w:ascii="Times New Roman" w:hAnsi="Times New Roman" w:cs="Times New Roman"/>
          <w:szCs w:val="24"/>
        </w:rPr>
      </w:pPr>
      <w:r>
        <w:rPr>
          <w:rFonts w:ascii="Times New Roman" w:hAnsi="Times New Roman" w:cs="Times New Roman"/>
          <w:szCs w:val="24"/>
        </w:rPr>
        <w:t>5</w:t>
      </w:r>
      <w:r w:rsidR="0080155E" w:rsidRPr="00953C94">
        <w:rPr>
          <w:rFonts w:ascii="Times New Roman" w:hAnsi="Times New Roman" w:cs="Times New Roman"/>
          <w:szCs w:val="24"/>
        </w:rPr>
        <w:t>)</w:t>
      </w:r>
      <w:r w:rsidR="0080155E" w:rsidRPr="00953C94">
        <w:rPr>
          <w:rFonts w:ascii="Times New Roman" w:hAnsi="Times New Roman" w:cs="Times New Roman"/>
          <w:szCs w:val="24"/>
        </w:rPr>
        <w:tab/>
        <w:t>§ 34 i 35 (</w:t>
      </w:r>
      <w:r w:rsidR="0080155E" w:rsidRPr="00953C94">
        <w:rPr>
          <w:rFonts w:ascii="Times New Roman" w:hAnsi="Times New Roman" w:cs="Times New Roman"/>
          <w:i/>
          <w:iCs/>
          <w:szCs w:val="24"/>
        </w:rPr>
        <w:t>§ 33 i 34 w rozporządzeniu obowiązującym</w:t>
      </w:r>
      <w:r w:rsidR="0080155E" w:rsidRPr="00953C94">
        <w:rPr>
          <w:rFonts w:ascii="Times New Roman" w:hAnsi="Times New Roman" w:cs="Times New Roman"/>
          <w:szCs w:val="24"/>
        </w:rPr>
        <w:t>) – ujednolicono pisownię zawartej w wyliczen</w:t>
      </w:r>
      <w:r w:rsidR="00A92FEC" w:rsidRPr="00953C94">
        <w:rPr>
          <w:rFonts w:ascii="Times New Roman" w:hAnsi="Times New Roman" w:cs="Times New Roman"/>
          <w:szCs w:val="24"/>
        </w:rPr>
        <w:t>iach</w:t>
      </w:r>
      <w:r w:rsidR="0080155E" w:rsidRPr="00953C94">
        <w:rPr>
          <w:rFonts w:ascii="Times New Roman" w:hAnsi="Times New Roman" w:cs="Times New Roman"/>
          <w:szCs w:val="24"/>
        </w:rPr>
        <w:t xml:space="preserve"> treści przez zastosowanie liczby pojedynczej;</w:t>
      </w:r>
    </w:p>
    <w:p w14:paraId="046C9AF9" w14:textId="7A2569E7" w:rsidR="000B15F8" w:rsidRPr="00907EE3" w:rsidRDefault="00BC5A20" w:rsidP="009C6108">
      <w:pPr>
        <w:pStyle w:val="PKTpunkt"/>
        <w:rPr>
          <w:rFonts w:ascii="Times New Roman" w:hAnsi="Times New Roman" w:cs="Times New Roman"/>
          <w:color w:val="333333"/>
          <w:szCs w:val="24"/>
          <w:shd w:val="clear" w:color="auto" w:fill="FFFFFF"/>
        </w:rPr>
      </w:pPr>
      <w:r>
        <w:rPr>
          <w:rFonts w:ascii="Times New Roman" w:hAnsi="Times New Roman" w:cs="Times New Roman"/>
          <w:szCs w:val="24"/>
        </w:rPr>
        <w:t>6</w:t>
      </w:r>
      <w:r w:rsidR="00A92FEC" w:rsidRPr="00953C94">
        <w:rPr>
          <w:rFonts w:ascii="Times New Roman" w:hAnsi="Times New Roman" w:cs="Times New Roman"/>
          <w:szCs w:val="24"/>
        </w:rPr>
        <w:t>)</w:t>
      </w:r>
      <w:r w:rsidR="00A92FEC" w:rsidRPr="00953C94">
        <w:rPr>
          <w:rFonts w:ascii="Times New Roman" w:hAnsi="Times New Roman" w:cs="Times New Roman"/>
          <w:szCs w:val="24"/>
        </w:rPr>
        <w:tab/>
        <w:t xml:space="preserve">§ 37 </w:t>
      </w:r>
      <w:r w:rsidR="003E5DA2" w:rsidRPr="00953C94">
        <w:rPr>
          <w:rFonts w:ascii="Times New Roman" w:hAnsi="Times New Roman" w:cs="Times New Roman"/>
          <w:szCs w:val="24"/>
        </w:rPr>
        <w:t xml:space="preserve">ust. 2 (dodany) i 43 ust. 2 (dodany) </w:t>
      </w:r>
      <w:r w:rsidR="00A92FEC" w:rsidRPr="00953C94">
        <w:rPr>
          <w:rFonts w:ascii="Times New Roman" w:hAnsi="Times New Roman" w:cs="Times New Roman"/>
          <w:szCs w:val="24"/>
        </w:rPr>
        <w:t>(</w:t>
      </w:r>
      <w:r w:rsidR="00A92FEC" w:rsidRPr="00953C94">
        <w:rPr>
          <w:rFonts w:ascii="Times New Roman" w:hAnsi="Times New Roman" w:cs="Times New Roman"/>
          <w:i/>
          <w:iCs/>
          <w:szCs w:val="24"/>
        </w:rPr>
        <w:t>§ 3</w:t>
      </w:r>
      <w:r w:rsidR="00330D61" w:rsidRPr="00953C94">
        <w:rPr>
          <w:rFonts w:ascii="Times New Roman" w:hAnsi="Times New Roman" w:cs="Times New Roman"/>
          <w:i/>
          <w:iCs/>
          <w:szCs w:val="24"/>
        </w:rPr>
        <w:t>6</w:t>
      </w:r>
      <w:r w:rsidR="00A92FEC" w:rsidRPr="00953C94">
        <w:rPr>
          <w:rFonts w:ascii="Times New Roman" w:hAnsi="Times New Roman" w:cs="Times New Roman"/>
          <w:i/>
          <w:iCs/>
          <w:szCs w:val="24"/>
        </w:rPr>
        <w:t xml:space="preserve"> </w:t>
      </w:r>
      <w:r w:rsidR="003E5DA2" w:rsidRPr="00953C94">
        <w:rPr>
          <w:rFonts w:ascii="Times New Roman" w:hAnsi="Times New Roman" w:cs="Times New Roman"/>
          <w:i/>
          <w:iCs/>
          <w:szCs w:val="24"/>
        </w:rPr>
        <w:t xml:space="preserve">i 42 </w:t>
      </w:r>
      <w:r w:rsidR="00A92FEC" w:rsidRPr="00953C94">
        <w:rPr>
          <w:rFonts w:ascii="Times New Roman" w:hAnsi="Times New Roman" w:cs="Times New Roman"/>
          <w:i/>
          <w:iCs/>
          <w:szCs w:val="24"/>
        </w:rPr>
        <w:t>w rozporządzeniu obowiązującym</w:t>
      </w:r>
      <w:r w:rsidR="00A92FEC" w:rsidRPr="00953C94">
        <w:rPr>
          <w:rFonts w:ascii="Times New Roman" w:hAnsi="Times New Roman" w:cs="Times New Roman"/>
          <w:szCs w:val="24"/>
        </w:rPr>
        <w:t>) –</w:t>
      </w:r>
      <w:r w:rsidR="00330D61" w:rsidRPr="00953C94">
        <w:rPr>
          <w:rFonts w:ascii="Times New Roman" w:hAnsi="Times New Roman" w:cs="Times New Roman"/>
          <w:szCs w:val="24"/>
        </w:rPr>
        <w:t xml:space="preserve"> zmiana polega na doprecyzowaniu, że </w:t>
      </w:r>
      <w:r w:rsidR="00907EE3">
        <w:rPr>
          <w:rFonts w:ascii="Times New Roman" w:hAnsi="Times New Roman" w:cs="Times New Roman"/>
          <w:szCs w:val="24"/>
        </w:rPr>
        <w:t xml:space="preserve">odpowiednio </w:t>
      </w:r>
      <w:r w:rsidR="00330D61" w:rsidRPr="00907EE3">
        <w:rPr>
          <w:rFonts w:ascii="Times New Roman" w:hAnsi="Times New Roman" w:cs="Times New Roman"/>
          <w:color w:val="333333"/>
          <w:szCs w:val="24"/>
          <w:shd w:val="clear" w:color="auto" w:fill="FFFFFF"/>
        </w:rPr>
        <w:t>kopię protokołu ze zgromadzenia inwestorów</w:t>
      </w:r>
      <w:r w:rsidR="007F2432">
        <w:rPr>
          <w:rFonts w:ascii="Times New Roman" w:hAnsi="Times New Roman" w:cs="Times New Roman"/>
          <w:color w:val="333333"/>
          <w:szCs w:val="24"/>
          <w:shd w:val="clear" w:color="auto" w:fill="FFFFFF"/>
        </w:rPr>
        <w:t>/</w:t>
      </w:r>
      <w:r w:rsidR="007F2432" w:rsidRPr="000771AC">
        <w:t>z</w:t>
      </w:r>
      <w:r w:rsidR="007F2432">
        <w:t xml:space="preserve"> </w:t>
      </w:r>
      <w:r w:rsidR="007F2432" w:rsidRPr="000771AC">
        <w:t>posiedzenia organu funduszu lub walnego zgromadzenia towarzystwa zarządzającego funduszem</w:t>
      </w:r>
      <w:r w:rsidR="007F2432">
        <w:t xml:space="preserve"> – </w:t>
      </w:r>
      <w:r w:rsidR="00330D61" w:rsidRPr="007F2432">
        <w:rPr>
          <w:rFonts w:ascii="Times New Roman" w:hAnsi="Times New Roman" w:cs="Times New Roman"/>
          <w:color w:val="333333"/>
          <w:szCs w:val="24"/>
          <w:shd w:val="clear" w:color="auto" w:fill="FFFFFF"/>
        </w:rPr>
        <w:t xml:space="preserve">należy dołączyć do raportu, mając na </w:t>
      </w:r>
      <w:r w:rsidR="00330D61" w:rsidRPr="007F2432">
        <w:rPr>
          <w:rFonts w:ascii="Times New Roman" w:hAnsi="Times New Roman" w:cs="Times New Roman"/>
          <w:szCs w:val="24"/>
        </w:rPr>
        <w:t>uwadze</w:t>
      </w:r>
      <w:r w:rsidR="00330D61" w:rsidRPr="007F2432">
        <w:rPr>
          <w:rFonts w:ascii="Times New Roman" w:hAnsi="Times New Roman" w:cs="Times New Roman"/>
          <w:color w:val="333333"/>
          <w:szCs w:val="24"/>
          <w:shd w:val="clear" w:color="auto" w:fill="FFFFFF"/>
        </w:rPr>
        <w:t xml:space="preserve">, że jest to </w:t>
      </w:r>
      <w:r w:rsidR="00250694" w:rsidRPr="007F2432">
        <w:rPr>
          <w:rFonts w:ascii="Times New Roman" w:hAnsi="Times New Roman" w:cs="Times New Roman"/>
          <w:color w:val="333333"/>
          <w:szCs w:val="24"/>
          <w:shd w:val="clear" w:color="auto" w:fill="FFFFFF"/>
        </w:rPr>
        <w:t xml:space="preserve">odrębny </w:t>
      </w:r>
      <w:r w:rsidR="00330D61" w:rsidRPr="007F2432">
        <w:rPr>
          <w:rFonts w:ascii="Times New Roman" w:hAnsi="Times New Roman" w:cs="Times New Roman"/>
          <w:color w:val="333333"/>
          <w:szCs w:val="24"/>
          <w:shd w:val="clear" w:color="auto" w:fill="FFFFFF"/>
        </w:rPr>
        <w:t xml:space="preserve">dokument wytworzony przez </w:t>
      </w:r>
      <w:r w:rsidR="00250694" w:rsidRPr="007F2432">
        <w:rPr>
          <w:rFonts w:ascii="Times New Roman" w:hAnsi="Times New Roman" w:cs="Times New Roman"/>
          <w:color w:val="333333"/>
          <w:szCs w:val="24"/>
          <w:shd w:val="clear" w:color="auto" w:fill="FFFFFF"/>
        </w:rPr>
        <w:t>organ funduszu</w:t>
      </w:r>
      <w:r w:rsidR="009C6108" w:rsidRPr="00907EE3">
        <w:rPr>
          <w:rFonts w:ascii="Times New Roman" w:hAnsi="Times New Roman" w:cs="Times New Roman"/>
          <w:color w:val="333333"/>
          <w:szCs w:val="24"/>
          <w:shd w:val="clear" w:color="auto" w:fill="FFFFFF"/>
        </w:rPr>
        <w:t xml:space="preserve"> inwestycyjnego;</w:t>
      </w:r>
    </w:p>
    <w:p w14:paraId="5436DEFE" w14:textId="32575D0D" w:rsidR="005F4C9D" w:rsidRPr="00953C94" w:rsidRDefault="00BC5A20" w:rsidP="009C6108">
      <w:pPr>
        <w:pStyle w:val="PKTpunkt"/>
        <w:rPr>
          <w:rFonts w:ascii="Times New Roman" w:hAnsi="Times New Roman" w:cs="Times New Roman"/>
          <w:szCs w:val="24"/>
        </w:rPr>
      </w:pPr>
      <w:r>
        <w:rPr>
          <w:rFonts w:ascii="Times New Roman" w:hAnsi="Times New Roman" w:cs="Times New Roman"/>
          <w:szCs w:val="24"/>
        </w:rPr>
        <w:t>7</w:t>
      </w:r>
      <w:r w:rsidR="0063263C" w:rsidRPr="00953C94">
        <w:rPr>
          <w:rFonts w:ascii="Times New Roman" w:hAnsi="Times New Roman" w:cs="Times New Roman"/>
          <w:szCs w:val="24"/>
        </w:rPr>
        <w:t>)</w:t>
      </w:r>
      <w:r w:rsidR="0063263C" w:rsidRPr="00953C94">
        <w:rPr>
          <w:rFonts w:ascii="Times New Roman" w:hAnsi="Times New Roman" w:cs="Times New Roman"/>
          <w:szCs w:val="24"/>
        </w:rPr>
        <w:tab/>
        <w:t>§ 42 pkt 1 i 7 (</w:t>
      </w:r>
      <w:r w:rsidR="0063263C" w:rsidRPr="00953C94">
        <w:rPr>
          <w:rFonts w:ascii="Times New Roman" w:hAnsi="Times New Roman" w:cs="Times New Roman"/>
          <w:i/>
          <w:iCs/>
          <w:szCs w:val="24"/>
        </w:rPr>
        <w:t>§ 41 w rozporządzeniu obowiązującym</w:t>
      </w:r>
      <w:r w:rsidR="0063263C" w:rsidRPr="00953C94">
        <w:rPr>
          <w:rFonts w:ascii="Times New Roman" w:hAnsi="Times New Roman" w:cs="Times New Roman"/>
          <w:szCs w:val="24"/>
        </w:rPr>
        <w:t xml:space="preserve">) – zmiana </w:t>
      </w:r>
      <w:r w:rsidR="00AE0ACC" w:rsidRPr="00953C94">
        <w:rPr>
          <w:rFonts w:ascii="Times New Roman" w:hAnsi="Times New Roman" w:cs="Times New Roman"/>
          <w:szCs w:val="24"/>
        </w:rPr>
        <w:t xml:space="preserve">ma na celu bardziej poprawną gramatycznie redakcję pkt 1 oraz </w:t>
      </w:r>
      <w:r w:rsidR="0063263C" w:rsidRPr="00953C94">
        <w:rPr>
          <w:rFonts w:ascii="Times New Roman" w:hAnsi="Times New Roman" w:cs="Times New Roman"/>
          <w:szCs w:val="24"/>
        </w:rPr>
        <w:t>ujednoliceni</w:t>
      </w:r>
      <w:r w:rsidR="00AE0ACC" w:rsidRPr="00953C94">
        <w:rPr>
          <w:rFonts w:ascii="Times New Roman" w:hAnsi="Times New Roman" w:cs="Times New Roman"/>
          <w:szCs w:val="24"/>
        </w:rPr>
        <w:t>e</w:t>
      </w:r>
      <w:r w:rsidR="0063263C" w:rsidRPr="00953C94">
        <w:rPr>
          <w:rFonts w:ascii="Times New Roman" w:hAnsi="Times New Roman" w:cs="Times New Roman"/>
          <w:szCs w:val="24"/>
        </w:rPr>
        <w:t xml:space="preserve"> brzmienia wskazanych punktów</w:t>
      </w:r>
      <w:r w:rsidR="00AE0ACC" w:rsidRPr="00953C94">
        <w:rPr>
          <w:rFonts w:ascii="Times New Roman" w:hAnsi="Times New Roman" w:cs="Times New Roman"/>
          <w:szCs w:val="24"/>
        </w:rPr>
        <w:t>;</w:t>
      </w:r>
      <w:r w:rsidR="005F4C9D" w:rsidRPr="00953C94">
        <w:rPr>
          <w:rFonts w:ascii="Times New Roman" w:hAnsi="Times New Roman" w:cs="Times New Roman"/>
          <w:szCs w:val="24"/>
        </w:rPr>
        <w:t xml:space="preserve"> należy przy tym wskazać, że rozróżnienie zdarzeń, o których mowa w tym przepisie (wypowiedzenie/rozwiązanie umowy) – choć z zasady wypowiedzenie umowy prowadzi do jej rozwiązania, jest istotne, gdyż zdarzenia te </w:t>
      </w:r>
      <w:r w:rsidR="00D765F5" w:rsidRPr="00953C94">
        <w:rPr>
          <w:rFonts w:ascii="Times New Roman" w:hAnsi="Times New Roman" w:cs="Times New Roman"/>
          <w:szCs w:val="24"/>
        </w:rPr>
        <w:t xml:space="preserve">mogą się </w:t>
      </w:r>
      <w:r w:rsidR="005F4C9D" w:rsidRPr="00953C94">
        <w:rPr>
          <w:rFonts w:ascii="Times New Roman" w:hAnsi="Times New Roman" w:cs="Times New Roman"/>
          <w:szCs w:val="24"/>
        </w:rPr>
        <w:t>realiz</w:t>
      </w:r>
      <w:r w:rsidR="00D765F5" w:rsidRPr="00953C94">
        <w:rPr>
          <w:rFonts w:ascii="Times New Roman" w:hAnsi="Times New Roman" w:cs="Times New Roman"/>
          <w:szCs w:val="24"/>
        </w:rPr>
        <w:t>ować</w:t>
      </w:r>
      <w:r w:rsidR="005F4C9D" w:rsidRPr="00953C94">
        <w:rPr>
          <w:rFonts w:ascii="Times New Roman" w:hAnsi="Times New Roman" w:cs="Times New Roman"/>
          <w:szCs w:val="24"/>
        </w:rPr>
        <w:t xml:space="preserve"> w różnym czasie, a </w:t>
      </w:r>
      <w:r w:rsidR="00D765F5" w:rsidRPr="00953C94">
        <w:rPr>
          <w:rFonts w:ascii="Times New Roman" w:hAnsi="Times New Roman" w:cs="Times New Roman"/>
          <w:szCs w:val="24"/>
        </w:rPr>
        <w:t>informacja o</w:t>
      </w:r>
      <w:r w:rsidR="00AC6A53" w:rsidRPr="00953C94">
        <w:rPr>
          <w:rFonts w:ascii="Times New Roman" w:hAnsi="Times New Roman" w:cs="Times New Roman"/>
          <w:szCs w:val="24"/>
        </w:rPr>
        <w:t xml:space="preserve"> każdym z </w:t>
      </w:r>
      <w:r w:rsidR="00D765F5" w:rsidRPr="00953C94">
        <w:rPr>
          <w:rFonts w:ascii="Times New Roman" w:hAnsi="Times New Roman" w:cs="Times New Roman"/>
          <w:szCs w:val="24"/>
        </w:rPr>
        <w:t>tych zdarzeniach</w:t>
      </w:r>
      <w:r w:rsidR="005F4C9D" w:rsidRPr="00953C94">
        <w:rPr>
          <w:rFonts w:ascii="Times New Roman" w:hAnsi="Times New Roman" w:cs="Times New Roman"/>
          <w:szCs w:val="24"/>
        </w:rPr>
        <w:t xml:space="preserve"> może mieć znaczenie dla organu nadzoru </w:t>
      </w:r>
      <w:r w:rsidR="00AC6A53" w:rsidRPr="00953C94">
        <w:rPr>
          <w:rFonts w:ascii="Times New Roman" w:hAnsi="Times New Roman" w:cs="Times New Roman"/>
          <w:szCs w:val="24"/>
        </w:rPr>
        <w:t>ora</w:t>
      </w:r>
      <w:r w:rsidR="005F4C9D" w:rsidRPr="00953C94">
        <w:rPr>
          <w:rFonts w:ascii="Times New Roman" w:hAnsi="Times New Roman" w:cs="Times New Roman"/>
          <w:szCs w:val="24"/>
        </w:rPr>
        <w:t>z inwestorów</w:t>
      </w:r>
      <w:r w:rsidR="009E73AB">
        <w:rPr>
          <w:rFonts w:ascii="Times New Roman" w:hAnsi="Times New Roman" w:cs="Times New Roman"/>
          <w:szCs w:val="24"/>
        </w:rPr>
        <w:t>;</w:t>
      </w:r>
    </w:p>
    <w:p w14:paraId="13DDF2F3" w14:textId="77100185" w:rsidR="00D76BD4" w:rsidRPr="00953C94" w:rsidRDefault="00BC5A20" w:rsidP="009C6108">
      <w:pPr>
        <w:pStyle w:val="PKTpunkt"/>
        <w:rPr>
          <w:rFonts w:ascii="Times New Roman" w:hAnsi="Times New Roman" w:cs="Times New Roman"/>
          <w:szCs w:val="24"/>
        </w:rPr>
      </w:pPr>
      <w:r>
        <w:rPr>
          <w:rFonts w:ascii="Times New Roman" w:hAnsi="Times New Roman" w:cs="Times New Roman"/>
          <w:szCs w:val="24"/>
        </w:rPr>
        <w:t>8</w:t>
      </w:r>
      <w:r w:rsidR="00AE0ACC" w:rsidRPr="00953C94">
        <w:rPr>
          <w:rFonts w:ascii="Times New Roman" w:hAnsi="Times New Roman" w:cs="Times New Roman"/>
          <w:szCs w:val="24"/>
        </w:rPr>
        <w:t>)</w:t>
      </w:r>
      <w:r w:rsidR="00AE0ACC" w:rsidRPr="00953C94">
        <w:rPr>
          <w:rFonts w:ascii="Times New Roman" w:hAnsi="Times New Roman" w:cs="Times New Roman"/>
          <w:szCs w:val="24"/>
        </w:rPr>
        <w:tab/>
      </w:r>
      <w:r w:rsidR="00D13385" w:rsidRPr="00953C94">
        <w:rPr>
          <w:rFonts w:ascii="Times New Roman" w:hAnsi="Times New Roman" w:cs="Times New Roman"/>
          <w:szCs w:val="24"/>
        </w:rPr>
        <w:t>§ 56</w:t>
      </w:r>
      <w:r w:rsidR="00D13385" w:rsidRPr="005122A5">
        <w:rPr>
          <w:rFonts w:ascii="Times New Roman" w:hAnsi="Times New Roman" w:cs="Times New Roman"/>
          <w:szCs w:val="24"/>
        </w:rPr>
        <w:t>–59 (</w:t>
      </w:r>
      <w:r w:rsidR="00D13385" w:rsidRPr="005122A5">
        <w:rPr>
          <w:rFonts w:ascii="Times New Roman" w:hAnsi="Times New Roman" w:cs="Times New Roman"/>
          <w:i/>
          <w:iCs/>
          <w:szCs w:val="24"/>
        </w:rPr>
        <w:t xml:space="preserve">§ </w:t>
      </w:r>
      <w:r w:rsidR="00D13385" w:rsidRPr="00E628B8">
        <w:rPr>
          <w:rFonts w:ascii="Times New Roman" w:hAnsi="Times New Roman" w:cs="Times New Roman"/>
          <w:i/>
          <w:iCs/>
          <w:szCs w:val="24"/>
        </w:rPr>
        <w:t>55–59</w:t>
      </w:r>
      <w:r w:rsidR="00D13385" w:rsidRPr="00907EE3">
        <w:rPr>
          <w:rFonts w:ascii="Times New Roman" w:hAnsi="Times New Roman" w:cs="Times New Roman"/>
          <w:i/>
          <w:iCs/>
          <w:szCs w:val="24"/>
        </w:rPr>
        <w:t xml:space="preserve"> w rozporządzeniu obowiązującym</w:t>
      </w:r>
      <w:r w:rsidR="00D13385" w:rsidRPr="00953C94">
        <w:rPr>
          <w:rFonts w:ascii="Times New Roman" w:hAnsi="Times New Roman" w:cs="Times New Roman"/>
          <w:szCs w:val="24"/>
        </w:rPr>
        <w:t xml:space="preserve">) – zmiana polega na doprecyzowaniu </w:t>
      </w:r>
      <w:r w:rsidR="008B2FBB" w:rsidRPr="00953C94">
        <w:rPr>
          <w:rFonts w:ascii="Times New Roman" w:hAnsi="Times New Roman" w:cs="Times New Roman"/>
          <w:szCs w:val="24"/>
        </w:rPr>
        <w:t xml:space="preserve">ust. 2, że w przypadku ustanowienia zarządu komisarycznego </w:t>
      </w:r>
      <w:r w:rsidR="00EE1ADE" w:rsidRPr="00953C94">
        <w:rPr>
          <w:rFonts w:ascii="Times New Roman" w:hAnsi="Times New Roman" w:cs="Times New Roman"/>
          <w:szCs w:val="24"/>
        </w:rPr>
        <w:t xml:space="preserve">to ten zarząd </w:t>
      </w:r>
      <w:r w:rsidR="008B2FBB" w:rsidRPr="00953C94">
        <w:rPr>
          <w:rFonts w:ascii="Times New Roman" w:hAnsi="Times New Roman" w:cs="Times New Roman"/>
          <w:szCs w:val="24"/>
        </w:rPr>
        <w:t xml:space="preserve">realizuje obowiązki </w:t>
      </w:r>
      <w:r w:rsidR="00F85F21" w:rsidRPr="00953C94">
        <w:rPr>
          <w:rFonts w:ascii="Times New Roman" w:hAnsi="Times New Roman" w:cs="Times New Roman"/>
          <w:szCs w:val="24"/>
        </w:rPr>
        <w:t xml:space="preserve">informacyjne </w:t>
      </w:r>
      <w:r w:rsidR="008B2FBB" w:rsidRPr="00953C94">
        <w:rPr>
          <w:rFonts w:ascii="Times New Roman" w:hAnsi="Times New Roman" w:cs="Times New Roman"/>
          <w:szCs w:val="24"/>
        </w:rPr>
        <w:t xml:space="preserve">określone w ust. 1 tych przepisów. </w:t>
      </w:r>
      <w:r w:rsidR="00EE1ADE" w:rsidRPr="00953C94">
        <w:rPr>
          <w:rFonts w:ascii="Times New Roman" w:hAnsi="Times New Roman" w:cs="Times New Roman"/>
          <w:szCs w:val="24"/>
        </w:rPr>
        <w:t>Jednocześnie, mając na uwadze, że u</w:t>
      </w:r>
      <w:r w:rsidR="00D76BD4" w:rsidRPr="00953C94">
        <w:rPr>
          <w:rFonts w:ascii="Times New Roman" w:hAnsi="Times New Roman" w:cs="Times New Roman"/>
          <w:szCs w:val="24"/>
        </w:rPr>
        <w:t>stanowieni</w:t>
      </w:r>
      <w:r w:rsidR="00EE1ADE" w:rsidRPr="00953C94">
        <w:rPr>
          <w:rFonts w:ascii="Times New Roman" w:hAnsi="Times New Roman" w:cs="Times New Roman"/>
          <w:szCs w:val="24"/>
        </w:rPr>
        <w:t>e</w:t>
      </w:r>
      <w:r w:rsidR="00D76BD4" w:rsidRPr="00953C94">
        <w:rPr>
          <w:rFonts w:ascii="Times New Roman" w:hAnsi="Times New Roman" w:cs="Times New Roman"/>
          <w:szCs w:val="24"/>
        </w:rPr>
        <w:t xml:space="preserve"> zarządu komisarycznego w emitencie będącym zagraniczną jednostką terytorialną, nie musi </w:t>
      </w:r>
      <w:r w:rsidR="00EE1ADE" w:rsidRPr="00953C94">
        <w:rPr>
          <w:rFonts w:ascii="Times New Roman" w:hAnsi="Times New Roman" w:cs="Times New Roman"/>
          <w:szCs w:val="24"/>
        </w:rPr>
        <w:t>oznaczać ustanowienia komisarza rządowego, w § 59 ust. 2 doprecyzowano, że obowiązki informacyjne określone w ust. 1 tej regulacji, oprócz komisarza rządowego, mogą być wykonywane także przez inny podmiot, który przejął wykonywanie zadań i kompetencji organów jednostki samorządu terytorialnego;</w:t>
      </w:r>
    </w:p>
    <w:p w14:paraId="3C9256B4" w14:textId="51A5F8C5" w:rsidR="009C6108" w:rsidRPr="00953C94" w:rsidRDefault="00BC5A20" w:rsidP="009C6108">
      <w:pPr>
        <w:pStyle w:val="PKTpunkt"/>
        <w:rPr>
          <w:rFonts w:ascii="Times New Roman" w:hAnsi="Times New Roman" w:cs="Times New Roman"/>
          <w:szCs w:val="24"/>
        </w:rPr>
      </w:pPr>
      <w:r>
        <w:rPr>
          <w:rFonts w:ascii="Times New Roman" w:hAnsi="Times New Roman" w:cs="Times New Roman"/>
          <w:szCs w:val="24"/>
        </w:rPr>
        <w:t>9</w:t>
      </w:r>
      <w:r w:rsidR="002B646C" w:rsidRPr="00953C94">
        <w:rPr>
          <w:rFonts w:ascii="Times New Roman" w:hAnsi="Times New Roman" w:cs="Times New Roman"/>
          <w:szCs w:val="24"/>
        </w:rPr>
        <w:t>)</w:t>
      </w:r>
      <w:r w:rsidR="002B646C" w:rsidRPr="00953C94">
        <w:rPr>
          <w:rFonts w:ascii="Times New Roman" w:hAnsi="Times New Roman" w:cs="Times New Roman"/>
          <w:szCs w:val="24"/>
        </w:rPr>
        <w:tab/>
        <w:t>§ 61 ust. 3, § 64 ust. 6, § 73 ust. 1</w:t>
      </w:r>
      <w:r w:rsidR="00A12F9E" w:rsidRPr="00953C94">
        <w:rPr>
          <w:rFonts w:ascii="Times New Roman" w:hAnsi="Times New Roman" w:cs="Times New Roman"/>
          <w:szCs w:val="24"/>
        </w:rPr>
        <w:t>,</w:t>
      </w:r>
      <w:r w:rsidR="002B646C" w:rsidRPr="00953C94">
        <w:rPr>
          <w:rFonts w:ascii="Times New Roman" w:hAnsi="Times New Roman" w:cs="Times New Roman"/>
          <w:szCs w:val="24"/>
        </w:rPr>
        <w:t xml:space="preserve"> § 74 ust. 1</w:t>
      </w:r>
      <w:r w:rsidR="00A12F9E" w:rsidRPr="00953C94">
        <w:rPr>
          <w:rFonts w:ascii="Times New Roman" w:hAnsi="Times New Roman" w:cs="Times New Roman"/>
          <w:szCs w:val="24"/>
        </w:rPr>
        <w:t xml:space="preserve">, § 75, § 76, § 77 ust. 1 i § 78 </w:t>
      </w:r>
      <w:r w:rsidR="002B646C" w:rsidRPr="00953C94">
        <w:rPr>
          <w:rFonts w:ascii="Times New Roman" w:hAnsi="Times New Roman" w:cs="Times New Roman"/>
          <w:szCs w:val="24"/>
        </w:rPr>
        <w:t>(</w:t>
      </w:r>
      <w:r w:rsidR="002B646C" w:rsidRPr="00953C94">
        <w:rPr>
          <w:rFonts w:ascii="Times New Roman" w:hAnsi="Times New Roman" w:cs="Times New Roman"/>
          <w:i/>
          <w:iCs/>
          <w:szCs w:val="24"/>
        </w:rPr>
        <w:t>§ 60 ust. 3, § 63 ust. 6, § 72 ust. 1</w:t>
      </w:r>
      <w:r w:rsidR="00907EE3">
        <w:rPr>
          <w:rFonts w:ascii="Times New Roman" w:hAnsi="Times New Roman" w:cs="Times New Roman"/>
          <w:i/>
          <w:iCs/>
          <w:szCs w:val="24"/>
        </w:rPr>
        <w:t>,</w:t>
      </w:r>
      <w:r w:rsidR="002B646C" w:rsidRPr="00907EE3">
        <w:rPr>
          <w:rFonts w:ascii="Times New Roman" w:hAnsi="Times New Roman" w:cs="Times New Roman"/>
          <w:i/>
          <w:iCs/>
          <w:szCs w:val="24"/>
        </w:rPr>
        <w:t xml:space="preserve"> § 73 ust. 1</w:t>
      </w:r>
      <w:r w:rsidR="00A12F9E" w:rsidRPr="00907EE3">
        <w:rPr>
          <w:rFonts w:ascii="Times New Roman" w:hAnsi="Times New Roman" w:cs="Times New Roman"/>
          <w:i/>
          <w:iCs/>
          <w:szCs w:val="24"/>
        </w:rPr>
        <w:t>, § 74</w:t>
      </w:r>
      <w:r w:rsidR="00907EE3">
        <w:rPr>
          <w:rFonts w:ascii="Times New Roman" w:hAnsi="Times New Roman" w:cs="Times New Roman"/>
          <w:i/>
          <w:iCs/>
          <w:szCs w:val="24"/>
        </w:rPr>
        <w:t>,</w:t>
      </w:r>
      <w:r w:rsidR="00A12F9E" w:rsidRPr="00907EE3">
        <w:rPr>
          <w:rFonts w:ascii="Times New Roman" w:hAnsi="Times New Roman" w:cs="Times New Roman"/>
          <w:i/>
          <w:iCs/>
          <w:szCs w:val="24"/>
        </w:rPr>
        <w:t xml:space="preserve"> § 75, § 76 ust. 1 i § 77) </w:t>
      </w:r>
      <w:r w:rsidR="002B646C" w:rsidRPr="00907EE3">
        <w:rPr>
          <w:rFonts w:ascii="Times New Roman" w:hAnsi="Times New Roman" w:cs="Times New Roman"/>
          <w:i/>
          <w:iCs/>
          <w:szCs w:val="24"/>
        </w:rPr>
        <w:t>w rozporządzeniu obowiązującym</w:t>
      </w:r>
      <w:r w:rsidR="002B646C" w:rsidRPr="00953C94">
        <w:rPr>
          <w:rFonts w:ascii="Times New Roman" w:hAnsi="Times New Roman" w:cs="Times New Roman"/>
          <w:szCs w:val="24"/>
        </w:rPr>
        <w:t>) – doprecyzowano, że wskazane przepisy odnoszą się do państwa niebędącego państwem członkowskim, dla którego Rzeczpospolita Polska jest państwem macierzystym</w:t>
      </w:r>
      <w:r w:rsidR="00FE0588" w:rsidRPr="00953C94">
        <w:rPr>
          <w:rFonts w:ascii="Times New Roman" w:hAnsi="Times New Roman" w:cs="Times New Roman"/>
          <w:szCs w:val="24"/>
        </w:rPr>
        <w:t>;</w:t>
      </w:r>
    </w:p>
    <w:p w14:paraId="50B2787D" w14:textId="728939D8" w:rsidR="00FE0588" w:rsidRPr="008915C5" w:rsidRDefault="00C16FC0" w:rsidP="009C6108">
      <w:pPr>
        <w:pStyle w:val="PKTpunkt"/>
        <w:rPr>
          <w:rFonts w:ascii="Times New Roman" w:hAnsi="Times New Roman" w:cs="Times New Roman"/>
          <w:szCs w:val="24"/>
        </w:rPr>
      </w:pPr>
      <w:r w:rsidRPr="00953C94">
        <w:rPr>
          <w:rFonts w:ascii="Times New Roman" w:hAnsi="Times New Roman" w:cs="Times New Roman"/>
          <w:szCs w:val="24"/>
        </w:rPr>
        <w:lastRenderedPageBreak/>
        <w:t>1</w:t>
      </w:r>
      <w:r w:rsidR="00BC5A20">
        <w:rPr>
          <w:rFonts w:ascii="Times New Roman" w:hAnsi="Times New Roman" w:cs="Times New Roman"/>
          <w:szCs w:val="24"/>
        </w:rPr>
        <w:t>0</w:t>
      </w:r>
      <w:r w:rsidRPr="00953C94">
        <w:rPr>
          <w:rFonts w:ascii="Times New Roman" w:hAnsi="Times New Roman" w:cs="Times New Roman"/>
          <w:szCs w:val="24"/>
        </w:rPr>
        <w:t>)</w:t>
      </w:r>
      <w:r w:rsidRPr="00953C94">
        <w:rPr>
          <w:rFonts w:ascii="Times New Roman" w:hAnsi="Times New Roman" w:cs="Times New Roman"/>
          <w:szCs w:val="24"/>
        </w:rPr>
        <w:tab/>
      </w:r>
      <w:r w:rsidR="00A47E73" w:rsidRPr="00953C94">
        <w:rPr>
          <w:rFonts w:ascii="Times New Roman" w:hAnsi="Times New Roman" w:cs="Times New Roman"/>
          <w:szCs w:val="24"/>
        </w:rPr>
        <w:t>§ 63 ust. 6, § 64, § 66 ust. 1</w:t>
      </w:r>
      <w:r w:rsidR="00D2596E" w:rsidRPr="00953C94">
        <w:rPr>
          <w:rFonts w:ascii="Times New Roman" w:hAnsi="Times New Roman" w:cs="Times New Roman"/>
          <w:szCs w:val="24"/>
        </w:rPr>
        <w:t xml:space="preserve"> i</w:t>
      </w:r>
      <w:r w:rsidR="00A47E73" w:rsidRPr="00953C94">
        <w:rPr>
          <w:rFonts w:ascii="Times New Roman" w:hAnsi="Times New Roman" w:cs="Times New Roman"/>
          <w:szCs w:val="24"/>
        </w:rPr>
        <w:t xml:space="preserve"> § 67 ust. 7</w:t>
      </w:r>
      <w:r w:rsidR="00D2596E" w:rsidRPr="00953C94">
        <w:rPr>
          <w:rFonts w:ascii="Times New Roman" w:hAnsi="Times New Roman" w:cs="Times New Roman"/>
          <w:szCs w:val="24"/>
        </w:rPr>
        <w:t xml:space="preserve"> (</w:t>
      </w:r>
      <w:r w:rsidR="00D2596E" w:rsidRPr="005122A5">
        <w:rPr>
          <w:rFonts w:ascii="Times New Roman" w:hAnsi="Times New Roman" w:cs="Times New Roman"/>
          <w:i/>
          <w:iCs/>
          <w:szCs w:val="24"/>
        </w:rPr>
        <w:t>§ 62 ust. 5</w:t>
      </w:r>
      <w:r w:rsidR="00D2596E" w:rsidRPr="00E628B8">
        <w:rPr>
          <w:rFonts w:ascii="Times New Roman" w:hAnsi="Times New Roman" w:cs="Times New Roman"/>
          <w:i/>
          <w:iCs/>
          <w:szCs w:val="24"/>
        </w:rPr>
        <w:t>, § 6</w:t>
      </w:r>
      <w:r w:rsidR="00D2596E" w:rsidRPr="00907EE3">
        <w:rPr>
          <w:rFonts w:ascii="Times New Roman" w:hAnsi="Times New Roman" w:cs="Times New Roman"/>
          <w:i/>
          <w:iCs/>
          <w:szCs w:val="24"/>
        </w:rPr>
        <w:t>3, § 6</w:t>
      </w:r>
      <w:r w:rsidR="00D2596E" w:rsidRPr="00953C94">
        <w:rPr>
          <w:rFonts w:ascii="Times New Roman" w:hAnsi="Times New Roman" w:cs="Times New Roman"/>
          <w:i/>
          <w:iCs/>
          <w:szCs w:val="24"/>
        </w:rPr>
        <w:t>5 ust. 1 i § 66 ust. 7 w rozporządzeniu obowiązującym</w:t>
      </w:r>
      <w:r w:rsidR="00D2596E" w:rsidRPr="00953C94">
        <w:rPr>
          <w:rFonts w:ascii="Times New Roman" w:hAnsi="Times New Roman" w:cs="Times New Roman"/>
          <w:szCs w:val="24"/>
        </w:rPr>
        <w:t>)</w:t>
      </w:r>
      <w:r w:rsidR="00D74D6A" w:rsidRPr="00953C94">
        <w:rPr>
          <w:rFonts w:ascii="Times New Roman" w:hAnsi="Times New Roman" w:cs="Times New Roman"/>
          <w:szCs w:val="24"/>
        </w:rPr>
        <w:t xml:space="preserve"> – doprecyzowano </w:t>
      </w:r>
      <w:r w:rsidR="00CD7614" w:rsidRPr="00953C94">
        <w:rPr>
          <w:rFonts w:ascii="Times New Roman" w:hAnsi="Times New Roman" w:cs="Times New Roman"/>
          <w:szCs w:val="24"/>
        </w:rPr>
        <w:t xml:space="preserve">brzmienie tych przepisów </w:t>
      </w:r>
      <w:r w:rsidR="00D74D6A" w:rsidRPr="00953C94">
        <w:rPr>
          <w:rFonts w:ascii="Times New Roman" w:hAnsi="Times New Roman" w:cs="Times New Roman"/>
          <w:szCs w:val="24"/>
        </w:rPr>
        <w:t>w ten sposób, że</w:t>
      </w:r>
      <w:r w:rsidR="00CD7614" w:rsidRPr="00953C94">
        <w:rPr>
          <w:rFonts w:ascii="Times New Roman" w:hAnsi="Times New Roman" w:cs="Times New Roman"/>
          <w:szCs w:val="24"/>
        </w:rPr>
        <w:t xml:space="preserve">by było jasne, </w:t>
      </w:r>
      <w:r w:rsidR="008915C5">
        <w:rPr>
          <w:rFonts w:ascii="Times New Roman" w:hAnsi="Times New Roman" w:cs="Times New Roman"/>
          <w:szCs w:val="24"/>
        </w:rPr>
        <w:t>że</w:t>
      </w:r>
      <w:r w:rsidR="00D74D6A" w:rsidRPr="008915C5">
        <w:rPr>
          <w:rFonts w:ascii="Times New Roman" w:hAnsi="Times New Roman" w:cs="Times New Roman"/>
          <w:szCs w:val="24"/>
        </w:rPr>
        <w:t xml:space="preserve"> przepisy </w:t>
      </w:r>
      <w:r w:rsidR="008915C5">
        <w:rPr>
          <w:rFonts w:ascii="Times New Roman" w:hAnsi="Times New Roman" w:cs="Times New Roman"/>
          <w:szCs w:val="24"/>
        </w:rPr>
        <w:t xml:space="preserve">te </w:t>
      </w:r>
      <w:r w:rsidR="00D74D6A" w:rsidRPr="008915C5">
        <w:rPr>
          <w:rFonts w:ascii="Times New Roman" w:hAnsi="Times New Roman" w:cs="Times New Roman"/>
          <w:szCs w:val="24"/>
        </w:rPr>
        <w:t>regulują zakres raportów okresowych</w:t>
      </w:r>
      <w:r w:rsidR="00D74D6A" w:rsidRPr="005122A5">
        <w:rPr>
          <w:rFonts w:ascii="Times New Roman" w:hAnsi="Times New Roman" w:cs="Times New Roman"/>
          <w:szCs w:val="24"/>
        </w:rPr>
        <w:t>, których elementem są sprawozdania finansow</w:t>
      </w:r>
      <w:r w:rsidR="00D74D6A" w:rsidRPr="00953C94">
        <w:rPr>
          <w:rFonts w:ascii="Times New Roman" w:hAnsi="Times New Roman" w:cs="Times New Roman"/>
          <w:szCs w:val="24"/>
        </w:rPr>
        <w:t xml:space="preserve">e, natomiast nie </w:t>
      </w:r>
      <w:r w:rsidR="00CD7614" w:rsidRPr="00953C94">
        <w:rPr>
          <w:rFonts w:ascii="Times New Roman" w:hAnsi="Times New Roman" w:cs="Times New Roman"/>
          <w:szCs w:val="24"/>
        </w:rPr>
        <w:t>regulują</w:t>
      </w:r>
      <w:r w:rsidR="00D74D6A" w:rsidRPr="00953C94">
        <w:rPr>
          <w:rFonts w:ascii="Times New Roman" w:hAnsi="Times New Roman" w:cs="Times New Roman"/>
          <w:szCs w:val="24"/>
        </w:rPr>
        <w:t xml:space="preserve"> </w:t>
      </w:r>
      <w:r w:rsidR="008915C5">
        <w:rPr>
          <w:rFonts w:ascii="Times New Roman" w:hAnsi="Times New Roman" w:cs="Times New Roman"/>
          <w:szCs w:val="24"/>
        </w:rPr>
        <w:t xml:space="preserve">kwestii </w:t>
      </w:r>
      <w:r w:rsidR="00D74D6A" w:rsidRPr="008915C5">
        <w:rPr>
          <w:rFonts w:ascii="Times New Roman" w:hAnsi="Times New Roman" w:cs="Times New Roman"/>
          <w:szCs w:val="24"/>
        </w:rPr>
        <w:t xml:space="preserve">zakresu i </w:t>
      </w:r>
      <w:r w:rsidR="008915C5">
        <w:rPr>
          <w:rFonts w:ascii="Times New Roman" w:hAnsi="Times New Roman" w:cs="Times New Roman"/>
          <w:szCs w:val="24"/>
        </w:rPr>
        <w:t xml:space="preserve">sposobu </w:t>
      </w:r>
      <w:r w:rsidR="00D74D6A" w:rsidRPr="008915C5">
        <w:rPr>
          <w:rFonts w:ascii="Times New Roman" w:hAnsi="Times New Roman" w:cs="Times New Roman"/>
          <w:szCs w:val="24"/>
        </w:rPr>
        <w:t>sporządzania sprawozdań finansowych</w:t>
      </w:r>
      <w:r w:rsidR="00CD7614" w:rsidRPr="008915C5">
        <w:rPr>
          <w:rFonts w:ascii="Times New Roman" w:hAnsi="Times New Roman" w:cs="Times New Roman"/>
          <w:szCs w:val="24"/>
        </w:rPr>
        <w:t>, które wynikają z przepisów o rachunkowości, i nie są objęte zakresem upoważnienia do wydania projektowanego rozporządzenia;</w:t>
      </w:r>
    </w:p>
    <w:p w14:paraId="04C6A3D4" w14:textId="7624305F" w:rsidR="00746A4D" w:rsidRPr="00953C94" w:rsidRDefault="00746A4D" w:rsidP="009C6108">
      <w:pPr>
        <w:pStyle w:val="PKTpunkt"/>
        <w:rPr>
          <w:rFonts w:ascii="Times New Roman" w:hAnsi="Times New Roman" w:cs="Times New Roman"/>
          <w:szCs w:val="24"/>
        </w:rPr>
      </w:pPr>
      <w:r w:rsidRPr="00953C94">
        <w:rPr>
          <w:rFonts w:ascii="Times New Roman" w:hAnsi="Times New Roman" w:cs="Times New Roman"/>
          <w:szCs w:val="24"/>
        </w:rPr>
        <w:t>1</w:t>
      </w:r>
      <w:r w:rsidR="00BC5A20">
        <w:rPr>
          <w:rFonts w:ascii="Times New Roman" w:hAnsi="Times New Roman" w:cs="Times New Roman"/>
          <w:szCs w:val="24"/>
        </w:rPr>
        <w:t>1</w:t>
      </w:r>
      <w:r w:rsidRPr="00953C94">
        <w:rPr>
          <w:rFonts w:ascii="Times New Roman" w:hAnsi="Times New Roman" w:cs="Times New Roman"/>
          <w:szCs w:val="24"/>
        </w:rPr>
        <w:t>)</w:t>
      </w:r>
      <w:r w:rsidRPr="00953C94">
        <w:rPr>
          <w:rFonts w:ascii="Times New Roman" w:hAnsi="Times New Roman" w:cs="Times New Roman"/>
          <w:szCs w:val="24"/>
        </w:rPr>
        <w:tab/>
        <w:t xml:space="preserve">§ 69 ust. 1 pkt 4, § 70 ust. 1 pkt 4, § 71 ust. 1 pkt 5 i § 72 ust. 1 pkt 5 ( </w:t>
      </w:r>
      <w:r w:rsidRPr="00953C94">
        <w:rPr>
          <w:rFonts w:ascii="Times New Roman" w:hAnsi="Times New Roman" w:cs="Times New Roman"/>
          <w:i/>
          <w:iCs/>
          <w:szCs w:val="24"/>
        </w:rPr>
        <w:t>§ 68 ust. 1 pkt 4, § 69 ust. 1 pkt 4, § 70 ust. 1 pkt 5 i § 71 ust. 1 pkt 6 w rozporządzeniu obowiązującym</w:t>
      </w:r>
      <w:r w:rsidRPr="00953C94">
        <w:rPr>
          <w:rFonts w:ascii="Times New Roman" w:hAnsi="Times New Roman" w:cs="Times New Roman"/>
          <w:szCs w:val="24"/>
        </w:rPr>
        <w:t>) – uzupełniono zakres informacji przekazywanych wraz z oświadczeniem zarządu lub osoby zarządzającej o „imion</w:t>
      </w:r>
      <w:r w:rsidR="00C462C6" w:rsidRPr="00953C94">
        <w:rPr>
          <w:rFonts w:ascii="Times New Roman" w:hAnsi="Times New Roman" w:cs="Times New Roman"/>
          <w:szCs w:val="24"/>
        </w:rPr>
        <w:t>a</w:t>
      </w:r>
      <w:r w:rsidRPr="00953C94">
        <w:rPr>
          <w:rFonts w:ascii="Times New Roman" w:hAnsi="Times New Roman" w:cs="Times New Roman"/>
          <w:szCs w:val="24"/>
        </w:rPr>
        <w:t xml:space="preserve">” </w:t>
      </w:r>
      <w:r w:rsidR="00C462C6" w:rsidRPr="00953C94">
        <w:rPr>
          <w:rFonts w:ascii="Times New Roman" w:hAnsi="Times New Roman" w:cs="Times New Roman"/>
          <w:szCs w:val="24"/>
        </w:rPr>
        <w:t>osób, o których mowa w tych przepisach;</w:t>
      </w:r>
    </w:p>
    <w:p w14:paraId="10321084" w14:textId="0A4AEFA7" w:rsidR="00725B30" w:rsidRPr="008915C5" w:rsidRDefault="00105552" w:rsidP="00B34840">
      <w:pPr>
        <w:pStyle w:val="PKTpunkt"/>
        <w:rPr>
          <w:rFonts w:ascii="Times New Roman" w:hAnsi="Times New Roman" w:cs="Times New Roman"/>
          <w:color w:val="333333"/>
          <w:szCs w:val="24"/>
          <w:shd w:val="clear" w:color="auto" w:fill="FFFFFF"/>
        </w:rPr>
      </w:pPr>
      <w:r w:rsidRPr="00953C94">
        <w:rPr>
          <w:rFonts w:ascii="Times New Roman" w:hAnsi="Times New Roman" w:cs="Times New Roman"/>
          <w:szCs w:val="24"/>
        </w:rPr>
        <w:t>1</w:t>
      </w:r>
      <w:r w:rsidR="00BC5A20">
        <w:rPr>
          <w:rFonts w:ascii="Times New Roman" w:hAnsi="Times New Roman" w:cs="Times New Roman"/>
          <w:szCs w:val="24"/>
        </w:rPr>
        <w:t>2</w:t>
      </w:r>
      <w:r w:rsidRPr="00953C94">
        <w:rPr>
          <w:rFonts w:ascii="Times New Roman" w:hAnsi="Times New Roman" w:cs="Times New Roman"/>
          <w:szCs w:val="24"/>
        </w:rPr>
        <w:t>)</w:t>
      </w:r>
      <w:r w:rsidRPr="00953C94">
        <w:rPr>
          <w:rFonts w:ascii="Times New Roman" w:hAnsi="Times New Roman" w:cs="Times New Roman"/>
          <w:szCs w:val="24"/>
        </w:rPr>
        <w:tab/>
        <w:t xml:space="preserve">tytuł rozdziału 5 i brzmienie przepisów w nim zawartych zostały dostosowane do brzmienia </w:t>
      </w:r>
      <w:r w:rsidR="00B34840" w:rsidRPr="00953C94">
        <w:rPr>
          <w:rFonts w:ascii="Times New Roman" w:hAnsi="Times New Roman" w:cs="Times New Roman"/>
          <w:szCs w:val="24"/>
        </w:rPr>
        <w:t xml:space="preserve">upoważnienia zawartego w </w:t>
      </w:r>
      <w:r w:rsidRPr="00953C94">
        <w:rPr>
          <w:rFonts w:ascii="Times New Roman" w:hAnsi="Times New Roman" w:cs="Times New Roman"/>
          <w:szCs w:val="24"/>
        </w:rPr>
        <w:t xml:space="preserve">art. 60 ust. 2 pkt 3 </w:t>
      </w:r>
      <w:r w:rsidR="00B34840" w:rsidRPr="00953C94">
        <w:rPr>
          <w:rFonts w:ascii="Times New Roman" w:hAnsi="Times New Roman" w:cs="Times New Roman"/>
          <w:szCs w:val="24"/>
        </w:rPr>
        <w:t>ustawy, zgodnie</w:t>
      </w:r>
      <w:r w:rsidR="00725B30" w:rsidRPr="00953C94">
        <w:rPr>
          <w:rFonts w:ascii="Times New Roman" w:hAnsi="Times New Roman" w:cs="Times New Roman"/>
          <w:szCs w:val="24"/>
        </w:rPr>
        <w:t xml:space="preserve"> z</w:t>
      </w:r>
      <w:r w:rsidR="00B34840" w:rsidRPr="00953C94">
        <w:rPr>
          <w:rFonts w:ascii="Times New Roman" w:hAnsi="Times New Roman" w:cs="Times New Roman"/>
          <w:szCs w:val="24"/>
        </w:rPr>
        <w:t xml:space="preserve"> którym projektowane rozporządzenie określi </w:t>
      </w:r>
      <w:r w:rsidR="00B34840" w:rsidRPr="00953C94">
        <w:rPr>
          <w:rFonts w:ascii="Times New Roman" w:hAnsi="Times New Roman" w:cs="Times New Roman"/>
          <w:color w:val="333333"/>
          <w:szCs w:val="24"/>
          <w:shd w:val="clear" w:color="auto" w:fill="FFFFFF"/>
        </w:rPr>
        <w:t>warunki uznawania za równoważne informacji wymaganych przepisami prawa państwa siedziby emitenta do informacji bieżących i okresowych przekazywanych przez emitentów papierów wartościowych</w:t>
      </w:r>
      <w:r w:rsidR="00725B30" w:rsidRPr="00953C94">
        <w:rPr>
          <w:rFonts w:ascii="Times New Roman" w:hAnsi="Times New Roman" w:cs="Times New Roman"/>
          <w:color w:val="333333"/>
          <w:szCs w:val="24"/>
          <w:shd w:val="clear" w:color="auto" w:fill="FFFFFF"/>
        </w:rPr>
        <w:t>, dla których Rzeczpospolita Polska jest państwem macierzystym, dopuszczonych do obrotu na rynku oficjalnych notowań w rozumieniu przepisów ustawy o obrocie instrumentami finansowymi lub na rynku regulowanym innego niż Rzeczpospolita Polska państwa członkowskiego</w:t>
      </w:r>
      <w:r w:rsidR="009E73AB">
        <w:rPr>
          <w:rFonts w:ascii="Times New Roman" w:hAnsi="Times New Roman" w:cs="Times New Roman"/>
          <w:color w:val="333333"/>
          <w:szCs w:val="24"/>
          <w:shd w:val="clear" w:color="auto" w:fill="FFFFFF"/>
        </w:rPr>
        <w:t>;</w:t>
      </w:r>
    </w:p>
    <w:p w14:paraId="063F123A" w14:textId="12E3D5F2" w:rsidR="00BC5A20" w:rsidRDefault="000C4D7E" w:rsidP="00F316A6">
      <w:pPr>
        <w:pStyle w:val="PKTpunkt"/>
        <w:rPr>
          <w:rFonts w:ascii="Times New Roman" w:hAnsi="Times New Roman" w:cs="Times New Roman"/>
          <w:color w:val="333333"/>
          <w:szCs w:val="24"/>
          <w:shd w:val="clear" w:color="auto" w:fill="FFFFFF"/>
        </w:rPr>
      </w:pPr>
      <w:r w:rsidRPr="00953C94">
        <w:rPr>
          <w:rFonts w:ascii="Times New Roman" w:hAnsi="Times New Roman" w:cs="Times New Roman"/>
          <w:color w:val="333333"/>
          <w:szCs w:val="24"/>
          <w:shd w:val="clear" w:color="auto" w:fill="FFFFFF"/>
        </w:rPr>
        <w:t>1</w:t>
      </w:r>
      <w:r w:rsidR="00BC5A20">
        <w:rPr>
          <w:rFonts w:ascii="Times New Roman" w:hAnsi="Times New Roman" w:cs="Times New Roman"/>
          <w:color w:val="333333"/>
          <w:szCs w:val="24"/>
          <w:shd w:val="clear" w:color="auto" w:fill="FFFFFF"/>
        </w:rPr>
        <w:t>3</w:t>
      </w:r>
      <w:r w:rsidRPr="00953C94">
        <w:rPr>
          <w:rFonts w:ascii="Times New Roman" w:hAnsi="Times New Roman" w:cs="Times New Roman"/>
          <w:color w:val="333333"/>
          <w:szCs w:val="24"/>
          <w:shd w:val="clear" w:color="auto" w:fill="FFFFFF"/>
        </w:rPr>
        <w:t>)</w:t>
      </w:r>
      <w:r w:rsidRPr="00953C94">
        <w:rPr>
          <w:rFonts w:ascii="Times New Roman" w:hAnsi="Times New Roman" w:cs="Times New Roman"/>
          <w:color w:val="333333"/>
          <w:szCs w:val="24"/>
          <w:shd w:val="clear" w:color="auto" w:fill="FFFFFF"/>
        </w:rPr>
        <w:tab/>
      </w:r>
      <w:r w:rsidR="00F316A6" w:rsidRPr="00953C94">
        <w:rPr>
          <w:rFonts w:ascii="Times New Roman" w:hAnsi="Times New Roman" w:cs="Times New Roman"/>
          <w:color w:val="333333"/>
          <w:szCs w:val="24"/>
          <w:shd w:val="clear" w:color="auto" w:fill="FFFFFF"/>
        </w:rPr>
        <w:t>w projektowanym rozporządzeniu</w:t>
      </w:r>
      <w:r w:rsidR="00BC5A20">
        <w:rPr>
          <w:rFonts w:ascii="Times New Roman" w:hAnsi="Times New Roman" w:cs="Times New Roman"/>
          <w:color w:val="333333"/>
          <w:szCs w:val="24"/>
          <w:shd w:val="clear" w:color="auto" w:fill="FFFFFF"/>
        </w:rPr>
        <w:t>:</w:t>
      </w:r>
    </w:p>
    <w:p w14:paraId="0CDA9752" w14:textId="77777777" w:rsidR="00BC5A20" w:rsidRPr="00BC5A20" w:rsidRDefault="00BC5A20" w:rsidP="00BC5A20">
      <w:pPr>
        <w:pStyle w:val="ARTartustawynprozporzdzenia"/>
        <w:spacing w:before="0"/>
        <w:ind w:left="568" w:hanging="284"/>
        <w:rPr>
          <w:rFonts w:ascii="Times New Roman" w:hAnsi="Times New Roman" w:cs="Times New Roman"/>
          <w:szCs w:val="24"/>
        </w:rPr>
      </w:pPr>
      <w:r w:rsidRPr="00BC5A20">
        <w:rPr>
          <w:rFonts w:ascii="Times New Roman" w:hAnsi="Times New Roman" w:cs="Times New Roman"/>
          <w:szCs w:val="24"/>
        </w:rPr>
        <w:t>a)</w:t>
      </w:r>
      <w:r w:rsidRPr="00BC5A20">
        <w:rPr>
          <w:rFonts w:ascii="Times New Roman" w:hAnsi="Times New Roman" w:cs="Times New Roman"/>
          <w:szCs w:val="24"/>
        </w:rPr>
        <w:tab/>
      </w:r>
      <w:r w:rsidR="00120E5A" w:rsidRPr="00BC5A20">
        <w:rPr>
          <w:rFonts w:ascii="Times New Roman" w:hAnsi="Times New Roman" w:cs="Times New Roman"/>
          <w:szCs w:val="24"/>
        </w:rPr>
        <w:t>odstąpiono od użytego w różnych przypadkach w rozporządzeniu obowiązującym dookreślenia „wszystkie”, jako zbędnego</w:t>
      </w:r>
      <w:r w:rsidR="00F316A6" w:rsidRPr="00BC5A20">
        <w:rPr>
          <w:rFonts w:ascii="Times New Roman" w:hAnsi="Times New Roman" w:cs="Times New Roman"/>
          <w:szCs w:val="24"/>
        </w:rPr>
        <w:t>, ponieważ odpowiednie przepisy są jasne i czytelne bez tego dookreślenia</w:t>
      </w:r>
      <w:r w:rsidRPr="00BC5A20">
        <w:rPr>
          <w:rFonts w:ascii="Times New Roman" w:hAnsi="Times New Roman" w:cs="Times New Roman"/>
          <w:szCs w:val="24"/>
        </w:rPr>
        <w:t>,</w:t>
      </w:r>
    </w:p>
    <w:p w14:paraId="5E5787D9" w14:textId="569574C9" w:rsidR="000B15F8" w:rsidRDefault="00BC5A20" w:rsidP="00BC5A20">
      <w:pPr>
        <w:pStyle w:val="ARTartustawynprozporzdzenia"/>
        <w:spacing w:before="0"/>
        <w:ind w:left="568" w:hanging="284"/>
        <w:rPr>
          <w:rFonts w:ascii="Times New Roman" w:hAnsi="Times New Roman" w:cs="Times New Roman"/>
          <w:szCs w:val="24"/>
        </w:rPr>
      </w:pPr>
      <w:r w:rsidRPr="00BC5A20">
        <w:rPr>
          <w:rFonts w:ascii="Times New Roman" w:hAnsi="Times New Roman" w:cs="Times New Roman"/>
          <w:szCs w:val="24"/>
        </w:rPr>
        <w:t>b)</w:t>
      </w:r>
      <w:r w:rsidRPr="00BC5A20">
        <w:rPr>
          <w:rFonts w:ascii="Times New Roman" w:hAnsi="Times New Roman" w:cs="Times New Roman"/>
          <w:szCs w:val="24"/>
        </w:rPr>
        <w:tab/>
        <w:t>doprecyzowano</w:t>
      </w:r>
      <w:r>
        <w:rPr>
          <w:rFonts w:ascii="Times New Roman" w:hAnsi="Times New Roman" w:cs="Times New Roman"/>
          <w:szCs w:val="24"/>
        </w:rPr>
        <w:t xml:space="preserve"> i ujednolicono</w:t>
      </w:r>
      <w:r w:rsidRPr="00BC5A20">
        <w:rPr>
          <w:rFonts w:ascii="Times New Roman" w:hAnsi="Times New Roman" w:cs="Times New Roman"/>
          <w:szCs w:val="24"/>
        </w:rPr>
        <w:t xml:space="preserve"> w wielu miejscach </w:t>
      </w:r>
      <w:r>
        <w:rPr>
          <w:rFonts w:ascii="Times New Roman" w:hAnsi="Times New Roman" w:cs="Times New Roman"/>
          <w:szCs w:val="24"/>
        </w:rPr>
        <w:t xml:space="preserve">użycie </w:t>
      </w:r>
      <w:r w:rsidRPr="00BC5A20">
        <w:rPr>
          <w:rFonts w:ascii="Times New Roman" w:hAnsi="Times New Roman" w:cs="Times New Roman"/>
          <w:szCs w:val="24"/>
        </w:rPr>
        <w:t>pojęci</w:t>
      </w:r>
      <w:r>
        <w:rPr>
          <w:rFonts w:ascii="Times New Roman" w:hAnsi="Times New Roman" w:cs="Times New Roman"/>
          <w:szCs w:val="24"/>
        </w:rPr>
        <w:t>a</w:t>
      </w:r>
      <w:r w:rsidRPr="00BC5A20">
        <w:rPr>
          <w:rFonts w:ascii="Times New Roman" w:hAnsi="Times New Roman" w:cs="Times New Roman"/>
          <w:szCs w:val="24"/>
        </w:rPr>
        <w:t xml:space="preserve"> „</w:t>
      </w:r>
      <w:bookmarkStart w:id="4" w:name="_Hlk187843858"/>
      <w:r w:rsidRPr="00BC5A20">
        <w:rPr>
          <w:rFonts w:ascii="Times New Roman" w:hAnsi="Times New Roman" w:cs="Times New Roman"/>
          <w:szCs w:val="24"/>
        </w:rPr>
        <w:t>grupa kapitałowa</w:t>
      </w:r>
      <w:bookmarkEnd w:id="4"/>
      <w:r w:rsidRPr="00BC5A20">
        <w:rPr>
          <w:rFonts w:ascii="Times New Roman" w:hAnsi="Times New Roman" w:cs="Times New Roman"/>
          <w:szCs w:val="24"/>
        </w:rPr>
        <w:t>” poprzez dodanie odniesienia do emitenta, mając na uwadze, że pojęcie „grupa kapitałowa emitenta” jest zdefiniowana w pkt 9 projektowanego rozporządzenia</w:t>
      </w:r>
      <w:r>
        <w:rPr>
          <w:rFonts w:ascii="Times New Roman" w:hAnsi="Times New Roman" w:cs="Times New Roman"/>
          <w:color w:val="333333"/>
          <w:szCs w:val="24"/>
          <w:shd w:val="clear" w:color="auto" w:fill="FFFFFF"/>
        </w:rPr>
        <w:t>.</w:t>
      </w:r>
    </w:p>
    <w:bookmarkEnd w:id="3"/>
    <w:p w14:paraId="46FCDD40" w14:textId="37CDB9BF" w:rsidR="00D34C42" w:rsidRPr="0083169B" w:rsidRDefault="00F17438" w:rsidP="005122A5">
      <w:pPr>
        <w:pStyle w:val="ARTartustawynprozporzdzenia"/>
        <w:ind w:firstLine="0"/>
        <w:rPr>
          <w:rFonts w:ascii="Times New Roman" w:hAnsi="Times New Roman" w:cs="Times New Roman"/>
          <w:szCs w:val="24"/>
        </w:rPr>
      </w:pPr>
      <w:r>
        <w:rPr>
          <w:rFonts w:ascii="Times New Roman" w:hAnsi="Times New Roman" w:cs="Times New Roman"/>
          <w:szCs w:val="24"/>
        </w:rPr>
        <w:t xml:space="preserve">Z uwagi na </w:t>
      </w:r>
      <w:r w:rsidR="00F30D8F" w:rsidRPr="0083169B">
        <w:rPr>
          <w:rFonts w:ascii="Times New Roman" w:hAnsi="Times New Roman" w:cs="Times New Roman"/>
          <w:szCs w:val="24"/>
        </w:rPr>
        <w:t>zmienion</w:t>
      </w:r>
      <w:r>
        <w:rPr>
          <w:rFonts w:ascii="Times New Roman" w:hAnsi="Times New Roman" w:cs="Times New Roman"/>
          <w:szCs w:val="24"/>
        </w:rPr>
        <w:t>e</w:t>
      </w:r>
      <w:r w:rsidR="00F8790A" w:rsidRPr="0083169B">
        <w:rPr>
          <w:rFonts w:ascii="Times New Roman" w:hAnsi="Times New Roman" w:cs="Times New Roman"/>
          <w:szCs w:val="24"/>
        </w:rPr>
        <w:t xml:space="preserve"> wytyczn</w:t>
      </w:r>
      <w:r>
        <w:rPr>
          <w:rFonts w:ascii="Times New Roman" w:hAnsi="Times New Roman" w:cs="Times New Roman"/>
          <w:szCs w:val="24"/>
        </w:rPr>
        <w:t>e</w:t>
      </w:r>
      <w:r w:rsidR="00F8790A" w:rsidRPr="0083169B">
        <w:rPr>
          <w:rFonts w:ascii="Times New Roman" w:hAnsi="Times New Roman" w:cs="Times New Roman"/>
          <w:szCs w:val="24"/>
        </w:rPr>
        <w:t xml:space="preserve"> zawart</w:t>
      </w:r>
      <w:r>
        <w:rPr>
          <w:rFonts w:ascii="Times New Roman" w:hAnsi="Times New Roman" w:cs="Times New Roman"/>
          <w:szCs w:val="24"/>
        </w:rPr>
        <w:t>e</w:t>
      </w:r>
      <w:r w:rsidR="00F8790A" w:rsidRPr="0083169B">
        <w:rPr>
          <w:rFonts w:ascii="Times New Roman" w:hAnsi="Times New Roman" w:cs="Times New Roman"/>
          <w:szCs w:val="24"/>
        </w:rPr>
        <w:t xml:space="preserve"> w upoważnieniu treść projektowanego</w:t>
      </w:r>
      <w:r w:rsidR="006F1330" w:rsidRPr="0083169B">
        <w:rPr>
          <w:rFonts w:ascii="Times New Roman" w:hAnsi="Times New Roman" w:cs="Times New Roman"/>
          <w:szCs w:val="24"/>
        </w:rPr>
        <w:t xml:space="preserve"> rozporządzenia uwzględnia</w:t>
      </w:r>
      <w:r w:rsidR="00F8790A" w:rsidRPr="0083169B">
        <w:rPr>
          <w:rFonts w:ascii="Times New Roman" w:hAnsi="Times New Roman" w:cs="Times New Roman"/>
          <w:szCs w:val="24"/>
        </w:rPr>
        <w:t xml:space="preserve"> </w:t>
      </w:r>
      <w:r w:rsidR="002F15AD" w:rsidRPr="0083169B">
        <w:rPr>
          <w:rFonts w:ascii="Times New Roman" w:hAnsi="Times New Roman" w:cs="Times New Roman"/>
          <w:szCs w:val="24"/>
        </w:rPr>
        <w:t xml:space="preserve">również </w:t>
      </w:r>
      <w:r w:rsidR="00F8790A" w:rsidRPr="0083169B">
        <w:rPr>
          <w:rFonts w:ascii="Times New Roman" w:hAnsi="Times New Roman" w:cs="Times New Roman"/>
          <w:szCs w:val="24"/>
        </w:rPr>
        <w:t>regulacje w zakresie rachunkowości, na podstawie których mają być ujawniane dane finansowe</w:t>
      </w:r>
      <w:r w:rsidR="00C10B1E" w:rsidRPr="00C10B1E">
        <w:t xml:space="preserve"> </w:t>
      </w:r>
      <w:r w:rsidR="00C10B1E" w:rsidRPr="00151393">
        <w:t>lub dane niebędące danymi finansowymi</w:t>
      </w:r>
      <w:r w:rsidR="00F8790A" w:rsidRPr="0083169B">
        <w:rPr>
          <w:rFonts w:ascii="Times New Roman" w:hAnsi="Times New Roman" w:cs="Times New Roman"/>
          <w:szCs w:val="24"/>
        </w:rPr>
        <w:t>, oraz zakres ujawnianych danych finansowych</w:t>
      </w:r>
      <w:r w:rsidR="00D34C42" w:rsidRPr="0083169B">
        <w:rPr>
          <w:rFonts w:ascii="Times New Roman" w:eastAsia="Times New Roman" w:hAnsi="Times New Roman" w:cs="Times New Roman"/>
          <w:color w:val="333333"/>
          <w:szCs w:val="24"/>
        </w:rPr>
        <w:t xml:space="preserve"> i </w:t>
      </w:r>
      <w:r w:rsidR="00C10B1E" w:rsidRPr="00151393">
        <w:t>danych niebędących danymi finansowymi</w:t>
      </w:r>
      <w:r w:rsidR="00F8790A" w:rsidRPr="0083169B">
        <w:rPr>
          <w:rFonts w:ascii="Times New Roman" w:hAnsi="Times New Roman" w:cs="Times New Roman"/>
          <w:szCs w:val="24"/>
        </w:rPr>
        <w:t>, w sposób umożliwiający inwestorom ocenę sytuacji gospodarczej, majątkowej i finansowej emitenta</w:t>
      </w:r>
      <w:r w:rsidR="00400F1C">
        <w:rPr>
          <w:rFonts w:ascii="Times New Roman" w:hAnsi="Times New Roman" w:cs="Times New Roman"/>
          <w:szCs w:val="24"/>
        </w:rPr>
        <w:t>, a także</w:t>
      </w:r>
      <w:r w:rsidR="00D34C42" w:rsidRPr="0083169B">
        <w:rPr>
          <w:rFonts w:ascii="Times New Roman" w:eastAsia="Times New Roman" w:hAnsi="Times New Roman" w:cs="Times New Roman"/>
          <w:color w:val="333333"/>
          <w:szCs w:val="24"/>
        </w:rPr>
        <w:t xml:space="preserve"> ocenę wpływu emitenta na kwestie zrównoważonego rozwoju </w:t>
      </w:r>
      <w:r w:rsidR="00400F1C">
        <w:rPr>
          <w:rFonts w:ascii="Times New Roman" w:eastAsia="Times New Roman" w:hAnsi="Times New Roman" w:cs="Times New Roman"/>
          <w:color w:val="333333"/>
          <w:szCs w:val="24"/>
        </w:rPr>
        <w:t>oraz</w:t>
      </w:r>
      <w:r w:rsidR="00D34C42" w:rsidRPr="0083169B">
        <w:rPr>
          <w:rFonts w:ascii="Times New Roman" w:eastAsia="Times New Roman" w:hAnsi="Times New Roman" w:cs="Times New Roman"/>
          <w:color w:val="333333"/>
          <w:szCs w:val="24"/>
        </w:rPr>
        <w:t xml:space="preserve"> wpływu kwestii </w:t>
      </w:r>
      <w:r w:rsidR="00400F1C" w:rsidRPr="00151393">
        <w:t>zrównoważonego rozwoju</w:t>
      </w:r>
      <w:r w:rsidR="00400F1C" w:rsidRPr="0083169B">
        <w:rPr>
          <w:rFonts w:ascii="Times New Roman" w:eastAsia="Times New Roman" w:hAnsi="Times New Roman" w:cs="Times New Roman"/>
          <w:color w:val="333333"/>
          <w:szCs w:val="24"/>
        </w:rPr>
        <w:t xml:space="preserve"> </w:t>
      </w:r>
      <w:r w:rsidR="00D34C42" w:rsidRPr="0083169B">
        <w:rPr>
          <w:rFonts w:ascii="Times New Roman" w:eastAsia="Times New Roman" w:hAnsi="Times New Roman" w:cs="Times New Roman"/>
          <w:color w:val="333333"/>
          <w:szCs w:val="24"/>
        </w:rPr>
        <w:t>na rozwój, wyniki i sytuację emitenta</w:t>
      </w:r>
      <w:r w:rsidR="00F8790A" w:rsidRPr="0083169B">
        <w:rPr>
          <w:rFonts w:ascii="Times New Roman" w:hAnsi="Times New Roman" w:cs="Times New Roman"/>
          <w:szCs w:val="24"/>
        </w:rPr>
        <w:t>.</w:t>
      </w:r>
    </w:p>
    <w:p w14:paraId="360FFBC1" w14:textId="42CD0097" w:rsidR="00171534" w:rsidRPr="00B10494" w:rsidRDefault="00C8520F" w:rsidP="00F30D8F">
      <w:pPr>
        <w:pStyle w:val="ARTartustawynprozporzdzenia"/>
        <w:spacing w:before="0"/>
        <w:ind w:firstLine="0"/>
        <w:rPr>
          <w:rStyle w:val="Uwydatnienie"/>
          <w:rFonts w:ascii="Roboto" w:hAnsi="Roboto"/>
          <w:i w:val="0"/>
          <w:iCs w:val="0"/>
          <w:color w:val="333333"/>
          <w:sz w:val="21"/>
          <w:szCs w:val="21"/>
          <w:shd w:val="clear" w:color="auto" w:fill="FFFFFF"/>
        </w:rPr>
      </w:pPr>
      <w:r>
        <w:rPr>
          <w:rFonts w:ascii="Times New Roman" w:hAnsi="Times New Roman" w:cs="Times New Roman"/>
          <w:szCs w:val="24"/>
        </w:rPr>
        <w:lastRenderedPageBreak/>
        <w:t>P</w:t>
      </w:r>
      <w:r w:rsidR="00D22F12" w:rsidRPr="0083169B">
        <w:rPr>
          <w:rFonts w:ascii="Times New Roman" w:hAnsi="Times New Roman" w:cs="Times New Roman"/>
          <w:szCs w:val="24"/>
        </w:rPr>
        <w:t xml:space="preserve">rojektowane rozporządzenie ma na celu </w:t>
      </w:r>
      <w:r w:rsidR="00F30D8F" w:rsidRPr="0083169B">
        <w:rPr>
          <w:rFonts w:ascii="Times New Roman" w:hAnsi="Times New Roman" w:cs="Times New Roman"/>
          <w:szCs w:val="24"/>
        </w:rPr>
        <w:t xml:space="preserve">w zakresie swojej regulacji wdrożenie </w:t>
      </w:r>
      <w:r>
        <w:rPr>
          <w:rFonts w:ascii="Times New Roman" w:hAnsi="Times New Roman" w:cs="Times New Roman"/>
          <w:szCs w:val="24"/>
        </w:rPr>
        <w:t>art. 2</w:t>
      </w:r>
      <w:r w:rsidR="008D28AF" w:rsidRPr="0083169B">
        <w:rPr>
          <w:rFonts w:ascii="Times New Roman" w:hAnsi="Times New Roman" w:cs="Times New Roman"/>
          <w:szCs w:val="24"/>
        </w:rPr>
        <w:t xml:space="preserve"> </w:t>
      </w:r>
      <w:r w:rsidR="00F30D8F" w:rsidRPr="0083169B">
        <w:rPr>
          <w:rFonts w:ascii="Times New Roman" w:hAnsi="Times New Roman" w:cs="Times New Roman"/>
          <w:szCs w:val="24"/>
        </w:rPr>
        <w:t>dyrektyw</w:t>
      </w:r>
      <w:r w:rsidR="00F244AC" w:rsidRPr="0083169B">
        <w:rPr>
          <w:rFonts w:ascii="Times New Roman" w:hAnsi="Times New Roman" w:cs="Times New Roman"/>
          <w:szCs w:val="24"/>
        </w:rPr>
        <w:t xml:space="preserve">y Parlamentu Europejskiego i Rady (UE) </w:t>
      </w:r>
      <w:bookmarkStart w:id="5" w:name="_Hlk181002382"/>
      <w:r w:rsidR="00F244AC" w:rsidRPr="0083169B">
        <w:rPr>
          <w:rFonts w:ascii="Times New Roman" w:hAnsi="Times New Roman" w:cs="Times New Roman"/>
          <w:szCs w:val="24"/>
        </w:rPr>
        <w:t xml:space="preserve">2022/2464 </w:t>
      </w:r>
      <w:bookmarkEnd w:id="5"/>
      <w:r w:rsidR="00F244AC" w:rsidRPr="0083169B">
        <w:rPr>
          <w:rFonts w:ascii="Times New Roman" w:hAnsi="Times New Roman" w:cs="Times New Roman"/>
          <w:szCs w:val="24"/>
        </w:rPr>
        <w:t>z dnia 14 grudnia 2022 r. w sprawie zmiany rozporządzenia (UE) nr 537/2014, dyrektywy 2004/109/WE, dyrektywy 2006/43/WE oraz dyrektywy 2013/34/UE w odniesieniu do sprawozdawczości przedsiębiorstw w zakresie zrównoważonego rozwoju (Dz. Urz. UE L 322 z 16.12.2022, str. 15)</w:t>
      </w:r>
      <w:r w:rsidR="00AE38BC" w:rsidRPr="0083169B">
        <w:rPr>
          <w:rFonts w:ascii="Times New Roman" w:hAnsi="Times New Roman" w:cs="Times New Roman"/>
          <w:szCs w:val="24"/>
        </w:rPr>
        <w:t>, zwanej dalej „dyrektywą 2022/2464”</w:t>
      </w:r>
      <w:r w:rsidR="00B10494">
        <w:rPr>
          <w:rFonts w:ascii="Times New Roman" w:hAnsi="Times New Roman" w:cs="Times New Roman"/>
          <w:szCs w:val="24"/>
        </w:rPr>
        <w:t xml:space="preserve">, który wprowadza zmiany do </w:t>
      </w:r>
      <w:r w:rsidR="00B10494" w:rsidRPr="0083169B">
        <w:rPr>
          <w:rFonts w:ascii="Times New Roman" w:hAnsi="Times New Roman" w:cs="Times New Roman"/>
          <w:szCs w:val="24"/>
        </w:rPr>
        <w:t>dyrektywy 2004/109/WE Parlamentu Europejskiego i Rady z dnia 15 grudnia 2004 r. w sprawie harmonizacji wymogów dotyczących przejrzystości informacji o emitentach, których papiery wartościowe dopuszczane są do obrotu na rynku regulowanym oraz zmieniającej dyrektywę 2001/34/WE</w:t>
      </w:r>
      <w:r w:rsidR="00B10494">
        <w:rPr>
          <w:rFonts w:ascii="Times New Roman" w:hAnsi="Times New Roman" w:cs="Times New Roman"/>
          <w:szCs w:val="24"/>
        </w:rPr>
        <w:t xml:space="preserve"> </w:t>
      </w:r>
      <w:r w:rsidR="00B10494" w:rsidRPr="00B10494">
        <w:rPr>
          <w:rFonts w:ascii="Times New Roman" w:hAnsi="Times New Roman" w:cs="Times New Roman"/>
          <w:szCs w:val="24"/>
        </w:rPr>
        <w:t>(Dz.</w:t>
      </w:r>
      <w:r w:rsidR="00B10494">
        <w:rPr>
          <w:rFonts w:ascii="Times New Roman" w:hAnsi="Times New Roman" w:cs="Times New Roman"/>
          <w:szCs w:val="24"/>
        </w:rPr>
        <w:t xml:space="preserve"> </w:t>
      </w:r>
      <w:r w:rsidR="00B10494" w:rsidRPr="00B10494">
        <w:rPr>
          <w:rFonts w:ascii="Times New Roman" w:hAnsi="Times New Roman" w:cs="Times New Roman"/>
          <w:szCs w:val="24"/>
        </w:rPr>
        <w:t>U</w:t>
      </w:r>
      <w:r w:rsidR="00B10494">
        <w:rPr>
          <w:rFonts w:ascii="Times New Roman" w:hAnsi="Times New Roman" w:cs="Times New Roman"/>
          <w:szCs w:val="24"/>
        </w:rPr>
        <w:t>rz</w:t>
      </w:r>
      <w:r w:rsidR="00B10494" w:rsidRPr="00B10494">
        <w:rPr>
          <w:rFonts w:ascii="Times New Roman" w:hAnsi="Times New Roman" w:cs="Times New Roman"/>
          <w:szCs w:val="24"/>
        </w:rPr>
        <w:t xml:space="preserve">. </w:t>
      </w:r>
      <w:r w:rsidR="00B10494">
        <w:rPr>
          <w:rFonts w:ascii="Times New Roman" w:hAnsi="Times New Roman" w:cs="Times New Roman"/>
          <w:szCs w:val="24"/>
        </w:rPr>
        <w:t xml:space="preserve">UE </w:t>
      </w:r>
      <w:r w:rsidR="00B10494" w:rsidRPr="00B10494">
        <w:rPr>
          <w:rFonts w:ascii="Times New Roman" w:hAnsi="Times New Roman" w:cs="Times New Roman"/>
          <w:szCs w:val="24"/>
        </w:rPr>
        <w:t>L 390 z 31.12.2004, str. 38</w:t>
      </w:r>
      <w:r w:rsidR="00B10494">
        <w:rPr>
          <w:rFonts w:ascii="Times New Roman" w:hAnsi="Times New Roman" w:cs="Times New Roman"/>
          <w:szCs w:val="24"/>
        </w:rPr>
        <w:t>, z późn. zm.</w:t>
      </w:r>
      <w:r w:rsidR="00011396">
        <w:rPr>
          <w:rFonts w:ascii="Times New Roman" w:hAnsi="Times New Roman" w:cs="Times New Roman"/>
          <w:szCs w:val="24"/>
        </w:rPr>
        <w:t>)</w:t>
      </w:r>
      <w:r w:rsidR="00F244AC" w:rsidRPr="00B10494">
        <w:rPr>
          <w:rStyle w:val="Uwydatnienie"/>
          <w:rFonts w:ascii="Roboto" w:hAnsi="Roboto"/>
          <w:i w:val="0"/>
          <w:iCs w:val="0"/>
          <w:color w:val="333333"/>
          <w:sz w:val="21"/>
          <w:szCs w:val="21"/>
          <w:shd w:val="clear" w:color="auto" w:fill="FFFFFF"/>
        </w:rPr>
        <w:t>.</w:t>
      </w:r>
    </w:p>
    <w:p w14:paraId="0D3F3F55" w14:textId="150133D6" w:rsidR="00F30D8F" w:rsidRPr="0083169B" w:rsidRDefault="00F244AC" w:rsidP="00F30D8F">
      <w:pPr>
        <w:pStyle w:val="ARTartustawynprozporzdzenia"/>
        <w:spacing w:before="0"/>
        <w:ind w:firstLine="0"/>
        <w:rPr>
          <w:rFonts w:ascii="Times New Roman" w:hAnsi="Times New Roman" w:cs="Times New Roman"/>
          <w:szCs w:val="24"/>
        </w:rPr>
      </w:pPr>
      <w:r w:rsidRPr="0083169B">
        <w:rPr>
          <w:rFonts w:ascii="Times New Roman" w:hAnsi="Times New Roman" w:cs="Times New Roman"/>
          <w:szCs w:val="24"/>
        </w:rPr>
        <w:t xml:space="preserve">Ponadto, </w:t>
      </w:r>
      <w:r w:rsidR="008D28AF" w:rsidRPr="0083169B">
        <w:rPr>
          <w:rFonts w:ascii="Times New Roman" w:hAnsi="Times New Roman" w:cs="Times New Roman"/>
          <w:szCs w:val="24"/>
        </w:rPr>
        <w:t xml:space="preserve">w zakresie swojej regulacji, </w:t>
      </w:r>
      <w:r w:rsidRPr="0083169B">
        <w:rPr>
          <w:rFonts w:ascii="Times New Roman" w:hAnsi="Times New Roman" w:cs="Times New Roman"/>
          <w:szCs w:val="24"/>
        </w:rPr>
        <w:t xml:space="preserve">projektowane rozporządzenie </w:t>
      </w:r>
      <w:r w:rsidR="008D28AF" w:rsidRPr="0083169B">
        <w:rPr>
          <w:rFonts w:ascii="Times New Roman" w:hAnsi="Times New Roman" w:cs="Times New Roman"/>
          <w:szCs w:val="24"/>
        </w:rPr>
        <w:t xml:space="preserve">ma </w:t>
      </w:r>
      <w:r w:rsidRPr="0083169B">
        <w:rPr>
          <w:rFonts w:ascii="Times New Roman" w:hAnsi="Times New Roman" w:cs="Times New Roman"/>
          <w:szCs w:val="24"/>
        </w:rPr>
        <w:t xml:space="preserve">również </w:t>
      </w:r>
      <w:r w:rsidR="008D28AF" w:rsidRPr="0083169B">
        <w:rPr>
          <w:rFonts w:ascii="Times New Roman" w:hAnsi="Times New Roman" w:cs="Times New Roman"/>
          <w:szCs w:val="24"/>
        </w:rPr>
        <w:t xml:space="preserve">na celu </w:t>
      </w:r>
      <w:r w:rsidRPr="0083169B">
        <w:rPr>
          <w:rFonts w:ascii="Times New Roman" w:hAnsi="Times New Roman" w:cs="Times New Roman"/>
          <w:szCs w:val="24"/>
        </w:rPr>
        <w:t>wdrożenie</w:t>
      </w:r>
      <w:r w:rsidR="00171534" w:rsidRPr="0083169B">
        <w:rPr>
          <w:rFonts w:ascii="Times New Roman" w:hAnsi="Times New Roman" w:cs="Times New Roman"/>
          <w:szCs w:val="24"/>
        </w:rPr>
        <w:t xml:space="preserve"> </w:t>
      </w:r>
      <w:r w:rsidR="008D28AF" w:rsidRPr="0083169B">
        <w:rPr>
          <w:rFonts w:ascii="Times New Roman" w:hAnsi="Times New Roman" w:cs="Times New Roman"/>
          <w:szCs w:val="24"/>
        </w:rPr>
        <w:t xml:space="preserve">art. 7 ust. 3 </w:t>
      </w:r>
      <w:r w:rsidR="00171534" w:rsidRPr="0083169B">
        <w:rPr>
          <w:rFonts w:ascii="Times New Roman" w:hAnsi="Times New Roman" w:cs="Times New Roman"/>
          <w:szCs w:val="24"/>
        </w:rPr>
        <w:t xml:space="preserve">dyrektywy Parlamentu Europejskiego i Rady (UE) </w:t>
      </w:r>
      <w:bookmarkStart w:id="6" w:name="_Hlk181002353"/>
      <w:r w:rsidR="00171534" w:rsidRPr="0083169B">
        <w:rPr>
          <w:rFonts w:ascii="Times New Roman" w:hAnsi="Times New Roman" w:cs="Times New Roman"/>
          <w:szCs w:val="24"/>
        </w:rPr>
        <w:t xml:space="preserve">2022/2381 </w:t>
      </w:r>
      <w:bookmarkEnd w:id="6"/>
      <w:r w:rsidR="00171534" w:rsidRPr="0083169B">
        <w:rPr>
          <w:rFonts w:ascii="Times New Roman" w:hAnsi="Times New Roman" w:cs="Times New Roman"/>
          <w:szCs w:val="24"/>
        </w:rPr>
        <w:t>z dnia 23 listopada 2022 r. w sprawie poprawy równowagi płci wśród dyrektorów spółek giełdowych oraz powiązanych środków (Dz. Urz. UE L 315 z 07.12.2022, str. 44)</w:t>
      </w:r>
      <w:r w:rsidR="00AE38BC" w:rsidRPr="0083169B">
        <w:rPr>
          <w:rFonts w:ascii="Times New Roman" w:hAnsi="Times New Roman" w:cs="Times New Roman"/>
          <w:szCs w:val="24"/>
        </w:rPr>
        <w:t>, zwanej dalej „dyrektywą 2022/2381”.</w:t>
      </w:r>
    </w:p>
    <w:p w14:paraId="69D294CC" w14:textId="07068AE8" w:rsidR="00F30D8F" w:rsidRPr="0083169B" w:rsidRDefault="003420A9" w:rsidP="00EB3CF5">
      <w:pPr>
        <w:pStyle w:val="ARTartustawynprozporzdzenia"/>
        <w:spacing w:before="0"/>
        <w:ind w:firstLine="0"/>
        <w:rPr>
          <w:rFonts w:ascii="Times New Roman" w:hAnsi="Times New Roman" w:cs="Times New Roman"/>
          <w:szCs w:val="24"/>
        </w:rPr>
      </w:pPr>
      <w:r w:rsidRPr="0083169B">
        <w:rPr>
          <w:rFonts w:ascii="Times New Roman" w:hAnsi="Times New Roman" w:cs="Times New Roman"/>
          <w:szCs w:val="24"/>
        </w:rPr>
        <w:t>Przepisy odnoszące się do dyrektywy</w:t>
      </w:r>
      <w:r w:rsidR="00171534" w:rsidRPr="0083169B">
        <w:rPr>
          <w:rFonts w:ascii="Times New Roman" w:hAnsi="Times New Roman" w:cs="Times New Roman"/>
          <w:szCs w:val="24"/>
        </w:rPr>
        <w:t xml:space="preserve"> 2022/2464</w:t>
      </w:r>
      <w:r w:rsidR="00530307">
        <w:rPr>
          <w:rFonts w:ascii="Times New Roman" w:hAnsi="Times New Roman" w:cs="Times New Roman"/>
          <w:szCs w:val="24"/>
        </w:rPr>
        <w:t>, w zakresie zmienionej tą dyrektywą dyrektywy 2004/109,</w:t>
      </w:r>
      <w:r w:rsidRPr="0083169B">
        <w:rPr>
          <w:rFonts w:ascii="Times New Roman" w:hAnsi="Times New Roman" w:cs="Times New Roman"/>
          <w:szCs w:val="24"/>
        </w:rPr>
        <w:t xml:space="preserve"> są zamieszczone w </w:t>
      </w:r>
      <w:r w:rsidR="005F52BC" w:rsidRPr="0083169B">
        <w:rPr>
          <w:rFonts w:ascii="Times New Roman" w:hAnsi="Times New Roman" w:cs="Times New Roman"/>
          <w:szCs w:val="24"/>
        </w:rPr>
        <w:t xml:space="preserve">§ 2 ust. 1 </w:t>
      </w:r>
      <w:r w:rsidR="005D4CD1" w:rsidRPr="0083169B">
        <w:rPr>
          <w:rFonts w:ascii="Times New Roman" w:hAnsi="Times New Roman" w:cs="Times New Roman"/>
          <w:szCs w:val="24"/>
        </w:rPr>
        <w:t xml:space="preserve">pkt </w:t>
      </w:r>
      <w:r w:rsidR="0029256D">
        <w:rPr>
          <w:rFonts w:ascii="Times New Roman" w:hAnsi="Times New Roman" w:cs="Times New Roman"/>
          <w:szCs w:val="24"/>
        </w:rPr>
        <w:t>2</w:t>
      </w:r>
      <w:r w:rsidR="00A62475">
        <w:rPr>
          <w:rFonts w:ascii="Times New Roman" w:hAnsi="Times New Roman" w:cs="Times New Roman"/>
          <w:szCs w:val="24"/>
        </w:rPr>
        <w:t>3</w:t>
      </w:r>
      <w:r w:rsidR="005D4CD1" w:rsidRPr="0083169B">
        <w:rPr>
          <w:rFonts w:ascii="Times New Roman" w:hAnsi="Times New Roman" w:cs="Times New Roman"/>
          <w:szCs w:val="24"/>
        </w:rPr>
        <w:t xml:space="preserve"> lit. f, </w:t>
      </w:r>
      <w:r w:rsidR="005F52BC" w:rsidRPr="0083169B">
        <w:rPr>
          <w:rFonts w:ascii="Times New Roman" w:hAnsi="Times New Roman" w:cs="Times New Roman"/>
          <w:szCs w:val="24"/>
        </w:rPr>
        <w:t xml:space="preserve">pkt </w:t>
      </w:r>
      <w:r w:rsidR="0029256D">
        <w:rPr>
          <w:rFonts w:ascii="Times New Roman" w:hAnsi="Times New Roman" w:cs="Times New Roman"/>
          <w:szCs w:val="24"/>
        </w:rPr>
        <w:t>3</w:t>
      </w:r>
      <w:r w:rsidR="00A62475">
        <w:rPr>
          <w:rFonts w:ascii="Times New Roman" w:hAnsi="Times New Roman" w:cs="Times New Roman"/>
          <w:szCs w:val="24"/>
        </w:rPr>
        <w:t>4</w:t>
      </w:r>
      <w:r w:rsidR="001D28CA" w:rsidRPr="0083169B">
        <w:rPr>
          <w:rFonts w:ascii="Times New Roman" w:hAnsi="Times New Roman" w:cs="Times New Roman"/>
          <w:szCs w:val="24"/>
        </w:rPr>
        <w:t xml:space="preserve"> i </w:t>
      </w:r>
      <w:r w:rsidR="0029256D">
        <w:rPr>
          <w:rFonts w:ascii="Times New Roman" w:hAnsi="Times New Roman" w:cs="Times New Roman"/>
          <w:szCs w:val="24"/>
        </w:rPr>
        <w:t>3</w:t>
      </w:r>
      <w:r w:rsidR="00A62475">
        <w:rPr>
          <w:rFonts w:ascii="Times New Roman" w:hAnsi="Times New Roman" w:cs="Times New Roman"/>
          <w:szCs w:val="24"/>
        </w:rPr>
        <w:t>5</w:t>
      </w:r>
      <w:r w:rsidR="005F52BC" w:rsidRPr="0083169B">
        <w:rPr>
          <w:rFonts w:ascii="Times New Roman" w:hAnsi="Times New Roman" w:cs="Times New Roman"/>
          <w:szCs w:val="24"/>
        </w:rPr>
        <w:t xml:space="preserve">, § 5 pkt </w:t>
      </w:r>
      <w:r w:rsidR="001D28CA" w:rsidRPr="0083169B">
        <w:rPr>
          <w:rFonts w:ascii="Times New Roman" w:hAnsi="Times New Roman" w:cs="Times New Roman"/>
          <w:szCs w:val="24"/>
        </w:rPr>
        <w:t>4, 12 i 13</w:t>
      </w:r>
      <w:r w:rsidR="005F52BC" w:rsidRPr="0083169B">
        <w:rPr>
          <w:rFonts w:ascii="Times New Roman" w:hAnsi="Times New Roman" w:cs="Times New Roman"/>
          <w:szCs w:val="24"/>
        </w:rPr>
        <w:t xml:space="preserve">, § </w:t>
      </w:r>
      <w:r w:rsidR="001D28CA" w:rsidRPr="0083169B">
        <w:rPr>
          <w:rFonts w:ascii="Times New Roman" w:hAnsi="Times New Roman" w:cs="Times New Roman"/>
          <w:szCs w:val="24"/>
        </w:rPr>
        <w:t>71</w:t>
      </w:r>
      <w:r w:rsidR="005F52BC" w:rsidRPr="0083169B">
        <w:rPr>
          <w:rFonts w:ascii="Times New Roman" w:hAnsi="Times New Roman" w:cs="Times New Roman"/>
          <w:szCs w:val="24"/>
        </w:rPr>
        <w:t xml:space="preserve"> ust. 1 pkt 5 lit. b, </w:t>
      </w:r>
      <w:r w:rsidR="001D28CA" w:rsidRPr="0083169B">
        <w:rPr>
          <w:rFonts w:ascii="Times New Roman" w:hAnsi="Times New Roman" w:cs="Times New Roman"/>
          <w:szCs w:val="24"/>
        </w:rPr>
        <w:t xml:space="preserve">pkt 7, </w:t>
      </w:r>
      <w:r w:rsidR="005F52BC" w:rsidRPr="0083169B">
        <w:rPr>
          <w:rFonts w:ascii="Times New Roman" w:hAnsi="Times New Roman" w:cs="Times New Roman"/>
          <w:szCs w:val="24"/>
        </w:rPr>
        <w:t xml:space="preserve">pkt </w:t>
      </w:r>
      <w:r w:rsidR="001D28CA" w:rsidRPr="0083169B">
        <w:rPr>
          <w:rFonts w:ascii="Times New Roman" w:hAnsi="Times New Roman" w:cs="Times New Roman"/>
          <w:szCs w:val="24"/>
        </w:rPr>
        <w:t>8 lit. c i d</w:t>
      </w:r>
      <w:r w:rsidR="004B4E8B" w:rsidRPr="0083169B">
        <w:rPr>
          <w:rFonts w:ascii="Times New Roman" w:hAnsi="Times New Roman" w:cs="Times New Roman"/>
          <w:szCs w:val="24"/>
        </w:rPr>
        <w:t xml:space="preserve">, </w:t>
      </w:r>
      <w:r w:rsidR="0018154E" w:rsidRPr="0083169B">
        <w:rPr>
          <w:rFonts w:ascii="Times New Roman" w:hAnsi="Times New Roman" w:cs="Times New Roman"/>
          <w:szCs w:val="24"/>
        </w:rPr>
        <w:t xml:space="preserve">pkt 10 i 15, </w:t>
      </w:r>
      <w:r w:rsidR="004B4E8B" w:rsidRPr="0083169B">
        <w:rPr>
          <w:rFonts w:ascii="Times New Roman" w:hAnsi="Times New Roman" w:cs="Times New Roman"/>
          <w:szCs w:val="24"/>
        </w:rPr>
        <w:t xml:space="preserve">ust. </w:t>
      </w:r>
      <w:r w:rsidR="00B83BC8" w:rsidRPr="0083169B">
        <w:rPr>
          <w:rFonts w:ascii="Times New Roman" w:hAnsi="Times New Roman" w:cs="Times New Roman"/>
          <w:szCs w:val="24"/>
        </w:rPr>
        <w:t>7</w:t>
      </w:r>
      <w:r w:rsidR="004B4E8B" w:rsidRPr="0083169B">
        <w:rPr>
          <w:rFonts w:ascii="Times New Roman" w:hAnsi="Times New Roman" w:cs="Times New Roman"/>
          <w:szCs w:val="24"/>
        </w:rPr>
        <w:t xml:space="preserve"> pkt 5 lit. m, pkt </w:t>
      </w:r>
      <w:r w:rsidR="00B83BC8" w:rsidRPr="0083169B">
        <w:rPr>
          <w:rFonts w:ascii="Times New Roman" w:hAnsi="Times New Roman" w:cs="Times New Roman"/>
          <w:szCs w:val="24"/>
        </w:rPr>
        <w:t>8</w:t>
      </w:r>
      <w:r w:rsidR="004B4E8B" w:rsidRPr="0083169B">
        <w:rPr>
          <w:rFonts w:ascii="Times New Roman" w:hAnsi="Times New Roman" w:cs="Times New Roman"/>
          <w:szCs w:val="24"/>
        </w:rPr>
        <w:t xml:space="preserve"> i </w:t>
      </w:r>
      <w:r w:rsidR="00B83BC8" w:rsidRPr="0083169B">
        <w:rPr>
          <w:rFonts w:ascii="Times New Roman" w:hAnsi="Times New Roman" w:cs="Times New Roman"/>
          <w:szCs w:val="24"/>
        </w:rPr>
        <w:t>9</w:t>
      </w:r>
      <w:r w:rsidR="004B4E8B" w:rsidRPr="0083169B">
        <w:rPr>
          <w:rFonts w:ascii="Times New Roman" w:hAnsi="Times New Roman" w:cs="Times New Roman"/>
          <w:szCs w:val="24"/>
        </w:rPr>
        <w:t xml:space="preserve">, </w:t>
      </w:r>
      <w:r w:rsidR="00E91D9A" w:rsidRPr="0083169B">
        <w:rPr>
          <w:rFonts w:ascii="Times New Roman" w:hAnsi="Times New Roman" w:cs="Times New Roman"/>
          <w:szCs w:val="24"/>
        </w:rPr>
        <w:t>ust. 8 pkt 21 lit. a</w:t>
      </w:r>
      <w:r w:rsidR="00521B7A">
        <w:rPr>
          <w:rFonts w:ascii="Times New Roman" w:hAnsi="Times New Roman" w:cs="Times New Roman"/>
          <w:szCs w:val="24"/>
        </w:rPr>
        <w:t xml:space="preserve"> i</w:t>
      </w:r>
      <w:r w:rsidR="00E91D9A" w:rsidRPr="0083169B">
        <w:rPr>
          <w:rFonts w:ascii="Times New Roman" w:hAnsi="Times New Roman" w:cs="Times New Roman"/>
          <w:szCs w:val="24"/>
        </w:rPr>
        <w:t xml:space="preserve"> </w:t>
      </w:r>
      <w:r w:rsidR="004B4E8B" w:rsidRPr="0083169B">
        <w:rPr>
          <w:rFonts w:ascii="Times New Roman" w:hAnsi="Times New Roman" w:cs="Times New Roman"/>
          <w:szCs w:val="24"/>
        </w:rPr>
        <w:t xml:space="preserve">ust. </w:t>
      </w:r>
      <w:r w:rsidR="00E91D9A" w:rsidRPr="0083169B">
        <w:rPr>
          <w:rFonts w:ascii="Times New Roman" w:hAnsi="Times New Roman" w:cs="Times New Roman"/>
          <w:szCs w:val="24"/>
        </w:rPr>
        <w:t>17</w:t>
      </w:r>
      <w:r w:rsidR="004B4E8B" w:rsidRPr="0083169B">
        <w:rPr>
          <w:rFonts w:ascii="Times New Roman" w:hAnsi="Times New Roman" w:cs="Times New Roman"/>
          <w:szCs w:val="24"/>
        </w:rPr>
        <w:t xml:space="preserve">, § </w:t>
      </w:r>
      <w:r w:rsidR="00E91D9A" w:rsidRPr="0083169B">
        <w:rPr>
          <w:rFonts w:ascii="Times New Roman" w:hAnsi="Times New Roman" w:cs="Times New Roman"/>
          <w:szCs w:val="24"/>
        </w:rPr>
        <w:t>72</w:t>
      </w:r>
      <w:r w:rsidR="004B4E8B" w:rsidRPr="0083169B">
        <w:rPr>
          <w:rFonts w:ascii="Times New Roman" w:hAnsi="Times New Roman" w:cs="Times New Roman"/>
          <w:szCs w:val="24"/>
        </w:rPr>
        <w:t xml:space="preserve"> ust. 1 pkt </w:t>
      </w:r>
      <w:r w:rsidR="00BD7813" w:rsidRPr="0083169B">
        <w:rPr>
          <w:rFonts w:ascii="Times New Roman" w:hAnsi="Times New Roman" w:cs="Times New Roman"/>
          <w:szCs w:val="24"/>
        </w:rPr>
        <w:t>5</w:t>
      </w:r>
      <w:r w:rsidR="004B4E8B" w:rsidRPr="0083169B">
        <w:rPr>
          <w:rFonts w:ascii="Times New Roman" w:hAnsi="Times New Roman" w:cs="Times New Roman"/>
          <w:szCs w:val="24"/>
        </w:rPr>
        <w:t xml:space="preserve"> lit. b</w:t>
      </w:r>
      <w:r w:rsidR="00BD7813" w:rsidRPr="0083169B">
        <w:rPr>
          <w:rFonts w:ascii="Times New Roman" w:hAnsi="Times New Roman" w:cs="Times New Roman"/>
          <w:szCs w:val="24"/>
        </w:rPr>
        <w:t>, pkt 7</w:t>
      </w:r>
      <w:r w:rsidR="004B4E8B" w:rsidRPr="0083169B">
        <w:rPr>
          <w:rFonts w:ascii="Times New Roman" w:hAnsi="Times New Roman" w:cs="Times New Roman"/>
          <w:szCs w:val="24"/>
        </w:rPr>
        <w:t xml:space="preserve">, </w:t>
      </w:r>
      <w:r w:rsidR="00BD7813" w:rsidRPr="0083169B">
        <w:rPr>
          <w:rFonts w:ascii="Times New Roman" w:hAnsi="Times New Roman" w:cs="Times New Roman"/>
          <w:szCs w:val="24"/>
        </w:rPr>
        <w:t>pkt 8 lit. c i d, pkt 12</w:t>
      </w:r>
      <w:r w:rsidR="005728A1" w:rsidRPr="0083169B">
        <w:rPr>
          <w:rFonts w:ascii="Times New Roman" w:hAnsi="Times New Roman" w:cs="Times New Roman"/>
          <w:szCs w:val="24"/>
        </w:rPr>
        <w:t xml:space="preserve">, </w:t>
      </w:r>
      <w:r w:rsidR="004B4E8B" w:rsidRPr="0083169B">
        <w:rPr>
          <w:rFonts w:ascii="Times New Roman" w:hAnsi="Times New Roman" w:cs="Times New Roman"/>
          <w:szCs w:val="24"/>
        </w:rPr>
        <w:t>ust. 6</w:t>
      </w:r>
      <w:r w:rsidR="00E70209" w:rsidRPr="0083169B">
        <w:rPr>
          <w:rFonts w:ascii="Times New Roman" w:hAnsi="Times New Roman" w:cs="Times New Roman"/>
          <w:szCs w:val="24"/>
        </w:rPr>
        <w:t xml:space="preserve"> oraz § </w:t>
      </w:r>
      <w:r w:rsidR="005728A1" w:rsidRPr="0083169B">
        <w:rPr>
          <w:rFonts w:ascii="Times New Roman" w:hAnsi="Times New Roman" w:cs="Times New Roman"/>
          <w:szCs w:val="24"/>
        </w:rPr>
        <w:t>77</w:t>
      </w:r>
      <w:r w:rsidR="00E70209" w:rsidRPr="0083169B">
        <w:rPr>
          <w:rFonts w:ascii="Times New Roman" w:hAnsi="Times New Roman" w:cs="Times New Roman"/>
          <w:szCs w:val="24"/>
        </w:rPr>
        <w:t xml:space="preserve"> ust. 2. </w:t>
      </w:r>
    </w:p>
    <w:p w14:paraId="3BB3FF21" w14:textId="321277FB" w:rsidR="00171534" w:rsidRPr="0083169B" w:rsidRDefault="00171534" w:rsidP="00A26FCE">
      <w:pPr>
        <w:pStyle w:val="ARTartustawynprozporzdzenia"/>
        <w:spacing w:before="0"/>
        <w:ind w:firstLine="0"/>
        <w:rPr>
          <w:rFonts w:ascii="Times New Roman" w:hAnsi="Times New Roman" w:cs="Times New Roman"/>
          <w:szCs w:val="24"/>
        </w:rPr>
      </w:pPr>
      <w:r w:rsidRPr="0083169B">
        <w:rPr>
          <w:rFonts w:ascii="Times New Roman" w:hAnsi="Times New Roman" w:cs="Times New Roman"/>
          <w:szCs w:val="24"/>
        </w:rPr>
        <w:t xml:space="preserve">Przepisy wdrażające dyrektywę </w:t>
      </w:r>
      <w:r w:rsidR="00AE38BC" w:rsidRPr="0083169B">
        <w:rPr>
          <w:rFonts w:ascii="Times New Roman" w:hAnsi="Times New Roman" w:cs="Times New Roman"/>
          <w:szCs w:val="24"/>
        </w:rPr>
        <w:t xml:space="preserve">2022/2381 </w:t>
      </w:r>
      <w:r w:rsidRPr="0083169B">
        <w:rPr>
          <w:rFonts w:ascii="Times New Roman" w:hAnsi="Times New Roman" w:cs="Times New Roman"/>
          <w:szCs w:val="24"/>
        </w:rPr>
        <w:t>są natomiast zawarte w projektowanym § 71 ust. 7 pkt 5 lit. n.</w:t>
      </w:r>
    </w:p>
    <w:p w14:paraId="593C1A23" w14:textId="29D09D60" w:rsidR="00EB2577" w:rsidRPr="0083169B" w:rsidRDefault="00D66A78" w:rsidP="00AE38BC">
      <w:pPr>
        <w:pStyle w:val="ZLITwPKTzmlitwpktartykuempunktem"/>
        <w:suppressAutoHyphens/>
        <w:autoSpaceDE w:val="0"/>
        <w:autoSpaceDN w:val="0"/>
        <w:adjustRightInd w:val="0"/>
        <w:ind w:left="0" w:firstLine="0"/>
        <w:rPr>
          <w:rFonts w:ascii="Times New Roman" w:hAnsi="Times New Roman" w:cs="Times New Roman"/>
          <w:szCs w:val="24"/>
        </w:rPr>
      </w:pPr>
      <w:r w:rsidRPr="0083169B">
        <w:rPr>
          <w:rFonts w:ascii="Times New Roman" w:hAnsi="Times New Roman" w:cs="Times New Roman"/>
          <w:szCs w:val="24"/>
        </w:rPr>
        <w:t xml:space="preserve">Wskazane wyżej zmiany dostosowują również </w:t>
      </w:r>
      <w:r w:rsidR="00814C9A" w:rsidRPr="0083169B">
        <w:rPr>
          <w:rFonts w:ascii="Times New Roman" w:hAnsi="Times New Roman" w:cs="Times New Roman"/>
          <w:szCs w:val="24"/>
        </w:rPr>
        <w:t xml:space="preserve">przepisy </w:t>
      </w:r>
      <w:r w:rsidR="00400F1C">
        <w:rPr>
          <w:rFonts w:ascii="Times New Roman" w:hAnsi="Times New Roman" w:cs="Times New Roman"/>
          <w:szCs w:val="24"/>
        </w:rPr>
        <w:t xml:space="preserve">zawarte w </w:t>
      </w:r>
      <w:r w:rsidR="00D22F12" w:rsidRPr="0083169B">
        <w:rPr>
          <w:rFonts w:ascii="Times New Roman" w:hAnsi="Times New Roman" w:cs="Times New Roman"/>
          <w:szCs w:val="24"/>
        </w:rPr>
        <w:t>rozporządzeni</w:t>
      </w:r>
      <w:r w:rsidR="00400F1C">
        <w:rPr>
          <w:rFonts w:ascii="Times New Roman" w:hAnsi="Times New Roman" w:cs="Times New Roman"/>
          <w:szCs w:val="24"/>
        </w:rPr>
        <w:t>u</w:t>
      </w:r>
      <w:r w:rsidR="00D22F12" w:rsidRPr="0083169B">
        <w:rPr>
          <w:rFonts w:ascii="Times New Roman" w:hAnsi="Times New Roman" w:cs="Times New Roman"/>
          <w:szCs w:val="24"/>
        </w:rPr>
        <w:t xml:space="preserve"> </w:t>
      </w:r>
      <w:r w:rsidR="00171534" w:rsidRPr="0083169B">
        <w:rPr>
          <w:rFonts w:ascii="Times New Roman" w:hAnsi="Times New Roman" w:cs="Times New Roman"/>
          <w:szCs w:val="24"/>
        </w:rPr>
        <w:t>obowiązując</w:t>
      </w:r>
      <w:r w:rsidR="00400F1C">
        <w:rPr>
          <w:rFonts w:ascii="Times New Roman" w:hAnsi="Times New Roman" w:cs="Times New Roman"/>
          <w:szCs w:val="24"/>
        </w:rPr>
        <w:t>ym</w:t>
      </w:r>
      <w:r w:rsidR="00171534" w:rsidRPr="0083169B">
        <w:rPr>
          <w:rFonts w:ascii="Times New Roman" w:hAnsi="Times New Roman" w:cs="Times New Roman"/>
          <w:szCs w:val="24"/>
        </w:rPr>
        <w:t xml:space="preserve"> </w:t>
      </w:r>
      <w:r w:rsidR="00D22F12" w:rsidRPr="0083169B">
        <w:rPr>
          <w:rFonts w:ascii="Times New Roman" w:hAnsi="Times New Roman" w:cs="Times New Roman"/>
          <w:szCs w:val="24"/>
        </w:rPr>
        <w:t xml:space="preserve">do </w:t>
      </w:r>
      <w:r w:rsidR="00A26FCE" w:rsidRPr="0083169B">
        <w:rPr>
          <w:rFonts w:ascii="Times New Roman" w:hAnsi="Times New Roman" w:cs="Times New Roman"/>
          <w:szCs w:val="24"/>
        </w:rPr>
        <w:t>zmian</w:t>
      </w:r>
      <w:r w:rsidR="00D22F12" w:rsidRPr="0083169B">
        <w:rPr>
          <w:rFonts w:ascii="Times New Roman" w:hAnsi="Times New Roman" w:cs="Times New Roman"/>
          <w:szCs w:val="24"/>
        </w:rPr>
        <w:t xml:space="preserve"> </w:t>
      </w:r>
      <w:r w:rsidR="00EB2577" w:rsidRPr="0083169B">
        <w:rPr>
          <w:rFonts w:ascii="Times New Roman" w:hAnsi="Times New Roman" w:cs="Times New Roman"/>
          <w:szCs w:val="24"/>
        </w:rPr>
        <w:t xml:space="preserve">przepisów o rachunkowości </w:t>
      </w:r>
      <w:r w:rsidR="00D22F12" w:rsidRPr="0083169B">
        <w:rPr>
          <w:rFonts w:ascii="Times New Roman" w:hAnsi="Times New Roman" w:cs="Times New Roman"/>
          <w:szCs w:val="24"/>
        </w:rPr>
        <w:t xml:space="preserve">wprowadzonych </w:t>
      </w:r>
      <w:r w:rsidR="00A26FCE" w:rsidRPr="0083169B">
        <w:rPr>
          <w:rFonts w:ascii="Times New Roman" w:hAnsi="Times New Roman" w:cs="Times New Roman"/>
          <w:szCs w:val="24"/>
        </w:rPr>
        <w:t xml:space="preserve">ustawą z dnia </w:t>
      </w:r>
      <w:r w:rsidR="00DC4F75">
        <w:rPr>
          <w:rFonts w:ascii="Times New Roman" w:hAnsi="Times New Roman" w:cs="Times New Roman"/>
          <w:szCs w:val="24"/>
        </w:rPr>
        <w:t>6</w:t>
      </w:r>
      <w:r w:rsidR="00A26FCE" w:rsidRPr="0083169B">
        <w:rPr>
          <w:rFonts w:ascii="Times New Roman" w:hAnsi="Times New Roman" w:cs="Times New Roman"/>
          <w:szCs w:val="24"/>
        </w:rPr>
        <w:t xml:space="preserve"> </w:t>
      </w:r>
      <w:r w:rsidR="00DC4F75">
        <w:rPr>
          <w:rFonts w:ascii="Times New Roman" w:hAnsi="Times New Roman" w:cs="Times New Roman"/>
          <w:szCs w:val="24"/>
        </w:rPr>
        <w:t>grudnia</w:t>
      </w:r>
      <w:r w:rsidR="00A26FCE" w:rsidRPr="0083169B">
        <w:rPr>
          <w:rFonts w:ascii="Times New Roman" w:hAnsi="Times New Roman" w:cs="Times New Roman"/>
          <w:szCs w:val="24"/>
        </w:rPr>
        <w:t xml:space="preserve"> </w:t>
      </w:r>
      <w:r w:rsidR="00DC4F75">
        <w:rPr>
          <w:rFonts w:ascii="Times New Roman" w:hAnsi="Times New Roman" w:cs="Times New Roman"/>
          <w:szCs w:val="24"/>
        </w:rPr>
        <w:t xml:space="preserve">2024 r. </w:t>
      </w:r>
      <w:r w:rsidR="00A26FCE" w:rsidRPr="0083169B">
        <w:rPr>
          <w:rFonts w:ascii="Times New Roman" w:hAnsi="Times New Roman" w:cs="Times New Roman"/>
          <w:szCs w:val="24"/>
        </w:rPr>
        <w:t>o zmianie ustawy o rachunkowości, ustawy o biegłych rewidentach, firmach audytorskich oraz nadzorze publicznym oraz niektórych innych ustaw</w:t>
      </w:r>
      <w:r w:rsidR="000E5254">
        <w:rPr>
          <w:rFonts w:ascii="Times New Roman" w:hAnsi="Times New Roman" w:cs="Times New Roman"/>
          <w:szCs w:val="24"/>
        </w:rPr>
        <w:t xml:space="preserve"> (Dz. U. poz. 1863)</w:t>
      </w:r>
      <w:r w:rsidR="00AE38BC" w:rsidRPr="0083169B">
        <w:rPr>
          <w:rFonts w:ascii="Times New Roman" w:hAnsi="Times New Roman" w:cs="Times New Roman"/>
          <w:szCs w:val="24"/>
        </w:rPr>
        <w:t>, która w zakresie swojej regulacji wdraża zasadniczą część przepisów dyrektywy 2022/2464</w:t>
      </w:r>
      <w:r w:rsidR="00BE1CA1" w:rsidRPr="0083169B">
        <w:rPr>
          <w:rFonts w:ascii="Times New Roman" w:hAnsi="Times New Roman" w:cs="Times New Roman"/>
          <w:szCs w:val="24"/>
        </w:rPr>
        <w:t>.</w:t>
      </w:r>
      <w:r w:rsidR="00A26FCE" w:rsidRPr="0083169B">
        <w:rPr>
          <w:rFonts w:ascii="Times New Roman" w:hAnsi="Times New Roman" w:cs="Times New Roman"/>
          <w:szCs w:val="24"/>
        </w:rPr>
        <w:t xml:space="preserve"> W tym kontekście należy zwrócić uwagę, że</w:t>
      </w:r>
      <w:r w:rsidR="00E16C61" w:rsidRPr="0083169B">
        <w:rPr>
          <w:rFonts w:ascii="Times New Roman" w:hAnsi="Times New Roman" w:cs="Times New Roman"/>
          <w:szCs w:val="24"/>
        </w:rPr>
        <w:t xml:space="preserve"> ustawa ta wprowadza przepisy </w:t>
      </w:r>
      <w:r w:rsidR="006A5169" w:rsidRPr="0083169B">
        <w:rPr>
          <w:rFonts w:ascii="Times New Roman" w:hAnsi="Times New Roman" w:cs="Times New Roman"/>
          <w:szCs w:val="24"/>
        </w:rPr>
        <w:t xml:space="preserve">w zakresie </w:t>
      </w:r>
      <w:r w:rsidR="00B73899" w:rsidRPr="0083169B">
        <w:rPr>
          <w:rFonts w:ascii="Times New Roman" w:hAnsi="Times New Roman" w:cs="Times New Roman"/>
          <w:szCs w:val="24"/>
        </w:rPr>
        <w:t>sprawozdawczości</w:t>
      </w:r>
      <w:r w:rsidR="00E16C61" w:rsidRPr="0083169B">
        <w:rPr>
          <w:rFonts w:ascii="Times New Roman" w:hAnsi="Times New Roman" w:cs="Times New Roman"/>
          <w:szCs w:val="24"/>
        </w:rPr>
        <w:t xml:space="preserve"> zrównoważonego rozwoju w miejsce dotychczasowych regulacji odnoszących się do </w:t>
      </w:r>
      <w:r w:rsidR="00B73899" w:rsidRPr="0083169B">
        <w:rPr>
          <w:rFonts w:ascii="Times New Roman" w:hAnsi="Times New Roman" w:cs="Times New Roman"/>
          <w:szCs w:val="24"/>
        </w:rPr>
        <w:t xml:space="preserve">sprawozdawczości </w:t>
      </w:r>
      <w:r w:rsidR="00E16C61" w:rsidRPr="0083169B">
        <w:rPr>
          <w:rFonts w:ascii="Times New Roman" w:hAnsi="Times New Roman" w:cs="Times New Roman"/>
          <w:szCs w:val="24"/>
        </w:rPr>
        <w:t>niefinansowe</w:t>
      </w:r>
      <w:r w:rsidR="00B73899" w:rsidRPr="0083169B">
        <w:rPr>
          <w:rFonts w:ascii="Times New Roman" w:hAnsi="Times New Roman" w:cs="Times New Roman"/>
          <w:szCs w:val="24"/>
        </w:rPr>
        <w:t>j</w:t>
      </w:r>
      <w:r w:rsidR="00E16C61" w:rsidRPr="0083169B">
        <w:rPr>
          <w:rFonts w:ascii="Times New Roman" w:hAnsi="Times New Roman" w:cs="Times New Roman"/>
          <w:szCs w:val="24"/>
        </w:rPr>
        <w:t>.</w:t>
      </w:r>
    </w:p>
    <w:p w14:paraId="61704381" w14:textId="61E0CC49" w:rsidR="00EB2577" w:rsidRPr="0083169B" w:rsidRDefault="00A724EC" w:rsidP="006920D1">
      <w:pPr>
        <w:pStyle w:val="ARTartustawynprozporzdzenia"/>
        <w:spacing w:before="0"/>
        <w:ind w:firstLine="0"/>
        <w:rPr>
          <w:rFonts w:ascii="Times New Roman" w:hAnsi="Times New Roman" w:cs="Times New Roman"/>
          <w:szCs w:val="24"/>
        </w:rPr>
      </w:pPr>
      <w:bookmarkStart w:id="7" w:name="_Hlk181116440"/>
      <w:bookmarkStart w:id="8" w:name="_Hlk181117795"/>
      <w:r w:rsidRPr="0083169B">
        <w:rPr>
          <w:rFonts w:ascii="Times New Roman" w:hAnsi="Times New Roman" w:cs="Times New Roman"/>
          <w:szCs w:val="24"/>
        </w:rPr>
        <w:t xml:space="preserve">Projektowane rozporządzenie wprowadza również </w:t>
      </w:r>
      <w:r w:rsidR="00DA0034">
        <w:rPr>
          <w:rFonts w:ascii="Times New Roman" w:hAnsi="Times New Roman" w:cs="Times New Roman"/>
          <w:szCs w:val="24"/>
        </w:rPr>
        <w:t xml:space="preserve">propozycje </w:t>
      </w:r>
      <w:r w:rsidRPr="0083169B">
        <w:rPr>
          <w:rFonts w:ascii="Times New Roman" w:hAnsi="Times New Roman" w:cs="Times New Roman"/>
          <w:szCs w:val="24"/>
        </w:rPr>
        <w:t>zmian</w:t>
      </w:r>
      <w:r w:rsidR="00CF689A">
        <w:rPr>
          <w:rFonts w:ascii="Times New Roman" w:hAnsi="Times New Roman" w:cs="Times New Roman"/>
          <w:szCs w:val="24"/>
        </w:rPr>
        <w:t xml:space="preserve">, których potrzeba została rozpoznana w </w:t>
      </w:r>
      <w:r w:rsidR="00844292">
        <w:rPr>
          <w:rFonts w:ascii="Times New Roman" w:hAnsi="Times New Roman" w:cs="Times New Roman"/>
          <w:szCs w:val="24"/>
        </w:rPr>
        <w:t xml:space="preserve">ramach </w:t>
      </w:r>
      <w:r w:rsidR="00622007" w:rsidRPr="0083169B">
        <w:rPr>
          <w:rFonts w:ascii="Times New Roman" w:hAnsi="Times New Roman" w:cs="Times New Roman"/>
          <w:szCs w:val="24"/>
        </w:rPr>
        <w:t xml:space="preserve">praktyki i </w:t>
      </w:r>
      <w:r w:rsidR="00EB2577" w:rsidRPr="0083169B">
        <w:rPr>
          <w:rFonts w:ascii="Times New Roman" w:hAnsi="Times New Roman" w:cs="Times New Roman"/>
          <w:szCs w:val="24"/>
        </w:rPr>
        <w:t xml:space="preserve">doświadczeń nadzorczych </w:t>
      </w:r>
      <w:r w:rsidR="006920D1" w:rsidRPr="0083169B">
        <w:rPr>
          <w:rFonts w:ascii="Times New Roman" w:hAnsi="Times New Roman" w:cs="Times New Roman"/>
          <w:szCs w:val="24"/>
        </w:rPr>
        <w:t>Komisji Nadzoru Finansowego</w:t>
      </w:r>
      <w:bookmarkEnd w:id="7"/>
      <w:r w:rsidR="006920D1" w:rsidRPr="0083169B">
        <w:rPr>
          <w:rFonts w:ascii="Times New Roman" w:hAnsi="Times New Roman" w:cs="Times New Roman"/>
          <w:szCs w:val="24"/>
        </w:rPr>
        <w:t xml:space="preserve">. </w:t>
      </w:r>
      <w:bookmarkEnd w:id="8"/>
      <w:r w:rsidR="006920D1" w:rsidRPr="0083169B">
        <w:rPr>
          <w:rFonts w:ascii="Times New Roman" w:hAnsi="Times New Roman" w:cs="Times New Roman"/>
          <w:szCs w:val="24"/>
        </w:rPr>
        <w:t>Dotyczy to propozycji</w:t>
      </w:r>
      <w:r w:rsidR="008D28AF" w:rsidRPr="0083169B">
        <w:rPr>
          <w:rFonts w:ascii="Times New Roman" w:hAnsi="Times New Roman" w:cs="Times New Roman"/>
          <w:szCs w:val="24"/>
        </w:rPr>
        <w:t xml:space="preserve"> regulacji zawartych w</w:t>
      </w:r>
      <w:r w:rsidR="006920D1" w:rsidRPr="0083169B">
        <w:rPr>
          <w:rFonts w:ascii="Times New Roman" w:hAnsi="Times New Roman" w:cs="Times New Roman"/>
          <w:szCs w:val="24"/>
        </w:rPr>
        <w:t>:</w:t>
      </w:r>
    </w:p>
    <w:p w14:paraId="63BA23C9" w14:textId="77777777" w:rsidR="00994C45" w:rsidRPr="0083169B" w:rsidRDefault="008D28AF" w:rsidP="006920D1">
      <w:pPr>
        <w:pStyle w:val="ARTartustawynprozporzdzenia"/>
        <w:spacing w:before="0"/>
        <w:ind w:firstLine="0"/>
        <w:rPr>
          <w:rFonts w:ascii="Times New Roman" w:hAnsi="Times New Roman" w:cs="Times New Roman"/>
          <w:szCs w:val="24"/>
        </w:rPr>
      </w:pPr>
      <w:r w:rsidRPr="0083169B">
        <w:rPr>
          <w:rFonts w:ascii="Times New Roman" w:hAnsi="Times New Roman" w:cs="Times New Roman"/>
          <w:szCs w:val="24"/>
        </w:rPr>
        <w:t>1)</w:t>
      </w:r>
      <w:r w:rsidRPr="0083169B">
        <w:rPr>
          <w:rFonts w:ascii="Times New Roman" w:hAnsi="Times New Roman" w:cs="Times New Roman"/>
          <w:szCs w:val="24"/>
        </w:rPr>
        <w:tab/>
        <w:t>§ 5</w:t>
      </w:r>
      <w:r w:rsidR="00994C45" w:rsidRPr="0083169B">
        <w:rPr>
          <w:rFonts w:ascii="Times New Roman" w:hAnsi="Times New Roman" w:cs="Times New Roman"/>
          <w:szCs w:val="24"/>
        </w:rPr>
        <w:t>:</w:t>
      </w:r>
    </w:p>
    <w:p w14:paraId="76F653AE" w14:textId="41A59140" w:rsidR="00622007" w:rsidRPr="0083169B" w:rsidRDefault="00994C45" w:rsidP="0083169B">
      <w:pPr>
        <w:pStyle w:val="ARTartustawynprozporzdzenia"/>
        <w:spacing w:before="0"/>
        <w:ind w:left="568" w:hanging="284"/>
        <w:rPr>
          <w:rFonts w:ascii="Times New Roman" w:hAnsi="Times New Roman" w:cs="Times New Roman"/>
          <w:szCs w:val="24"/>
        </w:rPr>
      </w:pPr>
      <w:r w:rsidRPr="0083169B">
        <w:rPr>
          <w:rFonts w:ascii="Times New Roman" w:hAnsi="Times New Roman" w:cs="Times New Roman"/>
          <w:szCs w:val="24"/>
        </w:rPr>
        <w:lastRenderedPageBreak/>
        <w:t>a)</w:t>
      </w:r>
      <w:r w:rsidRPr="0083169B">
        <w:rPr>
          <w:rFonts w:ascii="Times New Roman" w:hAnsi="Times New Roman" w:cs="Times New Roman"/>
          <w:szCs w:val="24"/>
        </w:rPr>
        <w:tab/>
      </w:r>
      <w:r w:rsidR="008D28AF" w:rsidRPr="0083169B">
        <w:rPr>
          <w:rFonts w:ascii="Times New Roman" w:hAnsi="Times New Roman" w:cs="Times New Roman"/>
          <w:szCs w:val="24"/>
        </w:rPr>
        <w:t xml:space="preserve">pkt </w:t>
      </w:r>
      <w:r w:rsidRPr="0083169B">
        <w:rPr>
          <w:rFonts w:ascii="Times New Roman" w:hAnsi="Times New Roman" w:cs="Times New Roman"/>
          <w:szCs w:val="24"/>
        </w:rPr>
        <w:t xml:space="preserve">8 </w:t>
      </w:r>
      <w:r w:rsidR="00916611" w:rsidRPr="0083169B">
        <w:rPr>
          <w:rFonts w:ascii="Times New Roman" w:hAnsi="Times New Roman" w:cs="Times New Roman"/>
          <w:szCs w:val="24"/>
        </w:rPr>
        <w:t>(</w:t>
      </w:r>
      <w:r w:rsidR="00916611" w:rsidRPr="0083169B">
        <w:rPr>
          <w:rFonts w:ascii="Times New Roman" w:hAnsi="Times New Roman" w:cs="Times New Roman"/>
          <w:i/>
          <w:iCs/>
          <w:szCs w:val="24"/>
        </w:rPr>
        <w:t>pkt 7 w rozporządzeniu obowiązującym</w:t>
      </w:r>
      <w:r w:rsidR="00916611" w:rsidRPr="0083169B">
        <w:rPr>
          <w:rFonts w:ascii="Times New Roman" w:hAnsi="Times New Roman" w:cs="Times New Roman"/>
          <w:szCs w:val="24"/>
        </w:rPr>
        <w:t xml:space="preserve">) </w:t>
      </w:r>
      <w:r w:rsidR="008D28AF" w:rsidRPr="0083169B">
        <w:rPr>
          <w:rFonts w:ascii="Times New Roman" w:hAnsi="Times New Roman" w:cs="Times New Roman"/>
          <w:szCs w:val="24"/>
        </w:rPr>
        <w:t xml:space="preserve">– </w:t>
      </w:r>
      <w:r w:rsidRPr="0083169B">
        <w:rPr>
          <w:rFonts w:ascii="Times New Roman" w:hAnsi="Times New Roman" w:cs="Times New Roman"/>
          <w:szCs w:val="24"/>
        </w:rPr>
        <w:t>praktyka nadzorcza wskazuje na konieczność poszerzenia katalogu zdarzeń w ramach postępowań upadłościowych i restrukturyzacyjnych, o których emitent powinien informować</w:t>
      </w:r>
      <w:r w:rsidR="00961FBC" w:rsidRPr="0083169B">
        <w:rPr>
          <w:rFonts w:ascii="Times New Roman" w:hAnsi="Times New Roman" w:cs="Times New Roman"/>
          <w:szCs w:val="24"/>
        </w:rPr>
        <w:t xml:space="preserve"> –</w:t>
      </w:r>
      <w:r w:rsidRPr="0083169B">
        <w:rPr>
          <w:rFonts w:ascii="Times New Roman" w:hAnsi="Times New Roman" w:cs="Times New Roman"/>
          <w:szCs w:val="24"/>
        </w:rPr>
        <w:t xml:space="preserve"> </w:t>
      </w:r>
      <w:r w:rsidR="00961FBC" w:rsidRPr="0083169B">
        <w:rPr>
          <w:rFonts w:ascii="Times New Roman" w:hAnsi="Times New Roman" w:cs="Times New Roman"/>
          <w:szCs w:val="24"/>
        </w:rPr>
        <w:t>m</w:t>
      </w:r>
      <w:r w:rsidRPr="0083169B">
        <w:rPr>
          <w:rFonts w:ascii="Times New Roman" w:hAnsi="Times New Roman" w:cs="Times New Roman"/>
          <w:szCs w:val="24"/>
        </w:rPr>
        <w:t xml:space="preserve">a </w:t>
      </w:r>
      <w:r w:rsidR="00961FBC" w:rsidRPr="0083169B">
        <w:rPr>
          <w:rFonts w:ascii="Times New Roman" w:hAnsi="Times New Roman" w:cs="Times New Roman"/>
          <w:szCs w:val="24"/>
        </w:rPr>
        <w:t xml:space="preserve">to </w:t>
      </w:r>
      <w:r w:rsidRPr="0083169B">
        <w:rPr>
          <w:rFonts w:ascii="Times New Roman" w:hAnsi="Times New Roman" w:cs="Times New Roman"/>
          <w:szCs w:val="24"/>
        </w:rPr>
        <w:t>na celu zapewnienie uczestnikom rynku dostępu do informacji istotnych dla oceny sytuacji majątkowej, finansowej i wyników emitenta</w:t>
      </w:r>
      <w:r w:rsidR="00400F1C">
        <w:rPr>
          <w:rFonts w:ascii="Times New Roman" w:hAnsi="Times New Roman" w:cs="Times New Roman"/>
          <w:szCs w:val="24"/>
        </w:rPr>
        <w:t>,</w:t>
      </w:r>
    </w:p>
    <w:p w14:paraId="759DCB54" w14:textId="71BD0A6B" w:rsidR="00622007" w:rsidRPr="0083169B" w:rsidRDefault="00D54ABD" w:rsidP="007C1779">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b</w:t>
      </w:r>
      <w:r w:rsidR="00994C45" w:rsidRPr="0083169B">
        <w:rPr>
          <w:rFonts w:ascii="Times New Roman" w:hAnsi="Times New Roman" w:cs="Times New Roman"/>
          <w:szCs w:val="24"/>
        </w:rPr>
        <w:t>)</w:t>
      </w:r>
      <w:r w:rsidR="00994C45" w:rsidRPr="0083169B">
        <w:rPr>
          <w:rFonts w:ascii="Times New Roman" w:hAnsi="Times New Roman" w:cs="Times New Roman"/>
          <w:szCs w:val="24"/>
        </w:rPr>
        <w:tab/>
        <w:t xml:space="preserve">pkt 9 </w:t>
      </w:r>
      <w:r w:rsidR="00916611" w:rsidRPr="0083169B">
        <w:rPr>
          <w:rFonts w:ascii="Times New Roman" w:hAnsi="Times New Roman" w:cs="Times New Roman"/>
          <w:szCs w:val="24"/>
        </w:rPr>
        <w:t>(</w:t>
      </w:r>
      <w:r w:rsidR="00916611" w:rsidRPr="0083169B">
        <w:rPr>
          <w:rFonts w:ascii="Times New Roman" w:hAnsi="Times New Roman" w:cs="Times New Roman"/>
          <w:i/>
          <w:iCs/>
          <w:szCs w:val="24"/>
        </w:rPr>
        <w:t>pkt 8 w rozporządzeniu obowiązującym</w:t>
      </w:r>
      <w:r w:rsidR="00916611" w:rsidRPr="0083169B">
        <w:rPr>
          <w:rFonts w:ascii="Times New Roman" w:hAnsi="Times New Roman" w:cs="Times New Roman"/>
          <w:szCs w:val="24"/>
        </w:rPr>
        <w:t xml:space="preserve">) </w:t>
      </w:r>
      <w:r w:rsidR="00994C45" w:rsidRPr="0083169B">
        <w:rPr>
          <w:rFonts w:ascii="Times New Roman" w:hAnsi="Times New Roman" w:cs="Times New Roman"/>
          <w:szCs w:val="24"/>
        </w:rPr>
        <w:t xml:space="preserve">– zmiana wynika z konieczności dostosowania brzmienia tego przepisu do aktualnego brzmienia przepisów </w:t>
      </w:r>
      <w:r w:rsidR="00BE0F6B" w:rsidRPr="0083169B">
        <w:rPr>
          <w:rFonts w:ascii="Times New Roman" w:hAnsi="Times New Roman" w:cs="Times New Roman"/>
          <w:szCs w:val="24"/>
        </w:rPr>
        <w:t>u</w:t>
      </w:r>
      <w:r w:rsidR="00961FBC" w:rsidRPr="0083169B">
        <w:rPr>
          <w:rFonts w:ascii="Times New Roman" w:hAnsi="Times New Roman" w:cs="Times New Roman"/>
          <w:szCs w:val="24"/>
        </w:rPr>
        <w:t>staw</w:t>
      </w:r>
      <w:r w:rsidR="00BE0F6B" w:rsidRPr="0083169B">
        <w:rPr>
          <w:rFonts w:ascii="Times New Roman" w:hAnsi="Times New Roman" w:cs="Times New Roman"/>
          <w:szCs w:val="24"/>
        </w:rPr>
        <w:t>y</w:t>
      </w:r>
      <w:r w:rsidR="00961FBC" w:rsidRPr="0083169B">
        <w:rPr>
          <w:rFonts w:ascii="Times New Roman" w:hAnsi="Times New Roman" w:cs="Times New Roman"/>
          <w:szCs w:val="24"/>
        </w:rPr>
        <w:t xml:space="preserve"> z dnia 15 września 2000 r. </w:t>
      </w:r>
      <w:r w:rsidR="00BE0F6B" w:rsidRPr="0083169B">
        <w:rPr>
          <w:rFonts w:ascii="Times New Roman" w:hAnsi="Times New Roman" w:cs="Times New Roman"/>
          <w:szCs w:val="24"/>
        </w:rPr>
        <w:t xml:space="preserve">– </w:t>
      </w:r>
      <w:r w:rsidR="00961FBC" w:rsidRPr="0083169B">
        <w:rPr>
          <w:rFonts w:ascii="Times New Roman" w:hAnsi="Times New Roman" w:cs="Times New Roman"/>
          <w:szCs w:val="24"/>
        </w:rPr>
        <w:t xml:space="preserve">Kodeks spółek handlowych (Dz. U. z 2024 r. poz. 18, z późn. zm.), </w:t>
      </w:r>
      <w:r w:rsidR="00BE0F6B" w:rsidRPr="0083169B">
        <w:rPr>
          <w:rFonts w:ascii="Times New Roman" w:hAnsi="Times New Roman" w:cs="Times New Roman"/>
          <w:szCs w:val="24"/>
        </w:rPr>
        <w:t xml:space="preserve">zwanej dalej „Kodeksem spółek </w:t>
      </w:r>
      <w:r w:rsidR="00961FBC" w:rsidRPr="0083169B">
        <w:rPr>
          <w:rFonts w:ascii="Times New Roman" w:hAnsi="Times New Roman" w:cs="Times New Roman"/>
          <w:szCs w:val="24"/>
        </w:rPr>
        <w:t>h</w:t>
      </w:r>
      <w:r w:rsidR="00BE0F6B" w:rsidRPr="0083169B">
        <w:rPr>
          <w:rFonts w:ascii="Times New Roman" w:hAnsi="Times New Roman" w:cs="Times New Roman"/>
          <w:szCs w:val="24"/>
        </w:rPr>
        <w:t>andlowych”,</w:t>
      </w:r>
      <w:r w:rsidR="00994C45" w:rsidRPr="0083169B">
        <w:rPr>
          <w:rFonts w:ascii="Times New Roman" w:hAnsi="Times New Roman" w:cs="Times New Roman"/>
          <w:szCs w:val="24"/>
        </w:rPr>
        <w:t xml:space="preserve"> w zakresie formy akcji. Akcje nie mają formy dokumentu </w:t>
      </w:r>
      <w:r w:rsidR="00B13F4B" w:rsidRPr="0083169B">
        <w:rPr>
          <w:rFonts w:ascii="Times New Roman" w:hAnsi="Times New Roman" w:cs="Times New Roman"/>
          <w:szCs w:val="24"/>
        </w:rPr>
        <w:t xml:space="preserve">zasadniczo </w:t>
      </w:r>
      <w:r w:rsidR="00994C45" w:rsidRPr="0083169B">
        <w:rPr>
          <w:rFonts w:ascii="Times New Roman" w:hAnsi="Times New Roman" w:cs="Times New Roman"/>
          <w:szCs w:val="24"/>
        </w:rPr>
        <w:t>od 1 marca 2021 r. Aktualnie w ramach warunkowego podwyższenia kapitału zakładowego akcje są przyznawane, a nie wydawane</w:t>
      </w:r>
      <w:r w:rsidRPr="0083169B">
        <w:rPr>
          <w:rFonts w:ascii="Times New Roman" w:hAnsi="Times New Roman" w:cs="Times New Roman"/>
          <w:szCs w:val="24"/>
        </w:rPr>
        <w:t>;</w:t>
      </w:r>
    </w:p>
    <w:p w14:paraId="43786ED3" w14:textId="55088DE7" w:rsidR="00D54ABD" w:rsidRPr="0083169B" w:rsidRDefault="001B6AEF" w:rsidP="007C177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2</w:t>
      </w:r>
      <w:r w:rsidR="00D54ABD" w:rsidRPr="0083169B">
        <w:rPr>
          <w:rFonts w:ascii="Times New Roman" w:hAnsi="Times New Roman" w:cs="Times New Roman"/>
          <w:szCs w:val="24"/>
        </w:rPr>
        <w:t>)</w:t>
      </w:r>
      <w:r w:rsidR="00D54ABD" w:rsidRPr="0083169B">
        <w:rPr>
          <w:rFonts w:ascii="Times New Roman" w:hAnsi="Times New Roman" w:cs="Times New Roman"/>
          <w:szCs w:val="24"/>
        </w:rPr>
        <w:tab/>
        <w:t xml:space="preserve">§ 6 pkt 1 i 5 – </w:t>
      </w:r>
      <w:r w:rsidR="00750408" w:rsidRPr="0083169B">
        <w:rPr>
          <w:rFonts w:ascii="Times New Roman" w:hAnsi="Times New Roman" w:cs="Times New Roman"/>
          <w:szCs w:val="24"/>
        </w:rPr>
        <w:t xml:space="preserve">§ </w:t>
      </w:r>
      <w:r w:rsidR="00D54ABD" w:rsidRPr="0083169B">
        <w:rPr>
          <w:rFonts w:ascii="Times New Roman" w:hAnsi="Times New Roman" w:cs="Times New Roman"/>
          <w:szCs w:val="24"/>
        </w:rPr>
        <w:t xml:space="preserve">5 pkt 1 rozporządzenia </w:t>
      </w:r>
      <w:r w:rsidR="00750408" w:rsidRPr="0083169B">
        <w:rPr>
          <w:rFonts w:ascii="Times New Roman" w:hAnsi="Times New Roman" w:cs="Times New Roman"/>
          <w:szCs w:val="24"/>
        </w:rPr>
        <w:t xml:space="preserve">obowiązującego </w:t>
      </w:r>
      <w:r w:rsidR="00D54ABD" w:rsidRPr="0083169B">
        <w:rPr>
          <w:rFonts w:ascii="Times New Roman" w:hAnsi="Times New Roman" w:cs="Times New Roman"/>
          <w:szCs w:val="24"/>
        </w:rPr>
        <w:t xml:space="preserve">nakłada na emitentów obowiązek informowania w formie raportu bieżącego zarówno o rejestracji, jak i o odmowie rejestracji przez sąd zmiany statutu emitenta. Jednocześnie § 6 </w:t>
      </w:r>
      <w:r w:rsidR="00400F1C" w:rsidRPr="0083169B">
        <w:rPr>
          <w:rFonts w:ascii="Times New Roman" w:hAnsi="Times New Roman" w:cs="Times New Roman"/>
          <w:szCs w:val="24"/>
        </w:rPr>
        <w:t xml:space="preserve">rozporządzenia obowiązującego </w:t>
      </w:r>
      <w:r w:rsidR="00D54ABD" w:rsidRPr="0083169B">
        <w:rPr>
          <w:rFonts w:ascii="Times New Roman" w:hAnsi="Times New Roman" w:cs="Times New Roman"/>
          <w:szCs w:val="24"/>
        </w:rPr>
        <w:t>nie wskazuje, jaki zakres informacji powinien być ujawniony w raporcie dot</w:t>
      </w:r>
      <w:r w:rsidR="00750408" w:rsidRPr="0083169B">
        <w:rPr>
          <w:rFonts w:ascii="Times New Roman" w:hAnsi="Times New Roman" w:cs="Times New Roman"/>
          <w:szCs w:val="24"/>
        </w:rPr>
        <w:t>yczącym</w:t>
      </w:r>
      <w:r w:rsidR="00D54ABD" w:rsidRPr="0083169B">
        <w:rPr>
          <w:rFonts w:ascii="Times New Roman" w:hAnsi="Times New Roman" w:cs="Times New Roman"/>
          <w:szCs w:val="24"/>
        </w:rPr>
        <w:t xml:space="preserve"> odmowy rejestracji przez sąd zmiany statutu emitenta. Odnosi się on wyłącznie do przypadków rejestracji przez sąd zmiany statutu emitenta. Dodanie pkt 5 odnoszącego się do zakresu informacji, które emitent powinien przekazać w</w:t>
      </w:r>
      <w:r w:rsidR="00750408" w:rsidRPr="0083169B">
        <w:rPr>
          <w:rFonts w:ascii="Times New Roman" w:hAnsi="Times New Roman" w:cs="Times New Roman"/>
          <w:szCs w:val="24"/>
        </w:rPr>
        <w:t xml:space="preserve"> </w:t>
      </w:r>
      <w:r w:rsidR="00D54ABD" w:rsidRPr="0083169B">
        <w:rPr>
          <w:rFonts w:ascii="Times New Roman" w:hAnsi="Times New Roman" w:cs="Times New Roman"/>
          <w:szCs w:val="24"/>
        </w:rPr>
        <w:t xml:space="preserve">przypadku odmowy rejestracji, ma na celu usunięcie wskazanej wyżej luki oraz zapewnienie jednolitego podejścia emitentów do sposobu przekazywania informacji w tym zakresie. Z kolei proponowana zmiana pkt 1 ma na celu jego dostosowanie redakcyjne do </w:t>
      </w:r>
      <w:r w:rsidR="00750408" w:rsidRPr="0083169B">
        <w:rPr>
          <w:rFonts w:ascii="Times New Roman" w:hAnsi="Times New Roman" w:cs="Times New Roman"/>
          <w:szCs w:val="24"/>
        </w:rPr>
        <w:t xml:space="preserve">dodanego </w:t>
      </w:r>
      <w:r w:rsidR="00D54ABD" w:rsidRPr="0083169B">
        <w:rPr>
          <w:rFonts w:ascii="Times New Roman" w:hAnsi="Times New Roman" w:cs="Times New Roman"/>
          <w:szCs w:val="24"/>
        </w:rPr>
        <w:t xml:space="preserve">pkt 5. Bez takiego doprecyzowania pkt 1 </w:t>
      </w:r>
      <w:r w:rsidR="00750408" w:rsidRPr="0083169B">
        <w:rPr>
          <w:rFonts w:ascii="Times New Roman" w:hAnsi="Times New Roman" w:cs="Times New Roman"/>
          <w:szCs w:val="24"/>
        </w:rPr>
        <w:t>b</w:t>
      </w:r>
      <w:r w:rsidR="00D54ABD" w:rsidRPr="0083169B">
        <w:rPr>
          <w:rFonts w:ascii="Times New Roman" w:hAnsi="Times New Roman" w:cs="Times New Roman"/>
          <w:szCs w:val="24"/>
        </w:rPr>
        <w:t>rzmiał</w:t>
      </w:r>
      <w:r w:rsidR="00750408" w:rsidRPr="0083169B">
        <w:rPr>
          <w:rFonts w:ascii="Times New Roman" w:hAnsi="Times New Roman" w:cs="Times New Roman"/>
          <w:szCs w:val="24"/>
        </w:rPr>
        <w:t>by</w:t>
      </w:r>
      <w:r w:rsidR="00D54ABD" w:rsidRPr="0083169B">
        <w:rPr>
          <w:rFonts w:ascii="Times New Roman" w:hAnsi="Times New Roman" w:cs="Times New Roman"/>
          <w:szCs w:val="24"/>
        </w:rPr>
        <w:t xml:space="preserve"> w taki sposób, jakby podawanie daty zarejestrowania zmian było obligatoryjne, co w oczywisty sposób </w:t>
      </w:r>
      <w:r w:rsidR="00750408" w:rsidRPr="0083169B">
        <w:rPr>
          <w:rFonts w:ascii="Times New Roman" w:hAnsi="Times New Roman" w:cs="Times New Roman"/>
          <w:szCs w:val="24"/>
        </w:rPr>
        <w:t>byłoby</w:t>
      </w:r>
      <w:r w:rsidR="00D54ABD" w:rsidRPr="0083169B">
        <w:rPr>
          <w:rFonts w:ascii="Times New Roman" w:hAnsi="Times New Roman" w:cs="Times New Roman"/>
          <w:szCs w:val="24"/>
        </w:rPr>
        <w:t xml:space="preserve"> w sprzeczności z nowym pkt 5</w:t>
      </w:r>
      <w:r w:rsidR="00750408" w:rsidRPr="0083169B">
        <w:rPr>
          <w:rFonts w:ascii="Times New Roman" w:hAnsi="Times New Roman" w:cs="Times New Roman"/>
          <w:szCs w:val="24"/>
        </w:rPr>
        <w:t>;</w:t>
      </w:r>
    </w:p>
    <w:p w14:paraId="7BD05E2B" w14:textId="4D469B22" w:rsidR="00D54ABD" w:rsidRPr="0083169B" w:rsidRDefault="001B6AEF" w:rsidP="007C177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3</w:t>
      </w:r>
      <w:r w:rsidR="000F74C0" w:rsidRPr="0083169B">
        <w:rPr>
          <w:rFonts w:ascii="Times New Roman" w:hAnsi="Times New Roman" w:cs="Times New Roman"/>
          <w:szCs w:val="24"/>
        </w:rPr>
        <w:t>)</w:t>
      </w:r>
      <w:r w:rsidR="000F74C0" w:rsidRPr="0083169B">
        <w:rPr>
          <w:rFonts w:ascii="Times New Roman" w:hAnsi="Times New Roman" w:cs="Times New Roman"/>
          <w:szCs w:val="24"/>
        </w:rPr>
        <w:tab/>
        <w:t>§ 7 ust. 4 – w związku z wprowadzeniem do obrotu prawnego tzw. obligacji kapitałowych (art. 27a pkt 1 ustawy z dnia 15 stycznia 2015 r. o obligacjach (Dz. U. z 2024 r. poz. 708)</w:t>
      </w:r>
      <w:r w:rsidR="001550AA">
        <w:rPr>
          <w:rFonts w:ascii="Times New Roman" w:hAnsi="Times New Roman" w:cs="Times New Roman"/>
          <w:szCs w:val="24"/>
        </w:rPr>
        <w:t>)</w:t>
      </w:r>
      <w:r w:rsidR="000F74C0" w:rsidRPr="0083169B">
        <w:rPr>
          <w:rFonts w:ascii="Times New Roman" w:hAnsi="Times New Roman" w:cs="Times New Roman"/>
          <w:szCs w:val="24"/>
        </w:rPr>
        <w:t xml:space="preserve">, które w określonych sytuacjach podlegają zamianie na akcje emitenta (art. 27k i art. 27l tej ustawy), </w:t>
      </w:r>
      <w:r w:rsidR="001550AA" w:rsidRPr="0083169B">
        <w:rPr>
          <w:rFonts w:ascii="Times New Roman" w:hAnsi="Times New Roman" w:cs="Times New Roman"/>
          <w:szCs w:val="24"/>
        </w:rPr>
        <w:t xml:space="preserve">jest </w:t>
      </w:r>
      <w:r w:rsidR="000F74C0" w:rsidRPr="0083169B">
        <w:rPr>
          <w:rFonts w:ascii="Times New Roman" w:hAnsi="Times New Roman" w:cs="Times New Roman"/>
          <w:szCs w:val="24"/>
        </w:rPr>
        <w:t>celow</w:t>
      </w:r>
      <w:r w:rsidR="001550AA">
        <w:rPr>
          <w:rFonts w:ascii="Times New Roman" w:hAnsi="Times New Roman" w:cs="Times New Roman"/>
          <w:szCs w:val="24"/>
        </w:rPr>
        <w:t>e</w:t>
      </w:r>
      <w:r w:rsidR="000F74C0" w:rsidRPr="0083169B">
        <w:rPr>
          <w:rFonts w:ascii="Times New Roman" w:hAnsi="Times New Roman" w:cs="Times New Roman"/>
          <w:szCs w:val="24"/>
        </w:rPr>
        <w:t xml:space="preserve"> określeni</w:t>
      </w:r>
      <w:r w:rsidR="001550AA">
        <w:rPr>
          <w:rFonts w:ascii="Times New Roman" w:hAnsi="Times New Roman" w:cs="Times New Roman"/>
          <w:szCs w:val="24"/>
        </w:rPr>
        <w:t>e</w:t>
      </w:r>
      <w:r w:rsidR="000F74C0" w:rsidRPr="0083169B">
        <w:rPr>
          <w:rFonts w:ascii="Times New Roman" w:hAnsi="Times New Roman" w:cs="Times New Roman"/>
          <w:szCs w:val="24"/>
        </w:rPr>
        <w:t xml:space="preserve"> zakresu informacji, które emitent powinien przekazać w przypadku zamiany obligacji kapitałowych na akcje. </w:t>
      </w:r>
      <w:r w:rsidR="007C1779" w:rsidRPr="0083169B">
        <w:rPr>
          <w:rFonts w:ascii="Times New Roman" w:hAnsi="Times New Roman" w:cs="Times New Roman"/>
          <w:szCs w:val="24"/>
        </w:rPr>
        <w:t>Jednocześnie należy zauważyć, że t</w:t>
      </w:r>
      <w:r w:rsidR="000F74C0" w:rsidRPr="0083169B">
        <w:rPr>
          <w:rFonts w:ascii="Times New Roman" w:hAnsi="Times New Roman" w:cs="Times New Roman"/>
          <w:szCs w:val="24"/>
        </w:rPr>
        <w:t>ryb podwyższenia kapitału zakładowego w drodze zamiany obligacji kapitałowych na akcje określa</w:t>
      </w:r>
      <w:r w:rsidR="004E72C4" w:rsidRPr="0083169B">
        <w:rPr>
          <w:rFonts w:ascii="Times New Roman" w:hAnsi="Times New Roman" w:cs="Times New Roman"/>
          <w:szCs w:val="24"/>
        </w:rPr>
        <w:t>ją</w:t>
      </w:r>
      <w:r w:rsidR="000F74C0" w:rsidRPr="0083169B">
        <w:rPr>
          <w:rFonts w:ascii="Times New Roman" w:hAnsi="Times New Roman" w:cs="Times New Roman"/>
          <w:szCs w:val="24"/>
        </w:rPr>
        <w:t xml:space="preserve"> art. 454</w:t>
      </w:r>
      <w:r w:rsidR="000F74C0" w:rsidRPr="0083169B">
        <w:rPr>
          <w:rFonts w:ascii="Times New Roman" w:hAnsi="Times New Roman" w:cs="Times New Roman"/>
          <w:szCs w:val="24"/>
          <w:vertAlign w:val="superscript"/>
        </w:rPr>
        <w:t>1</w:t>
      </w:r>
      <w:r w:rsidR="000F74C0" w:rsidRPr="0083169B">
        <w:rPr>
          <w:rFonts w:ascii="Times New Roman" w:hAnsi="Times New Roman" w:cs="Times New Roman"/>
          <w:szCs w:val="24"/>
        </w:rPr>
        <w:t xml:space="preserve"> </w:t>
      </w:r>
      <w:r w:rsidR="004E72C4" w:rsidRPr="0083169B">
        <w:rPr>
          <w:rFonts w:ascii="Times New Roman" w:hAnsi="Times New Roman" w:cs="Times New Roman"/>
          <w:szCs w:val="24"/>
        </w:rPr>
        <w:t>– 454</w:t>
      </w:r>
      <w:r w:rsidR="004E72C4" w:rsidRPr="0083169B">
        <w:rPr>
          <w:rFonts w:ascii="Times New Roman" w:hAnsi="Times New Roman" w:cs="Times New Roman"/>
          <w:szCs w:val="24"/>
          <w:vertAlign w:val="superscript"/>
        </w:rPr>
        <w:t xml:space="preserve">6 </w:t>
      </w:r>
      <w:r w:rsidR="004E72C4" w:rsidRPr="0083169B">
        <w:rPr>
          <w:rFonts w:ascii="Times New Roman" w:hAnsi="Times New Roman" w:cs="Times New Roman"/>
          <w:szCs w:val="24"/>
        </w:rPr>
        <w:t>Kodeksu spółek handlowych</w:t>
      </w:r>
      <w:r w:rsidR="001C14ED" w:rsidRPr="0083169B">
        <w:rPr>
          <w:rFonts w:ascii="Times New Roman" w:hAnsi="Times New Roman" w:cs="Times New Roman"/>
          <w:szCs w:val="24"/>
        </w:rPr>
        <w:t>;</w:t>
      </w:r>
    </w:p>
    <w:p w14:paraId="41AF284A" w14:textId="0B2D5472" w:rsidR="00D54ABD" w:rsidRPr="0083169B" w:rsidRDefault="001B6AEF" w:rsidP="007C177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4</w:t>
      </w:r>
      <w:r w:rsidR="007C1779" w:rsidRPr="0083169B">
        <w:rPr>
          <w:rFonts w:ascii="Times New Roman" w:hAnsi="Times New Roman" w:cs="Times New Roman"/>
          <w:szCs w:val="24"/>
        </w:rPr>
        <w:t>)</w:t>
      </w:r>
      <w:r w:rsidR="007C1779" w:rsidRPr="0083169B">
        <w:rPr>
          <w:rFonts w:ascii="Times New Roman" w:hAnsi="Times New Roman" w:cs="Times New Roman"/>
          <w:szCs w:val="24"/>
        </w:rPr>
        <w:tab/>
        <w:t xml:space="preserve">§ 8 ust. 2 </w:t>
      </w:r>
      <w:r w:rsidR="00374B52">
        <w:rPr>
          <w:rFonts w:ascii="Times New Roman" w:hAnsi="Times New Roman" w:cs="Times New Roman"/>
          <w:szCs w:val="24"/>
        </w:rPr>
        <w:t>(</w:t>
      </w:r>
      <w:r w:rsidR="00374B52" w:rsidRPr="00374B52">
        <w:rPr>
          <w:rFonts w:ascii="Times New Roman" w:hAnsi="Times New Roman" w:cs="Times New Roman"/>
          <w:i/>
          <w:iCs/>
          <w:szCs w:val="24"/>
        </w:rPr>
        <w:t>nowy przepis</w:t>
      </w:r>
      <w:r w:rsidR="00374B52">
        <w:rPr>
          <w:rFonts w:ascii="Times New Roman" w:hAnsi="Times New Roman" w:cs="Times New Roman"/>
          <w:szCs w:val="24"/>
        </w:rPr>
        <w:t>)</w:t>
      </w:r>
      <w:r w:rsidR="005E1EC4" w:rsidRPr="0083169B">
        <w:rPr>
          <w:rFonts w:ascii="Times New Roman" w:hAnsi="Times New Roman" w:cs="Times New Roman"/>
          <w:szCs w:val="24"/>
        </w:rPr>
        <w:t xml:space="preserve"> </w:t>
      </w:r>
      <w:r w:rsidR="007C1779" w:rsidRPr="0083169B">
        <w:rPr>
          <w:rFonts w:ascii="Times New Roman" w:hAnsi="Times New Roman" w:cs="Times New Roman"/>
          <w:szCs w:val="24"/>
        </w:rPr>
        <w:t>– p</w:t>
      </w:r>
      <w:r w:rsidR="007C1779" w:rsidRPr="00374B52">
        <w:rPr>
          <w:rFonts w:ascii="Times New Roman" w:hAnsi="Times New Roman" w:cs="Times New Roman"/>
          <w:szCs w:val="24"/>
        </w:rPr>
        <w:t>raktyka nadzorcza wskazuje, ż</w:t>
      </w:r>
      <w:r w:rsidR="00E80F97" w:rsidRPr="0083169B">
        <w:rPr>
          <w:rFonts w:ascii="Times New Roman" w:hAnsi="Times New Roman" w:cs="Times New Roman"/>
          <w:szCs w:val="24"/>
        </w:rPr>
        <w:t>e</w:t>
      </w:r>
      <w:r w:rsidR="007C1779" w:rsidRPr="0083169B">
        <w:rPr>
          <w:rFonts w:ascii="Times New Roman" w:hAnsi="Times New Roman" w:cs="Times New Roman"/>
          <w:szCs w:val="24"/>
        </w:rPr>
        <w:t xml:space="preserve"> </w:t>
      </w:r>
      <w:r w:rsidR="00E80F97" w:rsidRPr="0083169B">
        <w:rPr>
          <w:rFonts w:ascii="Times New Roman" w:hAnsi="Times New Roman" w:cs="Times New Roman"/>
          <w:szCs w:val="24"/>
        </w:rPr>
        <w:t xml:space="preserve">jest </w:t>
      </w:r>
      <w:r w:rsidR="007C1779" w:rsidRPr="0083169B">
        <w:rPr>
          <w:rFonts w:ascii="Times New Roman" w:hAnsi="Times New Roman" w:cs="Times New Roman"/>
          <w:szCs w:val="24"/>
        </w:rPr>
        <w:t>celow</w:t>
      </w:r>
      <w:r w:rsidR="00E80F97" w:rsidRPr="0083169B">
        <w:rPr>
          <w:rFonts w:ascii="Times New Roman" w:hAnsi="Times New Roman" w:cs="Times New Roman"/>
          <w:szCs w:val="24"/>
        </w:rPr>
        <w:t>e</w:t>
      </w:r>
      <w:r w:rsidR="007C1779" w:rsidRPr="0083169B">
        <w:rPr>
          <w:rFonts w:ascii="Times New Roman" w:hAnsi="Times New Roman" w:cs="Times New Roman"/>
          <w:szCs w:val="24"/>
        </w:rPr>
        <w:t xml:space="preserve"> wprowadzenie obowiązku przekazania informacji o braku wystąpienia okoliczności określonych w § 8 ust. 1 pkt 5 lub 7 projektowanego rozporządzenia. Przy obecnym brzmieniu przepisu, jeżeli emitent nie zamieści żadnej informacji, nie wiadomo, czy emitent nie podał informacji, bo </w:t>
      </w:r>
      <w:r w:rsidR="007C1779" w:rsidRPr="0083169B">
        <w:rPr>
          <w:rFonts w:ascii="Times New Roman" w:hAnsi="Times New Roman" w:cs="Times New Roman"/>
          <w:szCs w:val="24"/>
        </w:rPr>
        <w:lastRenderedPageBreak/>
        <w:t>takie okoliczności nie wystąpiły, czy też intencjonalnie lub przez omyłkę ich nie ujawnił. Nałożenie obowiązku jednoznacznego wypowiedzenia się co do zaistnienia albo braku</w:t>
      </w:r>
      <w:r w:rsidR="007C1779" w:rsidRPr="00374B52">
        <w:rPr>
          <w:rFonts w:ascii="Times New Roman" w:hAnsi="Times New Roman" w:cs="Times New Roman"/>
          <w:szCs w:val="24"/>
        </w:rPr>
        <w:t xml:space="preserve"> przedmiotowych okoliczności ogranicza ryzyko nadużyć, polegających na niepublikowaniu informacji o </w:t>
      </w:r>
      <w:r w:rsidR="007C1779" w:rsidRPr="0083169B">
        <w:rPr>
          <w:rFonts w:ascii="Times New Roman" w:hAnsi="Times New Roman" w:cs="Times New Roman"/>
          <w:szCs w:val="24"/>
        </w:rPr>
        <w:t>tych okolicznościach, pomimo ich wystąpienia. Odbiorcy raportu będą otrzymywać jednoznaczną informację w tym zakresie</w:t>
      </w:r>
      <w:r w:rsidR="001C14ED" w:rsidRPr="0083169B">
        <w:rPr>
          <w:rFonts w:ascii="Times New Roman" w:hAnsi="Times New Roman" w:cs="Times New Roman"/>
          <w:szCs w:val="24"/>
        </w:rPr>
        <w:t>;</w:t>
      </w:r>
    </w:p>
    <w:p w14:paraId="69A54803" w14:textId="0A26F693" w:rsidR="00E80F97" w:rsidRPr="0083169B" w:rsidRDefault="001B6AEF" w:rsidP="00E80F97">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5</w:t>
      </w:r>
      <w:r w:rsidR="00E80F97" w:rsidRPr="0083169B">
        <w:rPr>
          <w:rFonts w:ascii="Times New Roman" w:hAnsi="Times New Roman" w:cs="Times New Roman"/>
          <w:szCs w:val="24"/>
        </w:rPr>
        <w:t>)</w:t>
      </w:r>
      <w:r w:rsidR="00E80F97" w:rsidRPr="0083169B">
        <w:rPr>
          <w:rFonts w:ascii="Times New Roman" w:hAnsi="Times New Roman" w:cs="Times New Roman"/>
          <w:szCs w:val="24"/>
        </w:rPr>
        <w:tab/>
        <w:t xml:space="preserve">§ 9 – w związku z propozycją dodania </w:t>
      </w:r>
      <w:r w:rsidR="001550AA">
        <w:rPr>
          <w:rFonts w:ascii="Times New Roman" w:hAnsi="Times New Roman" w:cs="Times New Roman"/>
          <w:szCs w:val="24"/>
        </w:rPr>
        <w:t xml:space="preserve">nowego </w:t>
      </w:r>
      <w:r w:rsidR="001550AA" w:rsidRPr="0083169B">
        <w:rPr>
          <w:rFonts w:ascii="Times New Roman" w:hAnsi="Times New Roman" w:cs="Times New Roman"/>
          <w:szCs w:val="24"/>
        </w:rPr>
        <w:t>pkt 4</w:t>
      </w:r>
      <w:r w:rsidR="001550AA">
        <w:rPr>
          <w:rFonts w:ascii="Times New Roman" w:hAnsi="Times New Roman" w:cs="Times New Roman"/>
          <w:szCs w:val="24"/>
        </w:rPr>
        <w:t xml:space="preserve"> </w:t>
      </w:r>
      <w:r w:rsidR="00E80F97" w:rsidRPr="0083169B">
        <w:rPr>
          <w:rFonts w:ascii="Times New Roman" w:hAnsi="Times New Roman" w:cs="Times New Roman"/>
          <w:szCs w:val="24"/>
        </w:rPr>
        <w:t xml:space="preserve">w § 5 projektowanego rozporządzenia, nakładającego na emitenta obowiązek informowania o wypowiedzeniu lub rozwiązaniu umowy na dokonanie atestacji sprawozdawczości zrównoważonego rozwoju, jest celowe określenie zakresu informacji, które emitenci powinni przekazywać w związku z zaistnieniem tych zdarzeń. </w:t>
      </w:r>
      <w:r w:rsidR="00025CB2" w:rsidRPr="00025CB2">
        <w:rPr>
          <w:rFonts w:ascii="Times New Roman" w:hAnsi="Times New Roman" w:cs="Times New Roman"/>
          <w:szCs w:val="24"/>
        </w:rPr>
        <w:t>Należy przy tym wskazać, że rozróżnienie</w:t>
      </w:r>
      <w:r w:rsidR="00025CB2" w:rsidRPr="00025CB2">
        <w:rPr>
          <w:rFonts w:ascii="Times New Roman" w:hAnsi="Times New Roman" w:cs="Times New Roman"/>
        </w:rPr>
        <w:t xml:space="preserve"> zdarzeń, o których mowa w tym przepisie (wypowiedzenie/rozwiązanie umowy) – choć z zasady wypowiedzenie umowy prowadzi do jej rozwiązania, jest istotne, gdyż zdarzenia te mogą się realizować w różnym czasie, a informacja o każdym z tych zdarzeniach może mieć znaczenie dla organu nadzoru oraz inwestorów</w:t>
      </w:r>
      <w:r w:rsidR="00025CB2">
        <w:rPr>
          <w:rFonts w:ascii="Times New Roman" w:hAnsi="Times New Roman" w:cs="Times New Roman"/>
        </w:rPr>
        <w:t xml:space="preserve">. </w:t>
      </w:r>
      <w:r w:rsidR="00E80F97" w:rsidRPr="0083169B">
        <w:rPr>
          <w:rFonts w:ascii="Times New Roman" w:hAnsi="Times New Roman" w:cs="Times New Roman"/>
          <w:szCs w:val="24"/>
        </w:rPr>
        <w:t>Proponowany przepis jest analogiczny do r</w:t>
      </w:r>
      <w:r w:rsidR="00880D85" w:rsidRPr="0083169B">
        <w:rPr>
          <w:rFonts w:ascii="Times New Roman" w:hAnsi="Times New Roman" w:cs="Times New Roman"/>
          <w:szCs w:val="24"/>
        </w:rPr>
        <w:t xml:space="preserve">egulacji zawartej w </w:t>
      </w:r>
      <w:r w:rsidR="00E80F97" w:rsidRPr="0083169B">
        <w:rPr>
          <w:rFonts w:ascii="Times New Roman" w:hAnsi="Times New Roman" w:cs="Times New Roman"/>
          <w:szCs w:val="24"/>
        </w:rPr>
        <w:t xml:space="preserve">§ </w:t>
      </w:r>
      <w:r w:rsidR="001550AA">
        <w:rPr>
          <w:rFonts w:ascii="Times New Roman" w:hAnsi="Times New Roman" w:cs="Times New Roman"/>
          <w:szCs w:val="24"/>
        </w:rPr>
        <w:t>8</w:t>
      </w:r>
      <w:r w:rsidR="00E80F97" w:rsidRPr="0083169B">
        <w:rPr>
          <w:rFonts w:ascii="Times New Roman" w:hAnsi="Times New Roman" w:cs="Times New Roman"/>
          <w:szCs w:val="24"/>
        </w:rPr>
        <w:t xml:space="preserve"> projektowanego rozporządzenia, który dotyczy rozwiązania lub wypowiedzenia umowy </w:t>
      </w:r>
      <w:r w:rsidR="00880D85" w:rsidRPr="0083169B">
        <w:rPr>
          <w:rFonts w:ascii="Times New Roman" w:hAnsi="Times New Roman" w:cs="Times New Roman"/>
          <w:szCs w:val="24"/>
        </w:rPr>
        <w:t>o badanie lub przegląd sprawozdań finansowych lub skonsolidowanych sprawozdań finansowych</w:t>
      </w:r>
      <w:r w:rsidR="001C14ED" w:rsidRPr="0083169B">
        <w:rPr>
          <w:rFonts w:ascii="Times New Roman" w:hAnsi="Times New Roman" w:cs="Times New Roman"/>
          <w:szCs w:val="24"/>
        </w:rPr>
        <w:t>;</w:t>
      </w:r>
    </w:p>
    <w:p w14:paraId="17A9C2FE" w14:textId="0ED4117A" w:rsidR="002322EA" w:rsidRPr="0083169B" w:rsidRDefault="001B6AEF" w:rsidP="007C177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6</w:t>
      </w:r>
      <w:r w:rsidR="00880D85" w:rsidRPr="0083169B">
        <w:rPr>
          <w:rFonts w:ascii="Times New Roman" w:hAnsi="Times New Roman" w:cs="Times New Roman"/>
          <w:szCs w:val="24"/>
        </w:rPr>
        <w:t>)</w:t>
      </w:r>
      <w:r w:rsidR="00880D85" w:rsidRPr="0083169B">
        <w:rPr>
          <w:rFonts w:ascii="Times New Roman" w:hAnsi="Times New Roman" w:cs="Times New Roman"/>
          <w:szCs w:val="24"/>
        </w:rPr>
        <w:tab/>
      </w:r>
      <w:r w:rsidR="00E44897" w:rsidRPr="0083169B">
        <w:rPr>
          <w:rFonts w:ascii="Times New Roman" w:hAnsi="Times New Roman" w:cs="Times New Roman"/>
          <w:szCs w:val="24"/>
        </w:rPr>
        <w:t>§ 10</w:t>
      </w:r>
      <w:r w:rsidR="005E1EC4" w:rsidRPr="0083169B">
        <w:rPr>
          <w:rFonts w:ascii="Times New Roman" w:hAnsi="Times New Roman" w:cs="Times New Roman"/>
          <w:i/>
          <w:iCs/>
          <w:szCs w:val="24"/>
        </w:rPr>
        <w:t xml:space="preserve"> </w:t>
      </w:r>
      <w:r w:rsidR="005E1EC4" w:rsidRPr="0083169B">
        <w:rPr>
          <w:rFonts w:ascii="Times New Roman" w:hAnsi="Times New Roman" w:cs="Times New Roman"/>
          <w:szCs w:val="24"/>
        </w:rPr>
        <w:t>(</w:t>
      </w:r>
      <w:r w:rsidR="005E1EC4" w:rsidRPr="0083169B">
        <w:rPr>
          <w:rFonts w:ascii="Times New Roman" w:hAnsi="Times New Roman" w:cs="Times New Roman"/>
          <w:i/>
          <w:iCs/>
          <w:szCs w:val="24"/>
        </w:rPr>
        <w:t>§ 9 w rozporządzeniu obowiązującym</w:t>
      </w:r>
      <w:r w:rsidR="005E1EC4" w:rsidRPr="0083169B">
        <w:rPr>
          <w:rFonts w:ascii="Times New Roman" w:hAnsi="Times New Roman" w:cs="Times New Roman"/>
          <w:szCs w:val="24"/>
        </w:rPr>
        <w:t>):</w:t>
      </w:r>
    </w:p>
    <w:p w14:paraId="4D196B4B" w14:textId="77C7BAE3" w:rsidR="007C1779" w:rsidRPr="0083169B" w:rsidRDefault="002322EA" w:rsidP="0083169B">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a)</w:t>
      </w:r>
      <w:r w:rsidRPr="0083169B">
        <w:rPr>
          <w:rFonts w:ascii="Times New Roman" w:hAnsi="Times New Roman" w:cs="Times New Roman"/>
          <w:szCs w:val="24"/>
        </w:rPr>
        <w:tab/>
      </w:r>
      <w:r w:rsidR="00E44897" w:rsidRPr="0083169B">
        <w:rPr>
          <w:rFonts w:ascii="Times New Roman" w:hAnsi="Times New Roman" w:cs="Times New Roman"/>
          <w:szCs w:val="24"/>
        </w:rPr>
        <w:t xml:space="preserve">pkt 2 </w:t>
      </w:r>
      <w:r w:rsidR="00D61403" w:rsidRPr="0083169B">
        <w:rPr>
          <w:rFonts w:ascii="Times New Roman" w:hAnsi="Times New Roman" w:cs="Times New Roman"/>
          <w:szCs w:val="24"/>
        </w:rPr>
        <w:t xml:space="preserve">– </w:t>
      </w:r>
      <w:r w:rsidR="005E1EC4" w:rsidRPr="0083169B">
        <w:rPr>
          <w:rFonts w:ascii="Times New Roman" w:hAnsi="Times New Roman" w:cs="Times New Roman"/>
          <w:szCs w:val="24"/>
        </w:rPr>
        <w:t xml:space="preserve">dodany </w:t>
      </w:r>
      <w:r w:rsidR="00374B52">
        <w:rPr>
          <w:rFonts w:ascii="Times New Roman" w:hAnsi="Times New Roman" w:cs="Times New Roman"/>
          <w:szCs w:val="24"/>
        </w:rPr>
        <w:t xml:space="preserve">nowy </w:t>
      </w:r>
      <w:r w:rsidR="005E1EC4" w:rsidRPr="0083169B">
        <w:rPr>
          <w:rFonts w:ascii="Times New Roman" w:hAnsi="Times New Roman" w:cs="Times New Roman"/>
          <w:szCs w:val="24"/>
        </w:rPr>
        <w:t xml:space="preserve">przepis wynika z </w:t>
      </w:r>
      <w:r w:rsidR="00D61403" w:rsidRPr="0083169B">
        <w:rPr>
          <w:rFonts w:ascii="Times New Roman" w:hAnsi="Times New Roman" w:cs="Times New Roman"/>
          <w:szCs w:val="24"/>
        </w:rPr>
        <w:t>praktyk</w:t>
      </w:r>
      <w:r w:rsidR="005E1EC4" w:rsidRPr="0083169B">
        <w:rPr>
          <w:rFonts w:ascii="Times New Roman" w:hAnsi="Times New Roman" w:cs="Times New Roman"/>
          <w:szCs w:val="24"/>
        </w:rPr>
        <w:t>i</w:t>
      </w:r>
      <w:r w:rsidR="00D61403" w:rsidRPr="0083169B">
        <w:rPr>
          <w:rFonts w:ascii="Times New Roman" w:hAnsi="Times New Roman" w:cs="Times New Roman"/>
          <w:szCs w:val="24"/>
        </w:rPr>
        <w:t xml:space="preserve"> nadzorcz</w:t>
      </w:r>
      <w:r w:rsidR="005E1EC4" w:rsidRPr="0083169B">
        <w:rPr>
          <w:rFonts w:ascii="Times New Roman" w:hAnsi="Times New Roman" w:cs="Times New Roman"/>
          <w:szCs w:val="24"/>
        </w:rPr>
        <w:t>ej, która</w:t>
      </w:r>
      <w:r w:rsidR="00D61403" w:rsidRPr="0083169B">
        <w:rPr>
          <w:rFonts w:ascii="Times New Roman" w:hAnsi="Times New Roman" w:cs="Times New Roman"/>
          <w:szCs w:val="24"/>
        </w:rPr>
        <w:t xml:space="preserve"> wskazuje, że data odwołania lub rezygnacji nie zawsze pokrywa się z datą faktycznego zaprzestania pełnienia funkcji przez określone osoby</w:t>
      </w:r>
      <w:r w:rsidR="001C14ED" w:rsidRPr="0083169B">
        <w:rPr>
          <w:rFonts w:ascii="Times New Roman" w:hAnsi="Times New Roman" w:cs="Times New Roman"/>
          <w:szCs w:val="24"/>
        </w:rPr>
        <w:t>,</w:t>
      </w:r>
    </w:p>
    <w:p w14:paraId="73793878" w14:textId="66ABF8E7" w:rsidR="00D54ABD" w:rsidRPr="0083169B" w:rsidRDefault="002322EA" w:rsidP="0083169B">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b</w:t>
      </w:r>
      <w:r w:rsidR="009E166D" w:rsidRPr="0083169B">
        <w:rPr>
          <w:rFonts w:ascii="Times New Roman" w:hAnsi="Times New Roman" w:cs="Times New Roman"/>
          <w:szCs w:val="24"/>
        </w:rPr>
        <w:t>)</w:t>
      </w:r>
      <w:r w:rsidR="009E166D" w:rsidRPr="0083169B">
        <w:rPr>
          <w:rFonts w:ascii="Times New Roman" w:hAnsi="Times New Roman" w:cs="Times New Roman"/>
          <w:szCs w:val="24"/>
        </w:rPr>
        <w:tab/>
        <w:t xml:space="preserve">pkt 5 </w:t>
      </w:r>
      <w:r w:rsidR="005E1EC4" w:rsidRPr="0083169B">
        <w:rPr>
          <w:rFonts w:ascii="Times New Roman" w:hAnsi="Times New Roman" w:cs="Times New Roman"/>
          <w:szCs w:val="24"/>
        </w:rPr>
        <w:t>(</w:t>
      </w:r>
      <w:r w:rsidR="005E1EC4" w:rsidRPr="0083169B">
        <w:rPr>
          <w:rFonts w:ascii="Times New Roman" w:hAnsi="Times New Roman" w:cs="Times New Roman"/>
          <w:i/>
          <w:iCs/>
          <w:szCs w:val="24"/>
        </w:rPr>
        <w:t xml:space="preserve">pkt 4 </w:t>
      </w:r>
      <w:r w:rsidR="00D835EE" w:rsidRPr="0083169B">
        <w:rPr>
          <w:rFonts w:ascii="Times New Roman" w:hAnsi="Times New Roman" w:cs="Times New Roman"/>
          <w:i/>
          <w:iCs/>
          <w:szCs w:val="24"/>
        </w:rPr>
        <w:t xml:space="preserve">w </w:t>
      </w:r>
      <w:r w:rsidR="005E1EC4" w:rsidRPr="0083169B">
        <w:rPr>
          <w:rFonts w:ascii="Times New Roman" w:hAnsi="Times New Roman" w:cs="Times New Roman"/>
          <w:i/>
          <w:iCs/>
          <w:szCs w:val="24"/>
        </w:rPr>
        <w:t>rozporządzeni</w:t>
      </w:r>
      <w:r w:rsidR="00D835EE" w:rsidRPr="0083169B">
        <w:rPr>
          <w:rFonts w:ascii="Times New Roman" w:hAnsi="Times New Roman" w:cs="Times New Roman"/>
          <w:i/>
          <w:iCs/>
          <w:szCs w:val="24"/>
        </w:rPr>
        <w:t>u</w:t>
      </w:r>
      <w:r w:rsidR="005E1EC4" w:rsidRPr="0083169B">
        <w:rPr>
          <w:rFonts w:ascii="Times New Roman" w:hAnsi="Times New Roman" w:cs="Times New Roman"/>
          <w:i/>
          <w:iCs/>
          <w:szCs w:val="24"/>
        </w:rPr>
        <w:t xml:space="preserve"> obowiązując</w:t>
      </w:r>
      <w:r w:rsidR="00D835EE" w:rsidRPr="0083169B">
        <w:rPr>
          <w:rFonts w:ascii="Times New Roman" w:hAnsi="Times New Roman" w:cs="Times New Roman"/>
          <w:i/>
          <w:iCs/>
          <w:szCs w:val="24"/>
        </w:rPr>
        <w:t>ym</w:t>
      </w:r>
      <w:r w:rsidR="005E1EC4" w:rsidRPr="0083169B">
        <w:rPr>
          <w:rFonts w:ascii="Times New Roman" w:hAnsi="Times New Roman" w:cs="Times New Roman"/>
          <w:szCs w:val="24"/>
        </w:rPr>
        <w:t xml:space="preserve">) </w:t>
      </w:r>
      <w:r w:rsidR="009E166D" w:rsidRPr="0083169B">
        <w:rPr>
          <w:rFonts w:ascii="Times New Roman" w:hAnsi="Times New Roman" w:cs="Times New Roman"/>
          <w:szCs w:val="24"/>
        </w:rPr>
        <w:t>– praktyka nadzorcza wskazuje na konieczność doprecyzowania treści aktualnego brzmienia tego przepisu</w:t>
      </w:r>
      <w:r w:rsidR="005E1EC4" w:rsidRPr="0083169B">
        <w:rPr>
          <w:rFonts w:ascii="Times New Roman" w:hAnsi="Times New Roman" w:cs="Times New Roman"/>
          <w:szCs w:val="24"/>
        </w:rPr>
        <w:t xml:space="preserve">, </w:t>
      </w:r>
      <w:r w:rsidR="005724E9" w:rsidRPr="0083169B">
        <w:rPr>
          <w:rFonts w:ascii="Times New Roman" w:hAnsi="Times New Roman" w:cs="Times New Roman"/>
          <w:szCs w:val="24"/>
        </w:rPr>
        <w:t>gdyż</w:t>
      </w:r>
      <w:r w:rsidR="009E166D" w:rsidRPr="0083169B">
        <w:rPr>
          <w:rFonts w:ascii="Times New Roman" w:hAnsi="Times New Roman" w:cs="Times New Roman"/>
          <w:szCs w:val="24"/>
        </w:rPr>
        <w:t xml:space="preserve"> jeżeli emitent nie wskaże w raporcie informacji o przyczynach odwołania lub rezygnacji, odbiorcy raportu nie mają wiedzy, czy brak wskazania tych informacji wynika z faktu, że przyczyny te nie zostały wskazane czy też emitent nieprawidłowo wypełnił obowiązki informacyjne i nie wskazał tej informacji</w:t>
      </w:r>
      <w:r w:rsidR="001C14ED" w:rsidRPr="0083169B">
        <w:rPr>
          <w:rFonts w:ascii="Times New Roman" w:hAnsi="Times New Roman" w:cs="Times New Roman"/>
          <w:szCs w:val="24"/>
        </w:rPr>
        <w:t>;</w:t>
      </w:r>
    </w:p>
    <w:p w14:paraId="3AED50B5" w14:textId="7238B1BA" w:rsidR="005724E9" w:rsidRPr="0083169B" w:rsidRDefault="001B6AEF" w:rsidP="005724E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7</w:t>
      </w:r>
      <w:r w:rsidR="005E4673" w:rsidRPr="0083169B">
        <w:rPr>
          <w:rFonts w:ascii="Times New Roman" w:hAnsi="Times New Roman" w:cs="Times New Roman"/>
          <w:szCs w:val="24"/>
        </w:rPr>
        <w:t>)</w:t>
      </w:r>
      <w:r w:rsidR="005E4673" w:rsidRPr="0083169B">
        <w:rPr>
          <w:rFonts w:ascii="Times New Roman" w:hAnsi="Times New Roman" w:cs="Times New Roman"/>
          <w:szCs w:val="24"/>
        </w:rPr>
        <w:tab/>
        <w:t>§ 11</w:t>
      </w:r>
      <w:r w:rsidR="002322EA" w:rsidRPr="0083169B">
        <w:rPr>
          <w:rFonts w:ascii="Times New Roman" w:hAnsi="Times New Roman" w:cs="Times New Roman"/>
          <w:szCs w:val="24"/>
        </w:rPr>
        <w:t xml:space="preserve"> </w:t>
      </w:r>
      <w:bookmarkStart w:id="9" w:name="_Hlk181022366"/>
      <w:r w:rsidR="00BC1D95" w:rsidRPr="0083169B">
        <w:rPr>
          <w:rFonts w:ascii="Times New Roman" w:hAnsi="Times New Roman" w:cs="Times New Roman"/>
          <w:szCs w:val="24"/>
        </w:rPr>
        <w:t>(</w:t>
      </w:r>
      <w:r w:rsidR="00BC1D95" w:rsidRPr="0083169B">
        <w:rPr>
          <w:rFonts w:ascii="Times New Roman" w:hAnsi="Times New Roman" w:cs="Times New Roman"/>
          <w:i/>
          <w:iCs/>
          <w:szCs w:val="24"/>
        </w:rPr>
        <w:t>§ 10 w rozporządzeniu obowiązującym</w:t>
      </w:r>
      <w:r w:rsidR="00BC1D95" w:rsidRPr="0083169B">
        <w:rPr>
          <w:rFonts w:ascii="Times New Roman" w:hAnsi="Times New Roman" w:cs="Times New Roman"/>
          <w:szCs w:val="24"/>
        </w:rPr>
        <w:t>)</w:t>
      </w:r>
      <w:bookmarkEnd w:id="9"/>
      <w:r w:rsidR="00BC1D95" w:rsidRPr="0083169B">
        <w:rPr>
          <w:rFonts w:ascii="Times New Roman" w:hAnsi="Times New Roman" w:cs="Times New Roman"/>
          <w:szCs w:val="24"/>
        </w:rPr>
        <w:t xml:space="preserve"> </w:t>
      </w:r>
      <w:r w:rsidR="002322EA" w:rsidRPr="0083169B">
        <w:rPr>
          <w:rFonts w:ascii="Times New Roman" w:hAnsi="Times New Roman" w:cs="Times New Roman"/>
          <w:szCs w:val="24"/>
        </w:rPr>
        <w:t>pkt 2 i ust. 2</w:t>
      </w:r>
      <w:r w:rsidR="005E4673" w:rsidRPr="0083169B">
        <w:rPr>
          <w:rFonts w:ascii="Times New Roman" w:hAnsi="Times New Roman" w:cs="Times New Roman"/>
          <w:szCs w:val="24"/>
        </w:rPr>
        <w:t xml:space="preserve"> – </w:t>
      </w:r>
      <w:r w:rsidR="00BC1D95" w:rsidRPr="0083169B">
        <w:rPr>
          <w:rFonts w:ascii="Times New Roman" w:hAnsi="Times New Roman" w:cs="Times New Roman"/>
          <w:szCs w:val="24"/>
        </w:rPr>
        <w:t xml:space="preserve">dodany </w:t>
      </w:r>
      <w:r w:rsidR="001550AA">
        <w:rPr>
          <w:rFonts w:ascii="Times New Roman" w:hAnsi="Times New Roman" w:cs="Times New Roman"/>
          <w:szCs w:val="24"/>
        </w:rPr>
        <w:t>nowy</w:t>
      </w:r>
      <w:r w:rsidR="00BC1D95" w:rsidRPr="0083169B">
        <w:rPr>
          <w:rFonts w:ascii="Times New Roman" w:hAnsi="Times New Roman" w:cs="Times New Roman"/>
          <w:szCs w:val="24"/>
        </w:rPr>
        <w:t xml:space="preserve"> pkt 2 wynika z </w:t>
      </w:r>
      <w:r w:rsidR="005E4673" w:rsidRPr="0083169B">
        <w:rPr>
          <w:rFonts w:ascii="Times New Roman" w:hAnsi="Times New Roman" w:cs="Times New Roman"/>
          <w:szCs w:val="24"/>
        </w:rPr>
        <w:t>praktyk</w:t>
      </w:r>
      <w:r w:rsidR="00BC1D95" w:rsidRPr="0083169B">
        <w:rPr>
          <w:rFonts w:ascii="Times New Roman" w:hAnsi="Times New Roman" w:cs="Times New Roman"/>
          <w:szCs w:val="24"/>
        </w:rPr>
        <w:t>i</w:t>
      </w:r>
      <w:r w:rsidR="005E4673" w:rsidRPr="00374B52">
        <w:rPr>
          <w:rFonts w:ascii="Times New Roman" w:hAnsi="Times New Roman" w:cs="Times New Roman"/>
          <w:szCs w:val="24"/>
        </w:rPr>
        <w:t xml:space="preserve"> nadzorcz</w:t>
      </w:r>
      <w:r w:rsidR="00BC1D95" w:rsidRPr="0083169B">
        <w:rPr>
          <w:rFonts w:ascii="Times New Roman" w:hAnsi="Times New Roman" w:cs="Times New Roman"/>
          <w:szCs w:val="24"/>
        </w:rPr>
        <w:t>ej, która wskazuje, że d</w:t>
      </w:r>
      <w:r w:rsidR="005E4673" w:rsidRPr="00374B52">
        <w:rPr>
          <w:rFonts w:ascii="Times New Roman" w:hAnsi="Times New Roman" w:cs="Times New Roman"/>
          <w:szCs w:val="24"/>
        </w:rPr>
        <w:t xml:space="preserve">ata powołania nie zawsze pokrywa się z datą faktycznego rozpoczęcia pełnienia funkcji przez określone osoby. </w:t>
      </w:r>
      <w:r w:rsidR="00BC1D95" w:rsidRPr="0083169B">
        <w:rPr>
          <w:rFonts w:ascii="Times New Roman" w:hAnsi="Times New Roman" w:cs="Times New Roman"/>
          <w:szCs w:val="24"/>
        </w:rPr>
        <w:t>P</w:t>
      </w:r>
      <w:r w:rsidR="005E4673" w:rsidRPr="00374B52">
        <w:rPr>
          <w:rFonts w:ascii="Times New Roman" w:hAnsi="Times New Roman" w:cs="Times New Roman"/>
          <w:szCs w:val="24"/>
        </w:rPr>
        <w:t xml:space="preserve">ropozycja </w:t>
      </w:r>
      <w:r w:rsidR="00BC1D95" w:rsidRPr="0083169B">
        <w:rPr>
          <w:rFonts w:ascii="Times New Roman" w:hAnsi="Times New Roman" w:cs="Times New Roman"/>
          <w:szCs w:val="24"/>
        </w:rPr>
        <w:t xml:space="preserve">przepisu w dodanym ust. 2 </w:t>
      </w:r>
      <w:r w:rsidR="005E4673" w:rsidRPr="00374B52">
        <w:rPr>
          <w:rFonts w:ascii="Times New Roman" w:hAnsi="Times New Roman" w:cs="Times New Roman"/>
          <w:szCs w:val="24"/>
        </w:rPr>
        <w:t>ma na celu wyeliminowanie konieczności ponownego publikowania przez emitentów tych samy</w:t>
      </w:r>
      <w:r w:rsidR="00FC0BC9">
        <w:rPr>
          <w:rFonts w:ascii="Times New Roman" w:hAnsi="Times New Roman" w:cs="Times New Roman"/>
          <w:szCs w:val="24"/>
        </w:rPr>
        <w:t>ch</w:t>
      </w:r>
      <w:r w:rsidR="005E4673" w:rsidRPr="00374B52">
        <w:rPr>
          <w:rFonts w:ascii="Times New Roman" w:hAnsi="Times New Roman" w:cs="Times New Roman"/>
          <w:szCs w:val="24"/>
        </w:rPr>
        <w:t xml:space="preserve"> informacji</w:t>
      </w:r>
      <w:r w:rsidR="001C14ED" w:rsidRPr="0083169B">
        <w:rPr>
          <w:rFonts w:ascii="Times New Roman" w:hAnsi="Times New Roman" w:cs="Times New Roman"/>
          <w:szCs w:val="24"/>
        </w:rPr>
        <w:t>;</w:t>
      </w:r>
    </w:p>
    <w:p w14:paraId="214C3D61" w14:textId="0F5ADE25" w:rsidR="005724E9" w:rsidRPr="0083169B" w:rsidRDefault="001B6AEF" w:rsidP="005724E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8</w:t>
      </w:r>
      <w:r w:rsidR="00BC1D95" w:rsidRPr="0083169B">
        <w:rPr>
          <w:rFonts w:ascii="Times New Roman" w:hAnsi="Times New Roman" w:cs="Times New Roman"/>
          <w:szCs w:val="24"/>
        </w:rPr>
        <w:t>)</w:t>
      </w:r>
      <w:r w:rsidR="00BC1D95" w:rsidRPr="0083169B">
        <w:rPr>
          <w:rFonts w:ascii="Times New Roman" w:hAnsi="Times New Roman" w:cs="Times New Roman"/>
          <w:szCs w:val="24"/>
        </w:rPr>
        <w:tab/>
      </w:r>
      <w:r w:rsidR="00B13F4B" w:rsidRPr="0083169B">
        <w:rPr>
          <w:rFonts w:ascii="Times New Roman" w:hAnsi="Times New Roman" w:cs="Times New Roman"/>
          <w:szCs w:val="24"/>
        </w:rPr>
        <w:t xml:space="preserve">§ 14 </w:t>
      </w:r>
      <w:r w:rsidR="00B13F4B" w:rsidRPr="00374B52">
        <w:rPr>
          <w:rFonts w:ascii="Times New Roman" w:hAnsi="Times New Roman" w:cs="Times New Roman"/>
          <w:i/>
          <w:iCs/>
          <w:szCs w:val="24"/>
        </w:rPr>
        <w:t>(</w:t>
      </w:r>
      <w:r w:rsidR="00B13F4B" w:rsidRPr="0083169B">
        <w:rPr>
          <w:rFonts w:ascii="Times New Roman" w:hAnsi="Times New Roman" w:cs="Times New Roman"/>
          <w:i/>
          <w:iCs/>
          <w:szCs w:val="24"/>
        </w:rPr>
        <w:t>§ 13 w rozporządzeniu obowiązującym</w:t>
      </w:r>
      <w:r w:rsidR="00B13F4B" w:rsidRPr="0083169B">
        <w:rPr>
          <w:rFonts w:ascii="Times New Roman" w:hAnsi="Times New Roman" w:cs="Times New Roman"/>
          <w:szCs w:val="24"/>
        </w:rPr>
        <w:t>) – z</w:t>
      </w:r>
      <w:r w:rsidR="00B13F4B" w:rsidRPr="00374B52">
        <w:rPr>
          <w:rFonts w:ascii="Times New Roman" w:hAnsi="Times New Roman" w:cs="Times New Roman"/>
          <w:szCs w:val="24"/>
        </w:rPr>
        <w:t xml:space="preserve">miana jest konsekwencją zmiany brzmienia pkt 9 w § 5 projektowanego rozporządzenia i wynika z konieczności dostosowania </w:t>
      </w:r>
      <w:r w:rsidR="00B13F4B" w:rsidRPr="00374B52">
        <w:rPr>
          <w:rFonts w:ascii="Times New Roman" w:hAnsi="Times New Roman" w:cs="Times New Roman"/>
          <w:szCs w:val="24"/>
        </w:rPr>
        <w:lastRenderedPageBreak/>
        <w:t xml:space="preserve">brzmienia tego przepisu do aktualnego brzmienia przepisów </w:t>
      </w:r>
      <w:r w:rsidR="00B13F4B" w:rsidRPr="0083169B">
        <w:rPr>
          <w:rFonts w:ascii="Times New Roman" w:hAnsi="Times New Roman" w:cs="Times New Roman"/>
          <w:szCs w:val="24"/>
        </w:rPr>
        <w:t>Kodeksu spółek handlowych</w:t>
      </w:r>
      <w:r w:rsidR="00B13F4B" w:rsidRPr="00374B52">
        <w:rPr>
          <w:rFonts w:ascii="Times New Roman" w:hAnsi="Times New Roman" w:cs="Times New Roman"/>
          <w:szCs w:val="24"/>
        </w:rPr>
        <w:t xml:space="preserve"> w zakresie formy akcji. Akcje nie mają formy dokumentu zasadniczo od 1 marca 2021 r. Aktualnie w ramach warunkowego podwyższenia kapitału zakładowego akcje są przyznawane, a nie wydawane</w:t>
      </w:r>
      <w:r w:rsidR="001C14ED" w:rsidRPr="0083169B">
        <w:rPr>
          <w:rFonts w:ascii="Times New Roman" w:hAnsi="Times New Roman" w:cs="Times New Roman"/>
          <w:szCs w:val="24"/>
        </w:rPr>
        <w:t>;</w:t>
      </w:r>
    </w:p>
    <w:p w14:paraId="0ED84C78" w14:textId="6B3B4270" w:rsidR="005724E9" w:rsidRPr="0083169B" w:rsidRDefault="001B6AEF" w:rsidP="005724E9">
      <w:pPr>
        <w:pStyle w:val="ARTartustawynprozporzdzenia"/>
        <w:spacing w:before="0"/>
        <w:ind w:left="284" w:hanging="284"/>
        <w:rPr>
          <w:rFonts w:ascii="Times New Roman" w:hAnsi="Times New Roman" w:cs="Times New Roman"/>
          <w:szCs w:val="24"/>
        </w:rPr>
      </w:pPr>
      <w:r>
        <w:rPr>
          <w:rFonts w:ascii="Times New Roman" w:hAnsi="Times New Roman" w:cs="Times New Roman"/>
          <w:szCs w:val="24"/>
        </w:rPr>
        <w:t>9</w:t>
      </w:r>
      <w:r w:rsidR="00A60BBC" w:rsidRPr="0083169B">
        <w:rPr>
          <w:rFonts w:ascii="Times New Roman" w:hAnsi="Times New Roman" w:cs="Times New Roman"/>
          <w:szCs w:val="24"/>
        </w:rPr>
        <w:t>)</w:t>
      </w:r>
      <w:r w:rsidR="00A60BBC" w:rsidRPr="0083169B">
        <w:rPr>
          <w:rFonts w:ascii="Times New Roman" w:hAnsi="Times New Roman" w:cs="Times New Roman"/>
          <w:szCs w:val="24"/>
        </w:rPr>
        <w:tab/>
        <w:t xml:space="preserve">§ 16 </w:t>
      </w:r>
      <w:r w:rsidR="00A60BBC" w:rsidRPr="0083169B">
        <w:rPr>
          <w:rFonts w:ascii="Times New Roman" w:hAnsi="Times New Roman" w:cs="Times New Roman"/>
          <w:i/>
          <w:iCs/>
          <w:szCs w:val="24"/>
        </w:rPr>
        <w:t>(§ 15 w rozporządzeniu obowiązującym</w:t>
      </w:r>
      <w:r w:rsidR="00A60BBC" w:rsidRPr="0083169B">
        <w:rPr>
          <w:rFonts w:ascii="Times New Roman" w:hAnsi="Times New Roman" w:cs="Times New Roman"/>
          <w:szCs w:val="24"/>
        </w:rPr>
        <w:t xml:space="preserve">) </w:t>
      </w:r>
      <w:r w:rsidR="00A17F28">
        <w:rPr>
          <w:rFonts w:ascii="Times New Roman" w:hAnsi="Times New Roman" w:cs="Times New Roman"/>
          <w:szCs w:val="24"/>
        </w:rPr>
        <w:t xml:space="preserve">dodany </w:t>
      </w:r>
      <w:r w:rsidR="00A60BBC" w:rsidRPr="0083169B">
        <w:rPr>
          <w:rFonts w:ascii="Times New Roman" w:hAnsi="Times New Roman" w:cs="Times New Roman"/>
          <w:szCs w:val="24"/>
        </w:rPr>
        <w:t>ust. 6 – w</w:t>
      </w:r>
      <w:r w:rsidR="00A60BBC" w:rsidRPr="00374B52">
        <w:rPr>
          <w:rFonts w:ascii="Times New Roman" w:hAnsi="Times New Roman" w:cs="Times New Roman"/>
          <w:szCs w:val="24"/>
        </w:rPr>
        <w:t xml:space="preserve"> związku z implementacją dyrektywy 2022/2464 </w:t>
      </w:r>
      <w:r w:rsidR="00A60BBC" w:rsidRPr="0083169B">
        <w:rPr>
          <w:rFonts w:ascii="Times New Roman" w:hAnsi="Times New Roman" w:cs="Times New Roman"/>
          <w:szCs w:val="24"/>
        </w:rPr>
        <w:t xml:space="preserve">jest </w:t>
      </w:r>
      <w:r w:rsidR="00A60BBC" w:rsidRPr="00374B52">
        <w:rPr>
          <w:rFonts w:ascii="Times New Roman" w:hAnsi="Times New Roman" w:cs="Times New Roman"/>
          <w:szCs w:val="24"/>
        </w:rPr>
        <w:t>celow</w:t>
      </w:r>
      <w:r w:rsidR="00A60BBC" w:rsidRPr="0083169B">
        <w:rPr>
          <w:rFonts w:ascii="Times New Roman" w:hAnsi="Times New Roman" w:cs="Times New Roman"/>
          <w:szCs w:val="24"/>
        </w:rPr>
        <w:t>e</w:t>
      </w:r>
      <w:r w:rsidR="00A60BBC" w:rsidRPr="00374B52">
        <w:rPr>
          <w:rFonts w:ascii="Times New Roman" w:hAnsi="Times New Roman" w:cs="Times New Roman"/>
          <w:szCs w:val="24"/>
        </w:rPr>
        <w:t xml:space="preserve"> wprowadzenie przepisu dotyczącego korekt w zakresie sprawozdawczości zrównoważonego rozwoju, analogiczn</w:t>
      </w:r>
      <w:r w:rsidR="00A60BBC" w:rsidRPr="0083169B">
        <w:rPr>
          <w:rFonts w:ascii="Times New Roman" w:hAnsi="Times New Roman" w:cs="Times New Roman"/>
          <w:szCs w:val="24"/>
        </w:rPr>
        <w:t xml:space="preserve">ego do </w:t>
      </w:r>
      <w:r w:rsidR="00A60BBC" w:rsidRPr="00374B52">
        <w:rPr>
          <w:rFonts w:ascii="Times New Roman" w:hAnsi="Times New Roman" w:cs="Times New Roman"/>
          <w:szCs w:val="24"/>
        </w:rPr>
        <w:t>przepis</w:t>
      </w:r>
      <w:r w:rsidR="00A60BBC" w:rsidRPr="0083169B">
        <w:rPr>
          <w:rFonts w:ascii="Times New Roman" w:hAnsi="Times New Roman" w:cs="Times New Roman"/>
          <w:szCs w:val="24"/>
        </w:rPr>
        <w:t>u</w:t>
      </w:r>
      <w:r w:rsidR="00A60BBC" w:rsidRPr="00374B52">
        <w:rPr>
          <w:rFonts w:ascii="Times New Roman" w:hAnsi="Times New Roman" w:cs="Times New Roman"/>
          <w:szCs w:val="24"/>
        </w:rPr>
        <w:t xml:space="preserve"> ust. 5, który </w:t>
      </w:r>
      <w:r w:rsidR="001C14ED" w:rsidRPr="0083169B">
        <w:rPr>
          <w:rFonts w:ascii="Times New Roman" w:hAnsi="Times New Roman" w:cs="Times New Roman"/>
          <w:szCs w:val="24"/>
        </w:rPr>
        <w:t xml:space="preserve">się </w:t>
      </w:r>
      <w:r w:rsidR="00A60BBC" w:rsidRPr="00374B52">
        <w:rPr>
          <w:rFonts w:ascii="Times New Roman" w:hAnsi="Times New Roman" w:cs="Times New Roman"/>
          <w:szCs w:val="24"/>
        </w:rPr>
        <w:t>odnosi do korekt sprawozdań finansowych. Korekcie może podlegać sprawozdanie z działalności emitenta (część raportu rocznego) zawierające sprawozdawczość zrównoważonego rozwoju. Z tego powodu w projektowanym przepisie wskazano, że w przypadku korekty zatwierdzonego przez organ zatwierdzający sprawozdania z działalności w związku z korektą sprawozdawczości zrównoważonego rozwoju, emitent powinien przekazać do publicznej wiadomości raport bieżący informujący o przedmiocie i charakterze korekty</w:t>
      </w:r>
      <w:r w:rsidR="001C14ED" w:rsidRPr="0083169B">
        <w:rPr>
          <w:rFonts w:ascii="Times New Roman" w:hAnsi="Times New Roman" w:cs="Times New Roman"/>
          <w:szCs w:val="24"/>
        </w:rPr>
        <w:t>;</w:t>
      </w:r>
    </w:p>
    <w:p w14:paraId="10B12F0F" w14:textId="0FF73652" w:rsidR="001C14ED" w:rsidRPr="0083169B" w:rsidRDefault="001C14ED" w:rsidP="005724E9">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0</w:t>
      </w:r>
      <w:r w:rsidRPr="0083169B">
        <w:rPr>
          <w:rFonts w:ascii="Times New Roman" w:hAnsi="Times New Roman" w:cs="Times New Roman"/>
          <w:szCs w:val="24"/>
        </w:rPr>
        <w:t>)</w:t>
      </w:r>
      <w:r w:rsidRPr="0083169B">
        <w:rPr>
          <w:rFonts w:ascii="Times New Roman" w:hAnsi="Times New Roman" w:cs="Times New Roman"/>
          <w:szCs w:val="24"/>
        </w:rPr>
        <w:tab/>
        <w:t xml:space="preserve">§ 17 </w:t>
      </w:r>
      <w:r w:rsidRPr="0083169B">
        <w:rPr>
          <w:rFonts w:ascii="Times New Roman" w:hAnsi="Times New Roman" w:cs="Times New Roman"/>
          <w:i/>
          <w:iCs/>
          <w:szCs w:val="24"/>
        </w:rPr>
        <w:t>(§ 16 w rozporządzeniu obowiązującym</w:t>
      </w:r>
      <w:r w:rsidRPr="0083169B">
        <w:rPr>
          <w:rFonts w:ascii="Times New Roman" w:hAnsi="Times New Roman" w:cs="Times New Roman"/>
          <w:szCs w:val="24"/>
        </w:rPr>
        <w:t>):</w:t>
      </w:r>
    </w:p>
    <w:p w14:paraId="2ED7DF4B" w14:textId="238DC12A" w:rsidR="001C14ED" w:rsidRPr="00374B52" w:rsidRDefault="001C14ED"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a)</w:t>
      </w:r>
      <w:r w:rsidRPr="0083169B">
        <w:rPr>
          <w:rFonts w:ascii="Times New Roman" w:hAnsi="Times New Roman" w:cs="Times New Roman"/>
          <w:szCs w:val="24"/>
        </w:rPr>
        <w:tab/>
        <w:t>pkt 2 – s</w:t>
      </w:r>
      <w:r w:rsidRPr="00374B52">
        <w:rPr>
          <w:rFonts w:ascii="Times New Roman" w:hAnsi="Times New Roman" w:cs="Times New Roman"/>
          <w:szCs w:val="24"/>
        </w:rPr>
        <w:t xml:space="preserve">ubskrypcja akcji może być dokonywana w trybie subskrypcji otwartej, zamkniętej i prywatnej, przy czym między nimi występują istotne różnice (w subskrypcji prywatnej nie ma zapisów ani przydziału). Subskrypcja i sprzedaż mogą być dokonywane w ramach oferty prywatnej albo publicznej (na podstawie prospektu lub bez obowiązku sporządzenia prospektu). Aktualnie część emitentów zamieszcza przedmiotowe informacje w raporcie o zakończeniu subskrypcji lub sprzedaży, a część nie. </w:t>
      </w:r>
      <w:r w:rsidR="00F858B6" w:rsidRPr="00374B52">
        <w:rPr>
          <w:rFonts w:ascii="Times New Roman" w:hAnsi="Times New Roman" w:cs="Times New Roman"/>
          <w:szCs w:val="24"/>
        </w:rPr>
        <w:t xml:space="preserve">Dodany przepis </w:t>
      </w:r>
      <w:r w:rsidRPr="00374B52">
        <w:rPr>
          <w:rFonts w:ascii="Times New Roman" w:hAnsi="Times New Roman" w:cs="Times New Roman"/>
          <w:szCs w:val="24"/>
        </w:rPr>
        <w:t>ma na celu ujednolicenie raportów o zakończeniu subskrypcji lub sprzedaży,</w:t>
      </w:r>
    </w:p>
    <w:p w14:paraId="0E13B2E7" w14:textId="7B7FEF19" w:rsidR="001C14ED" w:rsidRPr="0083169B" w:rsidRDefault="001C14ED"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b)</w:t>
      </w:r>
      <w:r w:rsidRPr="0083169B">
        <w:rPr>
          <w:rFonts w:ascii="Times New Roman" w:hAnsi="Times New Roman" w:cs="Times New Roman"/>
          <w:szCs w:val="24"/>
        </w:rPr>
        <w:tab/>
      </w:r>
      <w:r w:rsidR="00D835EE" w:rsidRPr="0083169B">
        <w:rPr>
          <w:rFonts w:ascii="Times New Roman" w:hAnsi="Times New Roman" w:cs="Times New Roman"/>
          <w:szCs w:val="24"/>
        </w:rPr>
        <w:t xml:space="preserve">pkt 6 </w:t>
      </w:r>
      <w:bookmarkStart w:id="10" w:name="_Hlk181024609"/>
      <w:r w:rsidR="00D835EE" w:rsidRPr="0083169B">
        <w:rPr>
          <w:rFonts w:ascii="Times New Roman" w:hAnsi="Times New Roman" w:cs="Times New Roman"/>
          <w:szCs w:val="24"/>
        </w:rPr>
        <w:t>(</w:t>
      </w:r>
      <w:r w:rsidR="00D835EE" w:rsidRPr="00374B52">
        <w:rPr>
          <w:rFonts w:ascii="Times New Roman" w:hAnsi="Times New Roman" w:cs="Times New Roman"/>
          <w:i/>
          <w:iCs/>
          <w:szCs w:val="24"/>
        </w:rPr>
        <w:t>pkt 5 w rozporządzeniu obowiązującym</w:t>
      </w:r>
      <w:r w:rsidR="00D835EE" w:rsidRPr="0083169B">
        <w:rPr>
          <w:rFonts w:ascii="Times New Roman" w:hAnsi="Times New Roman" w:cs="Times New Roman"/>
          <w:szCs w:val="24"/>
        </w:rPr>
        <w:t>)</w:t>
      </w:r>
      <w:bookmarkEnd w:id="10"/>
      <w:r w:rsidR="00D835EE" w:rsidRPr="0083169B">
        <w:rPr>
          <w:rFonts w:ascii="Times New Roman" w:hAnsi="Times New Roman" w:cs="Times New Roman"/>
          <w:szCs w:val="24"/>
        </w:rPr>
        <w:t xml:space="preserve"> – z</w:t>
      </w:r>
      <w:r w:rsidR="00D835EE" w:rsidRPr="00374B52">
        <w:rPr>
          <w:rFonts w:ascii="Times New Roman" w:hAnsi="Times New Roman" w:cs="Times New Roman"/>
          <w:szCs w:val="24"/>
        </w:rPr>
        <w:t>miana ma na celu dostosowanie przepisu do obowiązującej w Kodeksie spółek handlowych siatki pojęciowej. W przypadku emisji obligacji na podstawie propozycji nabycia lub subskrypcji akcji w trybie prywatnym nie ma instytucji zapisów, jest za to propozycja nabycia obligacji i jej przyjęcie oraz oferta objęcia akcji i jej przyjęcie,</w:t>
      </w:r>
    </w:p>
    <w:p w14:paraId="2BD9BAB6" w14:textId="5C34DB68" w:rsidR="001C14ED" w:rsidRPr="0083169B" w:rsidRDefault="00D835EE"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c)</w:t>
      </w:r>
      <w:r w:rsidRPr="0083169B">
        <w:rPr>
          <w:rFonts w:ascii="Times New Roman" w:hAnsi="Times New Roman" w:cs="Times New Roman"/>
          <w:szCs w:val="24"/>
        </w:rPr>
        <w:tab/>
        <w:t>pkt 7 (</w:t>
      </w:r>
      <w:r w:rsidRPr="00B123EE">
        <w:rPr>
          <w:rFonts w:ascii="Times New Roman" w:hAnsi="Times New Roman" w:cs="Times New Roman"/>
          <w:i/>
          <w:iCs/>
          <w:szCs w:val="24"/>
        </w:rPr>
        <w:t>pkt 6 w rozporządzeniu obowiązującym</w:t>
      </w:r>
      <w:r w:rsidRPr="0083169B">
        <w:rPr>
          <w:rFonts w:ascii="Times New Roman" w:hAnsi="Times New Roman" w:cs="Times New Roman"/>
          <w:szCs w:val="24"/>
        </w:rPr>
        <w:t xml:space="preserve">) </w:t>
      </w:r>
      <w:r w:rsidRPr="00374B52">
        <w:rPr>
          <w:rFonts w:ascii="Times New Roman" w:hAnsi="Times New Roman" w:cs="Times New Roman"/>
          <w:szCs w:val="24"/>
        </w:rPr>
        <w:t>–</w:t>
      </w:r>
      <w:r w:rsidRPr="0083169B">
        <w:rPr>
          <w:rFonts w:ascii="Times New Roman" w:hAnsi="Times New Roman" w:cs="Times New Roman"/>
          <w:szCs w:val="24"/>
        </w:rPr>
        <w:t xml:space="preserve"> z</w:t>
      </w:r>
      <w:r w:rsidRPr="00374B52">
        <w:rPr>
          <w:rFonts w:ascii="Times New Roman" w:hAnsi="Times New Roman" w:cs="Times New Roman"/>
          <w:szCs w:val="24"/>
        </w:rPr>
        <w:t>miana ma na celu dostosowanie przepisu do obowiązującej w Kodeksie spółek handlowych siatki pojęciowej. W subskrypcji prywatnej akcji nie ma instytucji przydziału, zawierane są umowy objęcia,</w:t>
      </w:r>
    </w:p>
    <w:p w14:paraId="54B0A93A" w14:textId="10DB8696" w:rsidR="00D835EE" w:rsidRPr="00374B52" w:rsidRDefault="00D835EE"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d)</w:t>
      </w:r>
      <w:r w:rsidRPr="0083169B">
        <w:rPr>
          <w:rFonts w:ascii="Times New Roman" w:hAnsi="Times New Roman" w:cs="Times New Roman"/>
          <w:szCs w:val="24"/>
        </w:rPr>
        <w:tab/>
      </w:r>
      <w:r w:rsidR="000560C5" w:rsidRPr="0083169B">
        <w:rPr>
          <w:rFonts w:ascii="Times New Roman" w:hAnsi="Times New Roman" w:cs="Times New Roman"/>
          <w:szCs w:val="24"/>
        </w:rPr>
        <w:t>pkt 9 (</w:t>
      </w:r>
      <w:r w:rsidR="000560C5" w:rsidRPr="00B123EE">
        <w:rPr>
          <w:rFonts w:ascii="Times New Roman" w:hAnsi="Times New Roman" w:cs="Times New Roman"/>
          <w:i/>
          <w:iCs/>
          <w:szCs w:val="24"/>
        </w:rPr>
        <w:t>pkt 8 w rozporządzeniu obowiązującym</w:t>
      </w:r>
      <w:r w:rsidR="000560C5" w:rsidRPr="0083169B">
        <w:rPr>
          <w:rFonts w:ascii="Times New Roman" w:hAnsi="Times New Roman" w:cs="Times New Roman"/>
          <w:szCs w:val="24"/>
        </w:rPr>
        <w:t>) – z</w:t>
      </w:r>
      <w:r w:rsidR="000560C5" w:rsidRPr="00374B52">
        <w:rPr>
          <w:rFonts w:ascii="Times New Roman" w:hAnsi="Times New Roman" w:cs="Times New Roman"/>
          <w:szCs w:val="24"/>
        </w:rPr>
        <w:t xml:space="preserve">miana ma na celu dostosowanie przepisu do obowiązującej w Kodeksie spółek handlowych siatki pojęciowej. W przypadku emisji obligacji na podstawie propozycji nabycia lub subskrypcji akcji w </w:t>
      </w:r>
      <w:r w:rsidR="000560C5" w:rsidRPr="00374B52">
        <w:rPr>
          <w:rFonts w:ascii="Times New Roman" w:hAnsi="Times New Roman" w:cs="Times New Roman"/>
          <w:szCs w:val="24"/>
        </w:rPr>
        <w:lastRenderedPageBreak/>
        <w:t>trybie prywatnym nie ma instytucji zapisów, jest za to propozycja nabycia obligacji oraz oferta objęcia akcji,</w:t>
      </w:r>
    </w:p>
    <w:p w14:paraId="0580BC14" w14:textId="01B4C5E1" w:rsidR="00D835EE" w:rsidRPr="00B123EE" w:rsidRDefault="000560C5"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e)</w:t>
      </w:r>
      <w:r w:rsidRPr="0083169B">
        <w:rPr>
          <w:rFonts w:ascii="Times New Roman" w:hAnsi="Times New Roman" w:cs="Times New Roman"/>
          <w:szCs w:val="24"/>
        </w:rPr>
        <w:tab/>
        <w:t xml:space="preserve">pkt 10 – dodany przepis </w:t>
      </w:r>
      <w:r w:rsidRPr="00B123EE">
        <w:rPr>
          <w:rFonts w:ascii="Times New Roman" w:hAnsi="Times New Roman" w:cs="Times New Roman"/>
          <w:szCs w:val="24"/>
        </w:rPr>
        <w:t>wynika z dotychczasowej praktyki nadzorczej. Dla oceny prawidłowości oferty publicznej papierów wartościowych istotne jest nie tylko, ile osób objęło papiery, ale także do ilu osób zostały skierowane propozycje nabycia lub oferty objęcia papierów wartościowych. Wartości te nie muszą być tożsame,</w:t>
      </w:r>
    </w:p>
    <w:p w14:paraId="77767B22" w14:textId="6A59C96D" w:rsidR="00D835EE" w:rsidRPr="0083169B" w:rsidRDefault="000560C5"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f)</w:t>
      </w:r>
      <w:r w:rsidRPr="0083169B">
        <w:rPr>
          <w:rFonts w:ascii="Times New Roman" w:hAnsi="Times New Roman" w:cs="Times New Roman"/>
          <w:szCs w:val="24"/>
        </w:rPr>
        <w:tab/>
        <w:t>pkt 11 (</w:t>
      </w:r>
      <w:r w:rsidRPr="00B123EE">
        <w:rPr>
          <w:rFonts w:ascii="Times New Roman" w:hAnsi="Times New Roman" w:cs="Times New Roman"/>
          <w:i/>
          <w:iCs/>
          <w:szCs w:val="24"/>
        </w:rPr>
        <w:t>pkt 9 w rozporządzeniu obowiązującym</w:t>
      </w:r>
      <w:r w:rsidRPr="0083169B">
        <w:rPr>
          <w:rFonts w:ascii="Times New Roman" w:hAnsi="Times New Roman" w:cs="Times New Roman"/>
          <w:szCs w:val="24"/>
        </w:rPr>
        <w:t xml:space="preserve">) – </w:t>
      </w:r>
      <w:r w:rsidR="00F858B6" w:rsidRPr="0083169B">
        <w:rPr>
          <w:rFonts w:ascii="Times New Roman" w:hAnsi="Times New Roman" w:cs="Times New Roman"/>
          <w:szCs w:val="24"/>
        </w:rPr>
        <w:t xml:space="preserve">dodany przepis ma </w:t>
      </w:r>
      <w:r w:rsidRPr="00374B52">
        <w:rPr>
          <w:rFonts w:ascii="Times New Roman" w:hAnsi="Times New Roman" w:cs="Times New Roman"/>
          <w:szCs w:val="24"/>
        </w:rPr>
        <w:t xml:space="preserve">na celu dostosowanie przepisu do obowiązującej w </w:t>
      </w:r>
      <w:r w:rsidR="00F858B6" w:rsidRPr="00374B52">
        <w:rPr>
          <w:rFonts w:ascii="Times New Roman" w:hAnsi="Times New Roman" w:cs="Times New Roman"/>
          <w:szCs w:val="24"/>
        </w:rPr>
        <w:t xml:space="preserve">Kodeksie spółek handlowych </w:t>
      </w:r>
      <w:r w:rsidRPr="00374B52">
        <w:rPr>
          <w:rFonts w:ascii="Times New Roman" w:hAnsi="Times New Roman" w:cs="Times New Roman"/>
          <w:szCs w:val="24"/>
        </w:rPr>
        <w:t>siatki pojęciowej. W</w:t>
      </w:r>
      <w:r w:rsidR="00F858B6" w:rsidRPr="00374B52">
        <w:rPr>
          <w:rFonts w:ascii="Times New Roman" w:hAnsi="Times New Roman" w:cs="Times New Roman"/>
          <w:szCs w:val="24"/>
        </w:rPr>
        <w:t xml:space="preserve"> </w:t>
      </w:r>
      <w:r w:rsidRPr="00374B52">
        <w:rPr>
          <w:rFonts w:ascii="Times New Roman" w:hAnsi="Times New Roman" w:cs="Times New Roman"/>
          <w:szCs w:val="24"/>
        </w:rPr>
        <w:t>przypadku subskrypcji akcji w trybie prywatnym nie ma instytucji przydziału</w:t>
      </w:r>
      <w:r w:rsidR="00F858B6" w:rsidRPr="00374B52">
        <w:rPr>
          <w:rFonts w:ascii="Times New Roman" w:hAnsi="Times New Roman" w:cs="Times New Roman"/>
          <w:szCs w:val="24"/>
        </w:rPr>
        <w:t>,</w:t>
      </w:r>
      <w:r w:rsidRPr="00374B52">
        <w:rPr>
          <w:rFonts w:ascii="Times New Roman" w:hAnsi="Times New Roman" w:cs="Times New Roman"/>
          <w:szCs w:val="24"/>
        </w:rPr>
        <w:t xml:space="preserve"> </w:t>
      </w:r>
      <w:r w:rsidR="00F858B6" w:rsidRPr="00374B52">
        <w:rPr>
          <w:rFonts w:ascii="Times New Roman" w:hAnsi="Times New Roman" w:cs="Times New Roman"/>
          <w:szCs w:val="24"/>
        </w:rPr>
        <w:t>z</w:t>
      </w:r>
      <w:r w:rsidRPr="00374B52">
        <w:rPr>
          <w:rFonts w:ascii="Times New Roman" w:hAnsi="Times New Roman" w:cs="Times New Roman"/>
          <w:szCs w:val="24"/>
        </w:rPr>
        <w:t>awierane są za to umowy objęcia akcji</w:t>
      </w:r>
      <w:r w:rsidR="00F858B6" w:rsidRPr="0083169B">
        <w:rPr>
          <w:rFonts w:ascii="Times New Roman" w:hAnsi="Times New Roman" w:cs="Times New Roman"/>
          <w:szCs w:val="24"/>
        </w:rPr>
        <w:t>;</w:t>
      </w:r>
    </w:p>
    <w:p w14:paraId="2A67F6FD" w14:textId="7E6E3459" w:rsidR="00F858B6" w:rsidRPr="0083169B" w:rsidRDefault="00F858B6" w:rsidP="005724E9">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1</w:t>
      </w:r>
      <w:r w:rsidRPr="0083169B">
        <w:rPr>
          <w:rFonts w:ascii="Times New Roman" w:hAnsi="Times New Roman" w:cs="Times New Roman"/>
          <w:szCs w:val="24"/>
        </w:rPr>
        <w:t>)</w:t>
      </w:r>
      <w:r w:rsidRPr="0083169B">
        <w:rPr>
          <w:rFonts w:ascii="Times New Roman" w:hAnsi="Times New Roman" w:cs="Times New Roman"/>
          <w:szCs w:val="24"/>
        </w:rPr>
        <w:tab/>
        <w:t xml:space="preserve">§ 20 </w:t>
      </w:r>
      <w:r w:rsidRPr="0083169B">
        <w:rPr>
          <w:rFonts w:ascii="Times New Roman" w:hAnsi="Times New Roman" w:cs="Times New Roman"/>
          <w:i/>
          <w:iCs/>
          <w:szCs w:val="24"/>
        </w:rPr>
        <w:t>(§ 19 w rozporządzeniu obowiązującym</w:t>
      </w:r>
      <w:r w:rsidRPr="0083169B">
        <w:rPr>
          <w:rFonts w:ascii="Times New Roman" w:hAnsi="Times New Roman" w:cs="Times New Roman"/>
          <w:szCs w:val="24"/>
        </w:rPr>
        <w:t>):</w:t>
      </w:r>
    </w:p>
    <w:p w14:paraId="2887F671" w14:textId="20BE2EE9" w:rsidR="00D835EE" w:rsidRPr="0083169B" w:rsidRDefault="00A54A7C"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a)</w:t>
      </w:r>
      <w:r w:rsidRPr="0083169B">
        <w:rPr>
          <w:rFonts w:ascii="Times New Roman" w:hAnsi="Times New Roman" w:cs="Times New Roman"/>
          <w:szCs w:val="24"/>
        </w:rPr>
        <w:tab/>
      </w:r>
      <w:r w:rsidR="00F858B6" w:rsidRPr="0083169B">
        <w:rPr>
          <w:rFonts w:ascii="Times New Roman" w:hAnsi="Times New Roman" w:cs="Times New Roman"/>
          <w:szCs w:val="24"/>
        </w:rPr>
        <w:t>ust.</w:t>
      </w:r>
      <w:r w:rsidRPr="0083169B">
        <w:rPr>
          <w:rFonts w:ascii="Times New Roman" w:hAnsi="Times New Roman" w:cs="Times New Roman"/>
          <w:szCs w:val="24"/>
        </w:rPr>
        <w:t xml:space="preserve"> 1:</w:t>
      </w:r>
    </w:p>
    <w:p w14:paraId="39C5116D" w14:textId="7F1F3F56" w:rsidR="00A54A7C" w:rsidRPr="00374B52" w:rsidRDefault="00A54A7C" w:rsidP="00374B52">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2 – propozycja zmiany przepisu wynika z p</w:t>
      </w:r>
      <w:r w:rsidRPr="00374B52">
        <w:rPr>
          <w:rFonts w:ascii="Times New Roman" w:hAnsi="Times New Roman" w:cs="Times New Roman"/>
          <w:szCs w:val="24"/>
        </w:rPr>
        <w:t>raktyki nadzorczej, która wskazuje na niepoprawne wypełnianie obowiązku przez emitentów na podstawie dotychczasowego brzmienia przepisu. Celem zmiany jest doprecyzowanie, jak należy rozumieć uprzednie podanie do publicznej wiadomości określonych informacji raportem bieżącym lub okresowym. Przykładowo należy wskazać</w:t>
      </w:r>
      <w:r w:rsidR="00FC0BC9">
        <w:rPr>
          <w:rFonts w:ascii="Times New Roman" w:hAnsi="Times New Roman" w:cs="Times New Roman"/>
          <w:szCs w:val="24"/>
        </w:rPr>
        <w:t xml:space="preserve"> przypadki</w:t>
      </w:r>
      <w:r w:rsidRPr="00374B52">
        <w:rPr>
          <w:rFonts w:ascii="Times New Roman" w:hAnsi="Times New Roman" w:cs="Times New Roman"/>
          <w:szCs w:val="24"/>
        </w:rPr>
        <w:t>, że emitenci nie załączali w raportach – przekazywanych na podstawie tego przepisu – dokumentów istotnych dla podejmowanych uchwał na walnym zgromadzeniu, gdyż uważali że zamieszczenie tych dokumentów, np. na stronie internetowej, wypełnia przesłankę uprzedniego podania do publicznej wiadomości,</w:t>
      </w:r>
    </w:p>
    <w:p w14:paraId="20D17551" w14:textId="76C0FC28" w:rsidR="00F93714" w:rsidRPr="00374B52" w:rsidRDefault="00A54A7C" w:rsidP="00374B52">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pkt </w:t>
      </w:r>
      <w:r w:rsidR="00F93714" w:rsidRPr="0083169B">
        <w:rPr>
          <w:rFonts w:ascii="Times New Roman" w:hAnsi="Times New Roman" w:cs="Times New Roman"/>
          <w:szCs w:val="24"/>
        </w:rPr>
        <w:t>12 i 13 – z</w:t>
      </w:r>
      <w:r w:rsidR="00F93714" w:rsidRPr="00B123EE">
        <w:rPr>
          <w:rFonts w:ascii="Times New Roman" w:hAnsi="Times New Roman" w:cs="Times New Roman"/>
          <w:szCs w:val="24"/>
        </w:rPr>
        <w:t>miana o charakterze redakcyjnym, związana z propozycją dodania do §</w:t>
      </w:r>
      <w:r w:rsidR="000E5254">
        <w:rPr>
          <w:rFonts w:ascii="Times New Roman" w:hAnsi="Times New Roman" w:cs="Times New Roman"/>
          <w:szCs w:val="24"/>
        </w:rPr>
        <w:t> </w:t>
      </w:r>
      <w:r w:rsidR="006D2BFE" w:rsidRPr="00B123EE">
        <w:rPr>
          <w:rFonts w:ascii="Times New Roman" w:hAnsi="Times New Roman" w:cs="Times New Roman"/>
          <w:szCs w:val="24"/>
        </w:rPr>
        <w:t>20</w:t>
      </w:r>
      <w:r w:rsidR="00F93714" w:rsidRPr="00B123EE">
        <w:rPr>
          <w:rFonts w:ascii="Times New Roman" w:hAnsi="Times New Roman" w:cs="Times New Roman"/>
          <w:szCs w:val="24"/>
        </w:rPr>
        <w:t xml:space="preserve"> projektowanego rozporządzenia nowego ust. 3,</w:t>
      </w:r>
    </w:p>
    <w:p w14:paraId="3EDEAB97" w14:textId="3B66B99B" w:rsidR="00F858B6" w:rsidRPr="0083169B" w:rsidRDefault="00F93714" w:rsidP="00374B52">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14 i 15 – dodane przepisy mają </w:t>
      </w:r>
      <w:r w:rsidRPr="00374B52">
        <w:rPr>
          <w:rFonts w:ascii="Times New Roman" w:hAnsi="Times New Roman" w:cs="Times New Roman"/>
          <w:szCs w:val="24"/>
        </w:rPr>
        <w:t>na celu zapewnienie uczestnikom rynku dostępu do informacji istotnych dla oceny sytuacji majątkowej, finansowej i wyników emitenta,</w:t>
      </w:r>
    </w:p>
    <w:p w14:paraId="19829EE1" w14:textId="1D19E5FE" w:rsidR="00D835EE" w:rsidRPr="0083169B" w:rsidRDefault="00F93714" w:rsidP="00374B52">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b)</w:t>
      </w:r>
      <w:r w:rsidRPr="0083169B">
        <w:rPr>
          <w:rFonts w:ascii="Times New Roman" w:hAnsi="Times New Roman" w:cs="Times New Roman"/>
          <w:szCs w:val="24"/>
        </w:rPr>
        <w:tab/>
        <w:t>dodane nowe ust. 2 i 3:</w:t>
      </w:r>
    </w:p>
    <w:p w14:paraId="1FC32BE8" w14:textId="253D5277" w:rsidR="00F93714" w:rsidRPr="00374B52" w:rsidRDefault="00F93714" w:rsidP="00374B52">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proponowany </w:t>
      </w:r>
      <w:r w:rsidRPr="00374B52">
        <w:rPr>
          <w:rFonts w:ascii="Times New Roman" w:hAnsi="Times New Roman" w:cs="Times New Roman"/>
          <w:szCs w:val="24"/>
        </w:rPr>
        <w:t>ust. 2 ma na celu wyeliminowanie konieczności ponownego publikowania przez emitentów treści uchwał podjętych przez walne zgromadzenie oraz treści dokumentów, będących przedmiotem głosowania, o ile nie zmieniły się one w stosunku do opublikowanych projektów</w:t>
      </w:r>
      <w:r w:rsidR="006D2BFE" w:rsidRPr="0083169B">
        <w:rPr>
          <w:rFonts w:ascii="Times New Roman" w:hAnsi="Times New Roman" w:cs="Times New Roman"/>
          <w:szCs w:val="24"/>
        </w:rPr>
        <w:t>,</w:t>
      </w:r>
    </w:p>
    <w:p w14:paraId="09D47D18" w14:textId="2FBB91F9" w:rsidR="00F93714" w:rsidRPr="0083169B" w:rsidRDefault="00F93714" w:rsidP="00374B52">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w:t>
      </w:r>
      <w:r w:rsidRPr="00374B52">
        <w:rPr>
          <w:rFonts w:ascii="Times New Roman" w:hAnsi="Times New Roman" w:cs="Times New Roman"/>
          <w:szCs w:val="24"/>
        </w:rPr>
        <w:t xml:space="preserve">roponowany ust. </w:t>
      </w:r>
      <w:r w:rsidR="006D2BFE" w:rsidRPr="00374B52">
        <w:rPr>
          <w:rFonts w:ascii="Times New Roman" w:hAnsi="Times New Roman" w:cs="Times New Roman"/>
          <w:szCs w:val="24"/>
        </w:rPr>
        <w:t>3</w:t>
      </w:r>
      <w:r w:rsidRPr="00374B52">
        <w:rPr>
          <w:rFonts w:ascii="Times New Roman" w:hAnsi="Times New Roman" w:cs="Times New Roman"/>
          <w:szCs w:val="24"/>
        </w:rPr>
        <w:t xml:space="preserve"> ma na celu wyeliminowanie konieczności ponownego publikowania przez emitentów tych samym informacji. Obowiązek przekazania raportu bieżącego, zgodnie z § </w:t>
      </w:r>
      <w:r w:rsidR="006D2BFE" w:rsidRPr="00374B52">
        <w:rPr>
          <w:rFonts w:ascii="Times New Roman" w:hAnsi="Times New Roman" w:cs="Times New Roman"/>
          <w:szCs w:val="24"/>
        </w:rPr>
        <w:t>20</w:t>
      </w:r>
      <w:r w:rsidRPr="00374B52">
        <w:rPr>
          <w:rFonts w:ascii="Times New Roman" w:hAnsi="Times New Roman" w:cs="Times New Roman"/>
          <w:szCs w:val="24"/>
        </w:rPr>
        <w:t xml:space="preserve"> ust. 1 pkt 12 projektowanego rozporządzenia, występuje każdorazowo, gdy emitent udziela informacji akcjonariuszowi poza </w:t>
      </w:r>
      <w:r w:rsidRPr="00374B52">
        <w:rPr>
          <w:rFonts w:ascii="Times New Roman" w:hAnsi="Times New Roman" w:cs="Times New Roman"/>
          <w:szCs w:val="24"/>
        </w:rPr>
        <w:lastRenderedPageBreak/>
        <w:t>walnym zgromadzeniem. W ramach praktyki nadzorczej zaobserwowano sytuacje, gdy pytania zadawane przez różnych akcjonariuszy dotyczą tej samej kwestii. W praktyce oznacza to, że emitent publikuje pytania dotyczące tych samych kwestii i identyczne odpowiedzi na te pytania</w:t>
      </w:r>
      <w:r w:rsidR="006D2BFE" w:rsidRPr="0083169B">
        <w:rPr>
          <w:rFonts w:ascii="Times New Roman" w:hAnsi="Times New Roman" w:cs="Times New Roman"/>
          <w:szCs w:val="24"/>
        </w:rPr>
        <w:t>;</w:t>
      </w:r>
    </w:p>
    <w:p w14:paraId="1B3D61B1" w14:textId="7FB254D0" w:rsidR="00F93714" w:rsidRPr="00374B52" w:rsidRDefault="00A91855" w:rsidP="005724E9">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2</w:t>
      </w:r>
      <w:r w:rsidRPr="0083169B">
        <w:rPr>
          <w:rFonts w:ascii="Times New Roman" w:hAnsi="Times New Roman" w:cs="Times New Roman"/>
          <w:szCs w:val="24"/>
        </w:rPr>
        <w:t>)</w:t>
      </w:r>
      <w:r w:rsidRPr="0083169B">
        <w:rPr>
          <w:rFonts w:ascii="Times New Roman" w:hAnsi="Times New Roman" w:cs="Times New Roman"/>
          <w:szCs w:val="24"/>
        </w:rPr>
        <w:tab/>
        <w:t xml:space="preserve">§ 21 </w:t>
      </w:r>
      <w:r w:rsidRPr="0083169B">
        <w:rPr>
          <w:rFonts w:ascii="Times New Roman" w:hAnsi="Times New Roman" w:cs="Times New Roman"/>
          <w:i/>
          <w:iCs/>
          <w:szCs w:val="24"/>
        </w:rPr>
        <w:t>(§ 20 w rozporządzeniu obowiązującym</w:t>
      </w:r>
      <w:r w:rsidRPr="0083169B">
        <w:rPr>
          <w:rFonts w:ascii="Times New Roman" w:hAnsi="Times New Roman" w:cs="Times New Roman"/>
          <w:szCs w:val="24"/>
        </w:rPr>
        <w:t>) pkt 6</w:t>
      </w:r>
      <w:r w:rsidR="00025CB2">
        <w:rPr>
          <w:rFonts w:ascii="Times New Roman" w:hAnsi="Times New Roman" w:cs="Times New Roman"/>
          <w:szCs w:val="24"/>
        </w:rPr>
        <w:t xml:space="preserve"> </w:t>
      </w:r>
      <w:r w:rsidRPr="0083169B">
        <w:rPr>
          <w:rFonts w:ascii="Times New Roman" w:hAnsi="Times New Roman" w:cs="Times New Roman"/>
          <w:szCs w:val="24"/>
        </w:rPr>
        <w:t xml:space="preserve">– </w:t>
      </w:r>
      <w:r w:rsidRPr="00374B52">
        <w:rPr>
          <w:rFonts w:ascii="Times New Roman" w:hAnsi="Times New Roman" w:cs="Times New Roman"/>
          <w:szCs w:val="24"/>
        </w:rPr>
        <w:t>propozycja uzupełni</w:t>
      </w:r>
      <w:r w:rsidR="00DA44B4" w:rsidRPr="00374B52">
        <w:rPr>
          <w:rFonts w:ascii="Times New Roman" w:hAnsi="Times New Roman" w:cs="Times New Roman"/>
          <w:szCs w:val="24"/>
        </w:rPr>
        <w:t>enia przepisu</w:t>
      </w:r>
      <w:r w:rsidRPr="00374B52">
        <w:rPr>
          <w:rFonts w:ascii="Times New Roman" w:hAnsi="Times New Roman" w:cs="Times New Roman"/>
          <w:szCs w:val="24"/>
        </w:rPr>
        <w:t xml:space="preserve"> o odesłanie do obowiązku wynikającego z art. 35 ust. 1a ustawy </w:t>
      </w:r>
      <w:r w:rsidRPr="00374B52">
        <w:rPr>
          <w:rFonts w:ascii="Times New Roman" w:hAnsi="Times New Roman" w:cs="Times New Roman"/>
          <w:iCs/>
          <w:szCs w:val="24"/>
        </w:rPr>
        <w:t xml:space="preserve">z dnia 15 stycznia 2015 r. </w:t>
      </w:r>
      <w:r w:rsidRPr="00374B52">
        <w:rPr>
          <w:rFonts w:ascii="Times New Roman" w:hAnsi="Times New Roman" w:cs="Times New Roman"/>
          <w:szCs w:val="24"/>
        </w:rPr>
        <w:t xml:space="preserve">o obligacjach </w:t>
      </w:r>
      <w:r w:rsidR="00DA44B4" w:rsidRPr="00374B52">
        <w:rPr>
          <w:rFonts w:ascii="Times New Roman" w:hAnsi="Times New Roman" w:cs="Times New Roman"/>
          <w:szCs w:val="24"/>
        </w:rPr>
        <w:t>ma na</w:t>
      </w:r>
      <w:r w:rsidRPr="00374B52">
        <w:rPr>
          <w:rFonts w:ascii="Times New Roman" w:hAnsi="Times New Roman" w:cs="Times New Roman"/>
          <w:szCs w:val="24"/>
        </w:rPr>
        <w:t xml:space="preserve"> celu zwiększeni</w:t>
      </w:r>
      <w:r w:rsidR="00DA44B4" w:rsidRPr="00374B52">
        <w:rPr>
          <w:rFonts w:ascii="Times New Roman" w:hAnsi="Times New Roman" w:cs="Times New Roman"/>
          <w:szCs w:val="24"/>
        </w:rPr>
        <w:t>e</w:t>
      </w:r>
      <w:r w:rsidRPr="00374B52">
        <w:rPr>
          <w:rFonts w:ascii="Times New Roman" w:hAnsi="Times New Roman" w:cs="Times New Roman"/>
          <w:szCs w:val="24"/>
        </w:rPr>
        <w:t xml:space="preserve"> transparentności publikowania informacji przez emitenta</w:t>
      </w:r>
      <w:r w:rsidR="00DA44B4" w:rsidRPr="00374B52">
        <w:rPr>
          <w:rFonts w:ascii="Times New Roman" w:hAnsi="Times New Roman" w:cs="Times New Roman"/>
          <w:szCs w:val="24"/>
        </w:rPr>
        <w:t>;</w:t>
      </w:r>
    </w:p>
    <w:p w14:paraId="5D0209B9" w14:textId="0A1573E5" w:rsidR="00F93714" w:rsidRPr="0083169B" w:rsidRDefault="00DA44B4" w:rsidP="005724E9">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3</w:t>
      </w:r>
      <w:r w:rsidRPr="0083169B">
        <w:rPr>
          <w:rFonts w:ascii="Times New Roman" w:hAnsi="Times New Roman" w:cs="Times New Roman"/>
          <w:szCs w:val="24"/>
        </w:rPr>
        <w:t>)</w:t>
      </w:r>
      <w:r w:rsidRPr="0083169B">
        <w:rPr>
          <w:rFonts w:ascii="Times New Roman" w:hAnsi="Times New Roman" w:cs="Times New Roman"/>
          <w:szCs w:val="24"/>
        </w:rPr>
        <w:tab/>
        <w:t xml:space="preserve">§ 24 </w:t>
      </w:r>
      <w:r w:rsidRPr="0083169B">
        <w:rPr>
          <w:rFonts w:ascii="Times New Roman" w:hAnsi="Times New Roman" w:cs="Times New Roman"/>
          <w:i/>
          <w:iCs/>
          <w:szCs w:val="24"/>
        </w:rPr>
        <w:t>(§ 23 w rozporządzeniu obowiązującym</w:t>
      </w:r>
      <w:r w:rsidRPr="0083169B">
        <w:rPr>
          <w:rFonts w:ascii="Times New Roman" w:hAnsi="Times New Roman" w:cs="Times New Roman"/>
          <w:szCs w:val="24"/>
        </w:rPr>
        <w:t>) – dodan</w:t>
      </w:r>
      <w:r w:rsidR="00A17F28">
        <w:rPr>
          <w:rFonts w:ascii="Times New Roman" w:hAnsi="Times New Roman" w:cs="Times New Roman"/>
          <w:szCs w:val="24"/>
        </w:rPr>
        <w:t>ie</w:t>
      </w:r>
      <w:r w:rsidRPr="0083169B">
        <w:rPr>
          <w:rFonts w:ascii="Times New Roman" w:hAnsi="Times New Roman" w:cs="Times New Roman"/>
          <w:szCs w:val="24"/>
        </w:rPr>
        <w:t xml:space="preserve"> pkt 6 wynika z p</w:t>
      </w:r>
      <w:r w:rsidRPr="00374B52">
        <w:rPr>
          <w:rFonts w:ascii="Times New Roman" w:hAnsi="Times New Roman" w:cs="Times New Roman"/>
          <w:szCs w:val="24"/>
        </w:rPr>
        <w:t>raktyk</w:t>
      </w:r>
      <w:r w:rsidRPr="0083169B">
        <w:rPr>
          <w:rFonts w:ascii="Times New Roman" w:hAnsi="Times New Roman" w:cs="Times New Roman"/>
          <w:szCs w:val="24"/>
        </w:rPr>
        <w:t>i</w:t>
      </w:r>
      <w:r w:rsidRPr="00374B52">
        <w:rPr>
          <w:rFonts w:ascii="Times New Roman" w:hAnsi="Times New Roman" w:cs="Times New Roman"/>
          <w:szCs w:val="24"/>
        </w:rPr>
        <w:t xml:space="preserve"> nadzorcz</w:t>
      </w:r>
      <w:r w:rsidRPr="0083169B">
        <w:rPr>
          <w:rFonts w:ascii="Times New Roman" w:hAnsi="Times New Roman" w:cs="Times New Roman"/>
          <w:szCs w:val="24"/>
        </w:rPr>
        <w:t>ej, która</w:t>
      </w:r>
      <w:r w:rsidRPr="00374B52">
        <w:rPr>
          <w:rFonts w:ascii="Times New Roman" w:hAnsi="Times New Roman" w:cs="Times New Roman"/>
          <w:szCs w:val="24"/>
        </w:rPr>
        <w:t xml:space="preserve"> wskazuje na konieczność wprowadzenia obowiązku przekazywania informacji o liczbie certyfikatów inwestycyjnych. Wycena WAN </w:t>
      </w:r>
      <w:r w:rsidRPr="0083169B">
        <w:rPr>
          <w:rFonts w:ascii="Times New Roman" w:hAnsi="Times New Roman" w:cs="Times New Roman"/>
          <w:szCs w:val="24"/>
        </w:rPr>
        <w:t>(w</w:t>
      </w:r>
      <w:r w:rsidRPr="00374B52">
        <w:rPr>
          <w:rFonts w:ascii="Times New Roman" w:hAnsi="Times New Roman" w:cs="Times New Roman"/>
          <w:i/>
          <w:iCs/>
          <w:szCs w:val="24"/>
        </w:rPr>
        <w:t>artość aktywów netto</w:t>
      </w:r>
      <w:r w:rsidRPr="0083169B">
        <w:rPr>
          <w:rFonts w:ascii="Times New Roman" w:hAnsi="Times New Roman" w:cs="Times New Roman"/>
          <w:szCs w:val="24"/>
        </w:rPr>
        <w:t xml:space="preserve">) </w:t>
      </w:r>
      <w:r w:rsidRPr="00374B52">
        <w:rPr>
          <w:rFonts w:ascii="Times New Roman" w:hAnsi="Times New Roman" w:cs="Times New Roman"/>
          <w:szCs w:val="24"/>
        </w:rPr>
        <w:t xml:space="preserve">na certyfikaty inwestycyjne </w:t>
      </w:r>
      <w:r w:rsidR="00FC0BC9" w:rsidRPr="00374B52">
        <w:rPr>
          <w:rFonts w:ascii="Times New Roman" w:hAnsi="Times New Roman" w:cs="Times New Roman"/>
          <w:szCs w:val="24"/>
        </w:rPr>
        <w:t xml:space="preserve">jest </w:t>
      </w:r>
      <w:r w:rsidRPr="00374B52">
        <w:rPr>
          <w:rFonts w:ascii="Times New Roman" w:hAnsi="Times New Roman" w:cs="Times New Roman"/>
          <w:szCs w:val="24"/>
        </w:rPr>
        <w:t>ustalana przez fundusz na każdy dzień wyceny określony w statucie. W momencie ustalenia WAN przypadających na certyfikat inwestycyjny powstaje obowiązek informacyjny, o którym mowa w § 2</w:t>
      </w:r>
      <w:r w:rsidRPr="0083169B">
        <w:rPr>
          <w:rFonts w:ascii="Times New Roman" w:hAnsi="Times New Roman" w:cs="Times New Roman"/>
          <w:szCs w:val="24"/>
        </w:rPr>
        <w:t>3</w:t>
      </w:r>
      <w:r w:rsidRPr="00374B52">
        <w:rPr>
          <w:rFonts w:ascii="Times New Roman" w:hAnsi="Times New Roman" w:cs="Times New Roman"/>
          <w:szCs w:val="24"/>
        </w:rPr>
        <w:t xml:space="preserve"> ust. 1 pkt 1 projektowanego rozporządzenia. Liczba certyfikatów inwestycyjnych na dany dzień wyceny, podobnie jak pozostałe dane dotyczące wyceny wskazane w § 2</w:t>
      </w:r>
      <w:r w:rsidRPr="0083169B">
        <w:rPr>
          <w:rFonts w:ascii="Times New Roman" w:hAnsi="Times New Roman" w:cs="Times New Roman"/>
          <w:szCs w:val="24"/>
        </w:rPr>
        <w:t>4</w:t>
      </w:r>
      <w:r w:rsidRPr="00374B52">
        <w:rPr>
          <w:rFonts w:ascii="Times New Roman" w:hAnsi="Times New Roman" w:cs="Times New Roman"/>
          <w:szCs w:val="24"/>
        </w:rPr>
        <w:t xml:space="preserve"> projekt</w:t>
      </w:r>
      <w:r w:rsidRPr="0083169B">
        <w:rPr>
          <w:rFonts w:ascii="Times New Roman" w:hAnsi="Times New Roman" w:cs="Times New Roman"/>
          <w:szCs w:val="24"/>
        </w:rPr>
        <w:t>owanego</w:t>
      </w:r>
      <w:r w:rsidRPr="00374B52">
        <w:rPr>
          <w:rFonts w:ascii="Times New Roman" w:hAnsi="Times New Roman" w:cs="Times New Roman"/>
          <w:szCs w:val="24"/>
        </w:rPr>
        <w:t xml:space="preserve"> rozporządzenia, tj. m.in. wartość aktywów oraz wartość aktywów netto, jest wielkością służącą do ustalenia WAN funduszu. Obecny zakres raportu bieżącego nie obejmuje informacji o liczbie certyfikatów inwestycyjnych według stanu na datę wyceny. Celem proponowanej zmiany jest zapewnienie, aby raport o WAN na certyfikat inwestycyjny zawierał kompletne informacje w zakresie danych dotyczących wyceny na dany dzień</w:t>
      </w:r>
      <w:r w:rsidR="004F0512" w:rsidRPr="0083169B">
        <w:rPr>
          <w:rFonts w:ascii="Times New Roman" w:hAnsi="Times New Roman" w:cs="Times New Roman"/>
          <w:szCs w:val="24"/>
        </w:rPr>
        <w:t>;</w:t>
      </w:r>
    </w:p>
    <w:p w14:paraId="52DAC8F0" w14:textId="0809E9E2" w:rsidR="004F0512" w:rsidRPr="0083169B" w:rsidRDefault="004F0512" w:rsidP="005724E9">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4</w:t>
      </w:r>
      <w:r w:rsidRPr="0083169B">
        <w:rPr>
          <w:rFonts w:ascii="Times New Roman" w:hAnsi="Times New Roman" w:cs="Times New Roman"/>
          <w:szCs w:val="24"/>
        </w:rPr>
        <w:t>)</w:t>
      </w:r>
      <w:r w:rsidRPr="0083169B">
        <w:rPr>
          <w:rFonts w:ascii="Times New Roman" w:hAnsi="Times New Roman" w:cs="Times New Roman"/>
          <w:szCs w:val="24"/>
        </w:rPr>
        <w:tab/>
        <w:t xml:space="preserve">§ 61 </w:t>
      </w:r>
      <w:r w:rsidRPr="0083169B">
        <w:rPr>
          <w:rFonts w:ascii="Times New Roman" w:hAnsi="Times New Roman" w:cs="Times New Roman"/>
          <w:i/>
          <w:iCs/>
          <w:szCs w:val="24"/>
        </w:rPr>
        <w:t>(§ 60 w rozporządzeniu obowiązującym</w:t>
      </w:r>
      <w:r w:rsidRPr="0083169B">
        <w:rPr>
          <w:rFonts w:ascii="Times New Roman" w:hAnsi="Times New Roman" w:cs="Times New Roman"/>
          <w:szCs w:val="24"/>
        </w:rPr>
        <w:t xml:space="preserve">) </w:t>
      </w:r>
      <w:r w:rsidR="00D3599C" w:rsidRPr="0083169B">
        <w:rPr>
          <w:rFonts w:ascii="Times New Roman" w:hAnsi="Times New Roman" w:cs="Times New Roman"/>
          <w:szCs w:val="24"/>
        </w:rPr>
        <w:t xml:space="preserve">ust. 3 </w:t>
      </w:r>
      <w:r w:rsidRPr="0083169B">
        <w:rPr>
          <w:rFonts w:ascii="Times New Roman" w:hAnsi="Times New Roman" w:cs="Times New Roman"/>
          <w:szCs w:val="24"/>
        </w:rPr>
        <w:t xml:space="preserve">– </w:t>
      </w:r>
      <w:r w:rsidR="00D3599C" w:rsidRPr="0083169B">
        <w:rPr>
          <w:rFonts w:ascii="Times New Roman" w:hAnsi="Times New Roman" w:cs="Times New Roman"/>
          <w:szCs w:val="24"/>
        </w:rPr>
        <w:t>zmiana brzmienia tego przepisu ma na celu doprowadzenie do spójności w zakresie przekazywania raportów okresowych przez emitentów z krajów trzecich, dla których Polska jest krajem macierzystym. Na podstawie przepisów rozporządzenia obowiązującego możliwa jest sytuacja, w której emitent nie spełnia warunków do uznania wymagań wynikających z przepisów jego państwa siedziby za równoważne, umożliwiających mu ubieganie się o zgodę K</w:t>
      </w:r>
      <w:r w:rsidR="00FC0BC9">
        <w:rPr>
          <w:rFonts w:ascii="Times New Roman" w:hAnsi="Times New Roman" w:cs="Times New Roman"/>
          <w:szCs w:val="24"/>
        </w:rPr>
        <w:t xml:space="preserve">omisji </w:t>
      </w:r>
      <w:r w:rsidR="00D3599C" w:rsidRPr="0083169B">
        <w:rPr>
          <w:rFonts w:ascii="Times New Roman" w:hAnsi="Times New Roman" w:cs="Times New Roman"/>
          <w:szCs w:val="24"/>
        </w:rPr>
        <w:t>N</w:t>
      </w:r>
      <w:r w:rsidR="00FC0BC9">
        <w:rPr>
          <w:rFonts w:ascii="Times New Roman" w:hAnsi="Times New Roman" w:cs="Times New Roman"/>
          <w:szCs w:val="24"/>
        </w:rPr>
        <w:t xml:space="preserve">adzoru </w:t>
      </w:r>
      <w:r w:rsidR="00D3599C" w:rsidRPr="0083169B">
        <w:rPr>
          <w:rFonts w:ascii="Times New Roman" w:hAnsi="Times New Roman" w:cs="Times New Roman"/>
          <w:szCs w:val="24"/>
        </w:rPr>
        <w:t>F</w:t>
      </w:r>
      <w:r w:rsidR="00852729">
        <w:rPr>
          <w:rFonts w:ascii="Times New Roman" w:hAnsi="Times New Roman" w:cs="Times New Roman"/>
          <w:szCs w:val="24"/>
        </w:rPr>
        <w:t>inansowego</w:t>
      </w:r>
      <w:r w:rsidR="00D3599C" w:rsidRPr="0083169B">
        <w:rPr>
          <w:rFonts w:ascii="Times New Roman" w:hAnsi="Times New Roman" w:cs="Times New Roman"/>
          <w:szCs w:val="24"/>
        </w:rPr>
        <w:t xml:space="preserve"> na przekazywanie wyłącznie skonsolidowanych raportów rocznych (</w:t>
      </w:r>
      <w:r w:rsidR="00D3599C" w:rsidRPr="0083169B">
        <w:rPr>
          <w:rFonts w:ascii="Times New Roman" w:hAnsi="Times New Roman" w:cs="Times New Roman"/>
          <w:i/>
          <w:iCs/>
          <w:szCs w:val="24"/>
        </w:rPr>
        <w:t>patrz § 7</w:t>
      </w:r>
      <w:r w:rsidR="00852729">
        <w:rPr>
          <w:rFonts w:ascii="Times New Roman" w:hAnsi="Times New Roman" w:cs="Times New Roman"/>
          <w:i/>
          <w:iCs/>
          <w:szCs w:val="24"/>
        </w:rPr>
        <w:t>3</w:t>
      </w:r>
      <w:r w:rsidR="00D3599C" w:rsidRPr="0083169B">
        <w:rPr>
          <w:rFonts w:ascii="Times New Roman" w:hAnsi="Times New Roman" w:cs="Times New Roman"/>
          <w:i/>
          <w:iCs/>
          <w:szCs w:val="24"/>
        </w:rPr>
        <w:t xml:space="preserve"> projektowanego rozporządzenia</w:t>
      </w:r>
      <w:r w:rsidR="00D3599C" w:rsidRPr="0083169B">
        <w:rPr>
          <w:rFonts w:ascii="Times New Roman" w:hAnsi="Times New Roman" w:cs="Times New Roman"/>
          <w:szCs w:val="24"/>
        </w:rPr>
        <w:t xml:space="preserve">) i jednocześnie spełnia wymagania § 61 ust. 3 rozporządzenia, który zezwala na nieprzekazywanie „jednostkowych” raportów śródrocznych. Dzieje się tak np. w przypadku emitentów, których przepisy kraju siedziby nie przewidują wymogów sprawozdawczych. Dlatego celowym jest umożliwienie nieprzekazywania „jednostkowych” raportów śródrocznych tylko tym emitentom, którzy nie publikują „jednostkowych” raportów rocznych na podstawie zgody udzielonej przez </w:t>
      </w:r>
      <w:r w:rsidR="00D3599C" w:rsidRPr="0083169B">
        <w:rPr>
          <w:rFonts w:ascii="Times New Roman" w:hAnsi="Times New Roman" w:cs="Times New Roman"/>
          <w:szCs w:val="24"/>
        </w:rPr>
        <w:lastRenderedPageBreak/>
        <w:t>K</w:t>
      </w:r>
      <w:r w:rsidR="00852729">
        <w:rPr>
          <w:rFonts w:ascii="Times New Roman" w:hAnsi="Times New Roman" w:cs="Times New Roman"/>
          <w:szCs w:val="24"/>
        </w:rPr>
        <w:t xml:space="preserve">omisję </w:t>
      </w:r>
      <w:r w:rsidR="00D3599C" w:rsidRPr="0083169B">
        <w:rPr>
          <w:rFonts w:ascii="Times New Roman" w:hAnsi="Times New Roman" w:cs="Times New Roman"/>
          <w:szCs w:val="24"/>
        </w:rPr>
        <w:t>N</w:t>
      </w:r>
      <w:r w:rsidR="00852729">
        <w:rPr>
          <w:rFonts w:ascii="Times New Roman" w:hAnsi="Times New Roman" w:cs="Times New Roman"/>
          <w:szCs w:val="24"/>
        </w:rPr>
        <w:t xml:space="preserve">adzoru </w:t>
      </w:r>
      <w:r w:rsidR="00D3599C" w:rsidRPr="0083169B">
        <w:rPr>
          <w:rFonts w:ascii="Times New Roman" w:hAnsi="Times New Roman" w:cs="Times New Roman"/>
          <w:szCs w:val="24"/>
        </w:rPr>
        <w:t>F</w:t>
      </w:r>
      <w:r w:rsidR="00852729">
        <w:rPr>
          <w:rFonts w:ascii="Times New Roman" w:hAnsi="Times New Roman" w:cs="Times New Roman"/>
          <w:szCs w:val="24"/>
        </w:rPr>
        <w:t>inansowego</w:t>
      </w:r>
      <w:r w:rsidR="00D3599C" w:rsidRPr="0083169B">
        <w:rPr>
          <w:rFonts w:ascii="Times New Roman" w:hAnsi="Times New Roman" w:cs="Times New Roman"/>
          <w:szCs w:val="24"/>
        </w:rPr>
        <w:t xml:space="preserve"> na podstawie art. 62 ust. 4 ustawy. </w:t>
      </w:r>
      <w:r w:rsidR="00AD0040" w:rsidRPr="0083169B">
        <w:rPr>
          <w:rFonts w:ascii="Times New Roman" w:hAnsi="Times New Roman" w:cs="Times New Roman"/>
          <w:szCs w:val="24"/>
        </w:rPr>
        <w:t xml:space="preserve">Usunięcie zdania </w:t>
      </w:r>
      <w:r w:rsidR="00D3599C" w:rsidRPr="0083169B">
        <w:rPr>
          <w:rFonts w:ascii="Times New Roman" w:hAnsi="Times New Roman" w:cs="Times New Roman"/>
          <w:szCs w:val="24"/>
        </w:rPr>
        <w:t xml:space="preserve">drugiego </w:t>
      </w:r>
      <w:r w:rsidR="00AD0040" w:rsidRPr="0083169B">
        <w:rPr>
          <w:rFonts w:ascii="Times New Roman" w:hAnsi="Times New Roman" w:cs="Times New Roman"/>
          <w:szCs w:val="24"/>
        </w:rPr>
        <w:t>wynika z przeniesienia w</w:t>
      </w:r>
      <w:r w:rsidR="00D3599C" w:rsidRPr="0083169B">
        <w:rPr>
          <w:rFonts w:ascii="Times New Roman" w:hAnsi="Times New Roman" w:cs="Times New Roman"/>
          <w:szCs w:val="24"/>
        </w:rPr>
        <w:t>ym</w:t>
      </w:r>
      <w:r w:rsidR="00AD0040" w:rsidRPr="0083169B">
        <w:rPr>
          <w:rFonts w:ascii="Times New Roman" w:hAnsi="Times New Roman" w:cs="Times New Roman"/>
          <w:szCs w:val="24"/>
        </w:rPr>
        <w:t>o</w:t>
      </w:r>
      <w:r w:rsidR="00D3599C" w:rsidRPr="0083169B">
        <w:rPr>
          <w:rFonts w:ascii="Times New Roman" w:hAnsi="Times New Roman" w:cs="Times New Roman"/>
          <w:szCs w:val="24"/>
        </w:rPr>
        <w:t>g</w:t>
      </w:r>
      <w:r w:rsidR="00AD0040" w:rsidRPr="0083169B">
        <w:rPr>
          <w:rFonts w:ascii="Times New Roman" w:hAnsi="Times New Roman" w:cs="Times New Roman"/>
          <w:szCs w:val="24"/>
        </w:rPr>
        <w:t>u</w:t>
      </w:r>
      <w:r w:rsidR="00D3599C" w:rsidRPr="0083169B">
        <w:rPr>
          <w:rFonts w:ascii="Times New Roman" w:hAnsi="Times New Roman" w:cs="Times New Roman"/>
          <w:szCs w:val="24"/>
        </w:rPr>
        <w:t xml:space="preserve"> przedstawienia dodatkowych wyjaśnień w związku z niepublikowaniem raportów śródrocznych</w:t>
      </w:r>
      <w:r w:rsidR="00F355E2" w:rsidRPr="0083169B">
        <w:rPr>
          <w:rFonts w:ascii="Times New Roman" w:hAnsi="Times New Roman" w:cs="Times New Roman"/>
          <w:szCs w:val="24"/>
        </w:rPr>
        <w:t xml:space="preserve"> bezpośrednio do § 81 projektowanego rozporządzenia;</w:t>
      </w:r>
    </w:p>
    <w:p w14:paraId="69E911E9" w14:textId="3AB28620" w:rsidR="009C45B3" w:rsidRPr="0083169B" w:rsidRDefault="00F355E2" w:rsidP="009C45B3">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5</w:t>
      </w:r>
      <w:r w:rsidRPr="0083169B">
        <w:rPr>
          <w:rFonts w:ascii="Times New Roman" w:hAnsi="Times New Roman" w:cs="Times New Roman"/>
          <w:szCs w:val="24"/>
        </w:rPr>
        <w:t>)</w:t>
      </w:r>
      <w:r w:rsidRPr="0083169B">
        <w:rPr>
          <w:rFonts w:ascii="Times New Roman" w:hAnsi="Times New Roman" w:cs="Times New Roman"/>
          <w:szCs w:val="24"/>
        </w:rPr>
        <w:tab/>
      </w:r>
      <w:r w:rsidR="009C45B3" w:rsidRPr="0083169B">
        <w:rPr>
          <w:rFonts w:ascii="Times New Roman" w:hAnsi="Times New Roman" w:cs="Times New Roman"/>
          <w:szCs w:val="24"/>
        </w:rPr>
        <w:t xml:space="preserve">§ 63 </w:t>
      </w:r>
      <w:bookmarkStart w:id="11" w:name="_Hlk181088866"/>
      <w:r w:rsidR="009C45B3" w:rsidRPr="0083169B">
        <w:rPr>
          <w:rFonts w:ascii="Times New Roman" w:hAnsi="Times New Roman" w:cs="Times New Roman"/>
          <w:i/>
          <w:iCs/>
          <w:szCs w:val="24"/>
        </w:rPr>
        <w:t>(§ 62 w rozporządzeniu obowiązującym</w:t>
      </w:r>
      <w:r w:rsidR="009C45B3" w:rsidRPr="0083169B">
        <w:rPr>
          <w:rFonts w:ascii="Times New Roman" w:hAnsi="Times New Roman" w:cs="Times New Roman"/>
          <w:szCs w:val="24"/>
        </w:rPr>
        <w:t>)</w:t>
      </w:r>
      <w:bookmarkEnd w:id="11"/>
      <w:r w:rsidR="009C45B3" w:rsidRPr="0083169B">
        <w:rPr>
          <w:rFonts w:ascii="Times New Roman" w:hAnsi="Times New Roman" w:cs="Times New Roman"/>
          <w:szCs w:val="24"/>
        </w:rPr>
        <w:t xml:space="preserve"> </w:t>
      </w:r>
      <w:r w:rsidR="00A17F28">
        <w:rPr>
          <w:rFonts w:ascii="Times New Roman" w:hAnsi="Times New Roman" w:cs="Times New Roman"/>
          <w:szCs w:val="24"/>
        </w:rPr>
        <w:t xml:space="preserve">nowy </w:t>
      </w:r>
      <w:r w:rsidR="009C45B3" w:rsidRPr="0083169B">
        <w:rPr>
          <w:rFonts w:ascii="Times New Roman" w:hAnsi="Times New Roman" w:cs="Times New Roman"/>
          <w:szCs w:val="24"/>
        </w:rPr>
        <w:t xml:space="preserve">ust. 4 – dodany nowy przepis </w:t>
      </w:r>
      <w:r w:rsidR="009C45B3" w:rsidRPr="00B123EE">
        <w:rPr>
          <w:rFonts w:ascii="Times New Roman" w:hAnsi="Times New Roman" w:cs="Times New Roman"/>
          <w:szCs w:val="24"/>
        </w:rPr>
        <w:t>ma na celu ujednolicenie wymogów zawartych w § 63 oraz § 69 projektowanego rozporządzenia w zakresie elementów występujących w raportach półrocznych</w:t>
      </w:r>
      <w:r w:rsidR="009C45B3" w:rsidRPr="0083169B">
        <w:rPr>
          <w:rFonts w:ascii="Times New Roman" w:hAnsi="Times New Roman" w:cs="Times New Roman"/>
          <w:szCs w:val="24"/>
        </w:rPr>
        <w:t>;</w:t>
      </w:r>
    </w:p>
    <w:p w14:paraId="04824CFD" w14:textId="6AC01DAE" w:rsidR="009C45B3" w:rsidRPr="0083169B" w:rsidRDefault="009C45B3" w:rsidP="009C45B3">
      <w:pPr>
        <w:pStyle w:val="ARTartustawynprozporzdzenia"/>
        <w:tabs>
          <w:tab w:val="left" w:pos="397"/>
          <w:tab w:val="left" w:pos="794"/>
          <w:tab w:val="left" w:pos="2605"/>
        </w:tabs>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6</w:t>
      </w:r>
      <w:r w:rsidRPr="0083169B">
        <w:rPr>
          <w:rFonts w:ascii="Times New Roman" w:hAnsi="Times New Roman" w:cs="Times New Roman"/>
          <w:szCs w:val="24"/>
        </w:rPr>
        <w:t>)</w:t>
      </w:r>
      <w:r w:rsidRPr="0083169B">
        <w:rPr>
          <w:rFonts w:ascii="Times New Roman" w:hAnsi="Times New Roman" w:cs="Times New Roman"/>
          <w:szCs w:val="24"/>
        </w:rPr>
        <w:tab/>
        <w:t>§ 6</w:t>
      </w:r>
      <w:r w:rsidR="00A17F28">
        <w:rPr>
          <w:rFonts w:ascii="Times New Roman" w:hAnsi="Times New Roman" w:cs="Times New Roman"/>
          <w:szCs w:val="24"/>
        </w:rPr>
        <w:t>7</w:t>
      </w:r>
      <w:r w:rsidRPr="0083169B">
        <w:rPr>
          <w:rFonts w:ascii="Times New Roman" w:hAnsi="Times New Roman" w:cs="Times New Roman"/>
          <w:szCs w:val="24"/>
        </w:rPr>
        <w:t xml:space="preserve"> </w:t>
      </w:r>
      <w:r w:rsidRPr="0083169B">
        <w:rPr>
          <w:rFonts w:ascii="Times New Roman" w:hAnsi="Times New Roman" w:cs="Times New Roman"/>
          <w:i/>
          <w:iCs/>
          <w:szCs w:val="24"/>
        </w:rPr>
        <w:t>(§ 66 w rozporządzeniu obowiązującym</w:t>
      </w:r>
      <w:r w:rsidRPr="0083169B">
        <w:rPr>
          <w:rFonts w:ascii="Times New Roman" w:hAnsi="Times New Roman" w:cs="Times New Roman"/>
          <w:szCs w:val="24"/>
        </w:rPr>
        <w:t>) ust. 8:</w:t>
      </w:r>
    </w:p>
    <w:p w14:paraId="1F9BAB68" w14:textId="10772BB4" w:rsidR="004F0512" w:rsidRPr="0083169B" w:rsidRDefault="009C45B3" w:rsidP="009C45B3">
      <w:pPr>
        <w:pStyle w:val="ARTartustawynprozporzdzenia"/>
        <w:spacing w:before="0"/>
        <w:ind w:left="567" w:hanging="284"/>
        <w:rPr>
          <w:rFonts w:ascii="Times New Roman" w:hAnsi="Times New Roman" w:cs="Times New Roman"/>
          <w:szCs w:val="24"/>
        </w:rPr>
      </w:pPr>
      <w:r w:rsidRPr="0083169B">
        <w:rPr>
          <w:rFonts w:ascii="Times New Roman" w:hAnsi="Times New Roman" w:cs="Times New Roman"/>
          <w:szCs w:val="24"/>
        </w:rPr>
        <w:t>a)</w:t>
      </w:r>
      <w:r w:rsidRPr="0083169B">
        <w:rPr>
          <w:rFonts w:ascii="Times New Roman" w:hAnsi="Times New Roman" w:cs="Times New Roman"/>
          <w:szCs w:val="24"/>
        </w:rPr>
        <w:tab/>
        <w:t>pkt 2 – p</w:t>
      </w:r>
      <w:r w:rsidRPr="00B123EE">
        <w:rPr>
          <w:rFonts w:ascii="Times New Roman" w:hAnsi="Times New Roman" w:cs="Times New Roman"/>
          <w:szCs w:val="24"/>
        </w:rPr>
        <w:t xml:space="preserve">roponowana zmiana ma na celu zapewnienie jednolitego podejścia emitentów do sposobu przekazywania informacji. Obecne brzmienie „zwięzły opis istotnych dokonań lub niepowodzeń emitenta” jest </w:t>
      </w:r>
      <w:r w:rsidR="00852729">
        <w:rPr>
          <w:rFonts w:ascii="Times New Roman" w:hAnsi="Times New Roman" w:cs="Times New Roman"/>
          <w:szCs w:val="24"/>
        </w:rPr>
        <w:t xml:space="preserve">często </w:t>
      </w:r>
      <w:r w:rsidRPr="00B123EE">
        <w:rPr>
          <w:rFonts w:ascii="Times New Roman" w:hAnsi="Times New Roman" w:cs="Times New Roman"/>
          <w:szCs w:val="24"/>
        </w:rPr>
        <w:t>rozumiane przez emitentów w taki sposób, że mogą dokonać wyboru, czy opiszą dokonania czy niepowodzenia. Tymczasem emitent powinien opisać zarówno istotne niepowodzenia, jak i dokonania, jeżeli takowe miały miejsce</w:t>
      </w:r>
      <w:r w:rsidRPr="0083169B">
        <w:rPr>
          <w:rFonts w:ascii="Times New Roman" w:hAnsi="Times New Roman" w:cs="Times New Roman"/>
          <w:szCs w:val="24"/>
        </w:rPr>
        <w:t>,</w:t>
      </w:r>
    </w:p>
    <w:p w14:paraId="27FD6C31" w14:textId="0E5CF710" w:rsidR="009C45B3" w:rsidRPr="0083169B" w:rsidRDefault="009C45B3" w:rsidP="00FB099A">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b)</w:t>
      </w:r>
      <w:r w:rsidRPr="0083169B">
        <w:rPr>
          <w:rFonts w:ascii="Times New Roman" w:hAnsi="Times New Roman" w:cs="Times New Roman"/>
          <w:szCs w:val="24"/>
        </w:rPr>
        <w:tab/>
        <w:t xml:space="preserve">pkt 3 </w:t>
      </w:r>
      <w:r w:rsidR="00FB099A" w:rsidRPr="0083169B">
        <w:rPr>
          <w:rFonts w:ascii="Times New Roman" w:hAnsi="Times New Roman" w:cs="Times New Roman"/>
          <w:szCs w:val="24"/>
        </w:rPr>
        <w:t>– p</w:t>
      </w:r>
      <w:r w:rsidR="00FB099A" w:rsidRPr="00B123EE">
        <w:rPr>
          <w:rFonts w:ascii="Times New Roman" w:hAnsi="Times New Roman" w:cs="Times New Roman"/>
          <w:szCs w:val="24"/>
        </w:rPr>
        <w:t>raktyka nadzorcza wskazuje na niepoprawne wypełnianie obowiązku przez emitentów na podstawie dotychczasowego brzmienia przepisu (koncentrowanie się wyłącznie na czynnikach o nietypowym charakterze i pomijanie innych). Zgodnie z obowiązującym brzmieniem tego przepisu przedmiotem ujawnienia w raporcie kwartalnym ma być „wskazanie czynników i zdarzeń, w tym o nietypowym charakterze, mających istotny wpływ na skrócone sprawozdanie finansowe”. Proponuje się zatem rezygnację z wtrącenia „w tym o nietypowym charakterze”</w:t>
      </w:r>
      <w:r w:rsidR="007B098B" w:rsidRPr="0083169B">
        <w:rPr>
          <w:rFonts w:ascii="Times New Roman" w:hAnsi="Times New Roman" w:cs="Times New Roman"/>
          <w:szCs w:val="24"/>
        </w:rPr>
        <w:t>,</w:t>
      </w:r>
    </w:p>
    <w:p w14:paraId="71F5B138" w14:textId="7C2E15F5" w:rsidR="009C45B3" w:rsidRPr="0083169B" w:rsidRDefault="007B098B" w:rsidP="007B098B">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c)</w:t>
      </w:r>
      <w:r w:rsidRPr="0083169B">
        <w:rPr>
          <w:rFonts w:ascii="Times New Roman" w:hAnsi="Times New Roman" w:cs="Times New Roman"/>
          <w:szCs w:val="24"/>
        </w:rPr>
        <w:tab/>
        <w:t xml:space="preserve">pkt 6 </w:t>
      </w:r>
      <w:r w:rsidR="000F5CDD" w:rsidRPr="0083169B">
        <w:rPr>
          <w:rFonts w:ascii="Times New Roman" w:hAnsi="Times New Roman" w:cs="Times New Roman"/>
          <w:szCs w:val="24"/>
        </w:rPr>
        <w:t xml:space="preserve">i 7 </w:t>
      </w:r>
      <w:r w:rsidRPr="0083169B">
        <w:rPr>
          <w:rFonts w:ascii="Times New Roman" w:hAnsi="Times New Roman" w:cs="Times New Roman"/>
          <w:szCs w:val="24"/>
        </w:rPr>
        <w:t>– p</w:t>
      </w:r>
      <w:r w:rsidRPr="00B123EE">
        <w:rPr>
          <w:rFonts w:ascii="Times New Roman" w:hAnsi="Times New Roman" w:cs="Times New Roman"/>
          <w:szCs w:val="24"/>
        </w:rPr>
        <w:t>raktyka nadzorcza wskazuje, że doprecyzowanie przepisu jest niezbędne dla zapewnienia jednolitego podejścia emitentów do sposobu przekazywania informacji. Na podstawie dotychczasowego brzmienia przepisu część emitentów publikowała wskazane informacje wg stanu na dzień przekazania raportu, inni wg stanu na dzień poprzedzający przekazania, a część emitentów wg stanu na dzień bilansowy, którego dotyczy</w:t>
      </w:r>
      <w:r w:rsidRPr="0083169B">
        <w:rPr>
          <w:rFonts w:ascii="Times New Roman" w:hAnsi="Times New Roman" w:cs="Times New Roman"/>
          <w:szCs w:val="24"/>
        </w:rPr>
        <w:t>ł</w:t>
      </w:r>
      <w:r w:rsidRPr="00B123EE">
        <w:rPr>
          <w:rFonts w:ascii="Times New Roman" w:hAnsi="Times New Roman" w:cs="Times New Roman"/>
          <w:szCs w:val="24"/>
        </w:rPr>
        <w:t xml:space="preserve"> raport. Dodatkowo w przypadku gdy emitent nie stosował spójnej zasady</w:t>
      </w:r>
      <w:r w:rsidR="00852729">
        <w:rPr>
          <w:rFonts w:ascii="Times New Roman" w:hAnsi="Times New Roman" w:cs="Times New Roman"/>
          <w:szCs w:val="24"/>
        </w:rPr>
        <w:t>,</w:t>
      </w:r>
      <w:r w:rsidRPr="00B123EE">
        <w:rPr>
          <w:rFonts w:ascii="Times New Roman" w:hAnsi="Times New Roman" w:cs="Times New Roman"/>
          <w:szCs w:val="24"/>
        </w:rPr>
        <w:t xml:space="preserve"> w kolejnych raport</w:t>
      </w:r>
      <w:r w:rsidRPr="0083169B">
        <w:rPr>
          <w:rFonts w:ascii="Times New Roman" w:hAnsi="Times New Roman" w:cs="Times New Roman"/>
          <w:szCs w:val="24"/>
        </w:rPr>
        <w:t>ach</w:t>
      </w:r>
      <w:r w:rsidRPr="00B123EE">
        <w:rPr>
          <w:rFonts w:ascii="Times New Roman" w:hAnsi="Times New Roman" w:cs="Times New Roman"/>
          <w:szCs w:val="24"/>
        </w:rPr>
        <w:t xml:space="preserve"> powstawały niespójności lub braki informacji w danych raportowanych za kolejne okresy</w:t>
      </w:r>
      <w:r w:rsidRPr="0083169B">
        <w:rPr>
          <w:rFonts w:ascii="Times New Roman" w:hAnsi="Times New Roman" w:cs="Times New Roman"/>
          <w:szCs w:val="24"/>
        </w:rPr>
        <w:t>,</w:t>
      </w:r>
    </w:p>
    <w:p w14:paraId="27D6547E" w14:textId="402F77AE" w:rsidR="009C45B3" w:rsidRPr="0083169B" w:rsidRDefault="000F5CDD" w:rsidP="000F5CDD">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d)</w:t>
      </w:r>
      <w:r w:rsidRPr="0083169B">
        <w:rPr>
          <w:rFonts w:ascii="Times New Roman" w:hAnsi="Times New Roman" w:cs="Times New Roman"/>
          <w:szCs w:val="24"/>
        </w:rPr>
        <w:tab/>
        <w:t>pkt 8 – c</w:t>
      </w:r>
      <w:r w:rsidRPr="00B123EE">
        <w:rPr>
          <w:rFonts w:ascii="Times New Roman" w:hAnsi="Times New Roman" w:cs="Times New Roman"/>
          <w:szCs w:val="24"/>
        </w:rPr>
        <w:t xml:space="preserve">elem zmiany </w:t>
      </w:r>
      <w:r w:rsidRPr="0083169B">
        <w:rPr>
          <w:rFonts w:ascii="Times New Roman" w:hAnsi="Times New Roman" w:cs="Times New Roman"/>
          <w:szCs w:val="24"/>
        </w:rPr>
        <w:t xml:space="preserve">brzmienia tego przepisu </w:t>
      </w:r>
      <w:r w:rsidRPr="00B123EE">
        <w:rPr>
          <w:rFonts w:ascii="Times New Roman" w:hAnsi="Times New Roman" w:cs="Times New Roman"/>
          <w:szCs w:val="24"/>
        </w:rPr>
        <w:t>jest zapewnienie uczestnikom rynku dostępu do informacji istotnych dla oceny sytuacji majątkowej, finansowej i wyników emitenta. Doprecyzowanie przepisu zapewni jednolite podejście emitentów do sposobu przekazywania informacji. Dotychczasow</w:t>
      </w:r>
      <w:r w:rsidR="00852729">
        <w:rPr>
          <w:rFonts w:ascii="Times New Roman" w:hAnsi="Times New Roman" w:cs="Times New Roman"/>
          <w:szCs w:val="24"/>
        </w:rPr>
        <w:t>y</w:t>
      </w:r>
      <w:r w:rsidRPr="00B123EE">
        <w:rPr>
          <w:rFonts w:ascii="Times New Roman" w:hAnsi="Times New Roman" w:cs="Times New Roman"/>
          <w:szCs w:val="24"/>
        </w:rPr>
        <w:t xml:space="preserve"> przepis był różnie intepretowan</w:t>
      </w:r>
      <w:r w:rsidR="00852729">
        <w:rPr>
          <w:rFonts w:ascii="Times New Roman" w:hAnsi="Times New Roman" w:cs="Times New Roman"/>
          <w:szCs w:val="24"/>
        </w:rPr>
        <w:t>y</w:t>
      </w:r>
      <w:r w:rsidRPr="00B123EE">
        <w:rPr>
          <w:rFonts w:ascii="Times New Roman" w:hAnsi="Times New Roman" w:cs="Times New Roman"/>
          <w:szCs w:val="24"/>
        </w:rPr>
        <w:t xml:space="preserve"> przez emitentów. Niektórzy emitenci publikowali jedynie informacje o postępowaniach </w:t>
      </w:r>
      <w:r w:rsidRPr="00B123EE">
        <w:rPr>
          <w:rFonts w:ascii="Times New Roman" w:hAnsi="Times New Roman" w:cs="Times New Roman"/>
          <w:szCs w:val="24"/>
        </w:rPr>
        <w:lastRenderedPageBreak/>
        <w:t xml:space="preserve">dotyczących wyłącznie zobowiązań oraz wierzytelności, natomiast inni również informacje o istotnych postępowaniach dotyczących innych kwestii mogących mieć istotny wpływ na sytuację majątkową, finansową i wyniki emitenta lub grupy kapitałowej. Celem zmiany jest ujednolicenie praktyki emitentów odnośnie zakresu informacji </w:t>
      </w:r>
      <w:r w:rsidRPr="0083169B">
        <w:rPr>
          <w:rFonts w:ascii="Times New Roman" w:hAnsi="Times New Roman" w:cs="Times New Roman"/>
          <w:szCs w:val="24"/>
        </w:rPr>
        <w:t xml:space="preserve">dotyczących </w:t>
      </w:r>
      <w:r w:rsidRPr="00B123EE">
        <w:rPr>
          <w:rFonts w:ascii="Times New Roman" w:hAnsi="Times New Roman" w:cs="Times New Roman"/>
          <w:szCs w:val="24"/>
        </w:rPr>
        <w:t>istotnych postępowań</w:t>
      </w:r>
      <w:r w:rsidRPr="0083169B">
        <w:rPr>
          <w:rFonts w:ascii="Times New Roman" w:hAnsi="Times New Roman" w:cs="Times New Roman"/>
          <w:szCs w:val="24"/>
        </w:rPr>
        <w:t>,</w:t>
      </w:r>
      <w:r w:rsidRPr="00B123EE">
        <w:rPr>
          <w:rFonts w:ascii="Times New Roman" w:hAnsi="Times New Roman" w:cs="Times New Roman"/>
          <w:szCs w:val="24"/>
        </w:rPr>
        <w:t xml:space="preserve"> </w:t>
      </w:r>
      <w:r w:rsidRPr="0083169B">
        <w:rPr>
          <w:rFonts w:ascii="Times New Roman" w:hAnsi="Times New Roman" w:cs="Times New Roman"/>
          <w:szCs w:val="24"/>
        </w:rPr>
        <w:t>które</w:t>
      </w:r>
      <w:r w:rsidRPr="00B123EE">
        <w:rPr>
          <w:rFonts w:ascii="Times New Roman" w:hAnsi="Times New Roman" w:cs="Times New Roman"/>
          <w:szCs w:val="24"/>
        </w:rPr>
        <w:t xml:space="preserve"> są publikowane w ramach realizacji obowiązków wynikających z przepisu</w:t>
      </w:r>
      <w:r w:rsidRPr="0083169B">
        <w:rPr>
          <w:rFonts w:ascii="Times New Roman" w:hAnsi="Times New Roman" w:cs="Times New Roman"/>
          <w:szCs w:val="24"/>
        </w:rPr>
        <w:t>,</w:t>
      </w:r>
      <w:r w:rsidRPr="00B123EE">
        <w:rPr>
          <w:rFonts w:ascii="Times New Roman" w:hAnsi="Times New Roman" w:cs="Times New Roman"/>
          <w:szCs w:val="24"/>
        </w:rPr>
        <w:t xml:space="preserve"> w tym zobowiązanie emitentów do przedstawienia szerszego zakresu informacji o istotnych postępowaniach</w:t>
      </w:r>
      <w:r w:rsidR="00852729">
        <w:rPr>
          <w:rFonts w:ascii="Times New Roman" w:hAnsi="Times New Roman" w:cs="Times New Roman"/>
          <w:szCs w:val="24"/>
        </w:rPr>
        <w:t>,</w:t>
      </w:r>
      <w:r w:rsidRPr="00B123EE">
        <w:rPr>
          <w:rFonts w:ascii="Times New Roman" w:hAnsi="Times New Roman" w:cs="Times New Roman"/>
          <w:szCs w:val="24"/>
        </w:rPr>
        <w:t xml:space="preserve"> tak by przepis obejmował wszystkie postępowania, których rozstrzygniecie może mieć istotny wpływ na sytuację majątkową, finansową i wyniki emitenta lub jego grupy kapitałowej. Dodatkowo odnośnie zakresu informacji dotychczas przekazywanych niektórzy emitenci przedstawiali informacje o postępowaniach w sposób ogólnikowy, bez wyraźnego wskazania etapu oraz kluczowych działań podejmowanych przez strony w postępowaniu</w:t>
      </w:r>
      <w:r w:rsidRPr="0083169B">
        <w:rPr>
          <w:rFonts w:ascii="Times New Roman" w:hAnsi="Times New Roman" w:cs="Times New Roman"/>
          <w:szCs w:val="24"/>
        </w:rPr>
        <w:t>,</w:t>
      </w:r>
    </w:p>
    <w:p w14:paraId="578EA02D" w14:textId="3A9D878F" w:rsidR="009C45B3" w:rsidRPr="0083169B" w:rsidRDefault="000F5CDD" w:rsidP="000F5CDD">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e)</w:t>
      </w:r>
      <w:r w:rsidRPr="0083169B">
        <w:rPr>
          <w:rFonts w:ascii="Times New Roman" w:hAnsi="Times New Roman" w:cs="Times New Roman"/>
          <w:szCs w:val="24"/>
        </w:rPr>
        <w:tab/>
        <w:t xml:space="preserve">pkt 9 – dodanie </w:t>
      </w:r>
      <w:r w:rsidR="00A17F28">
        <w:rPr>
          <w:rFonts w:ascii="Times New Roman" w:hAnsi="Times New Roman" w:cs="Times New Roman"/>
          <w:szCs w:val="24"/>
        </w:rPr>
        <w:t xml:space="preserve">nowego </w:t>
      </w:r>
      <w:r w:rsidRPr="0083169B">
        <w:rPr>
          <w:rFonts w:ascii="Times New Roman" w:hAnsi="Times New Roman" w:cs="Times New Roman"/>
          <w:szCs w:val="24"/>
        </w:rPr>
        <w:t xml:space="preserve">przepisu </w:t>
      </w:r>
      <w:r w:rsidRPr="00B123EE">
        <w:rPr>
          <w:rFonts w:ascii="Times New Roman" w:hAnsi="Times New Roman" w:cs="Times New Roman"/>
          <w:szCs w:val="24"/>
        </w:rPr>
        <w:t>ma na celu zapewnienie uczestnikom rynku dostępu do informacji istotnych dla oceny sytuacji majątkowej, finansowej i wyników emitenta</w:t>
      </w:r>
      <w:r w:rsidRPr="0083169B">
        <w:rPr>
          <w:rFonts w:ascii="Times New Roman" w:hAnsi="Times New Roman" w:cs="Times New Roman"/>
          <w:szCs w:val="24"/>
        </w:rPr>
        <w:t>,</w:t>
      </w:r>
    </w:p>
    <w:p w14:paraId="467BC87D" w14:textId="033288E5" w:rsidR="009C45B3" w:rsidRPr="0083169B" w:rsidRDefault="000F5CDD" w:rsidP="000F5CDD">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f)</w:t>
      </w:r>
      <w:r w:rsidRPr="0083169B">
        <w:rPr>
          <w:rFonts w:ascii="Times New Roman" w:hAnsi="Times New Roman" w:cs="Times New Roman"/>
          <w:szCs w:val="24"/>
        </w:rPr>
        <w:tab/>
        <w:t xml:space="preserve">pkt 12 </w:t>
      </w:r>
      <w:r w:rsidR="002902BB" w:rsidRPr="0083169B">
        <w:rPr>
          <w:rFonts w:ascii="Times New Roman" w:hAnsi="Times New Roman" w:cs="Times New Roman"/>
          <w:szCs w:val="24"/>
        </w:rPr>
        <w:t>(</w:t>
      </w:r>
      <w:r w:rsidR="002902BB" w:rsidRPr="00B123EE">
        <w:rPr>
          <w:rFonts w:ascii="Times New Roman" w:hAnsi="Times New Roman" w:cs="Times New Roman"/>
          <w:i/>
          <w:iCs/>
          <w:szCs w:val="24"/>
        </w:rPr>
        <w:t>dodany nowy przepis</w:t>
      </w:r>
      <w:r w:rsidR="002902BB" w:rsidRPr="0083169B">
        <w:rPr>
          <w:rFonts w:ascii="Times New Roman" w:hAnsi="Times New Roman" w:cs="Times New Roman"/>
          <w:szCs w:val="24"/>
        </w:rPr>
        <w:t>) i pkt 13 (</w:t>
      </w:r>
      <w:r w:rsidR="002902BB" w:rsidRPr="00B123EE">
        <w:rPr>
          <w:rFonts w:ascii="Times New Roman" w:hAnsi="Times New Roman" w:cs="Times New Roman"/>
          <w:i/>
          <w:iCs/>
          <w:szCs w:val="24"/>
        </w:rPr>
        <w:t>dotychczasowy pkt 11</w:t>
      </w:r>
      <w:r w:rsidR="002902BB" w:rsidRPr="0083169B">
        <w:rPr>
          <w:rFonts w:ascii="Times New Roman" w:hAnsi="Times New Roman" w:cs="Times New Roman"/>
          <w:szCs w:val="24"/>
        </w:rPr>
        <w:t>)</w:t>
      </w:r>
      <w:r w:rsidRPr="0083169B">
        <w:rPr>
          <w:rFonts w:ascii="Times New Roman" w:hAnsi="Times New Roman" w:cs="Times New Roman"/>
          <w:szCs w:val="24"/>
        </w:rPr>
        <w:t>–</w:t>
      </w:r>
      <w:r w:rsidR="002902BB" w:rsidRPr="0083169B">
        <w:rPr>
          <w:rFonts w:ascii="Times New Roman" w:hAnsi="Times New Roman" w:cs="Times New Roman"/>
          <w:szCs w:val="24"/>
        </w:rPr>
        <w:t xml:space="preserve"> p</w:t>
      </w:r>
      <w:r w:rsidRPr="00B123EE">
        <w:rPr>
          <w:rFonts w:ascii="Times New Roman" w:hAnsi="Times New Roman" w:cs="Times New Roman"/>
          <w:szCs w:val="24"/>
        </w:rPr>
        <w:t>roponuje się, aby sprawozdania z</w:t>
      </w:r>
      <w:r w:rsidR="002902BB" w:rsidRPr="0083169B">
        <w:rPr>
          <w:rFonts w:ascii="Times New Roman" w:hAnsi="Times New Roman" w:cs="Times New Roman"/>
          <w:szCs w:val="24"/>
        </w:rPr>
        <w:t xml:space="preserve"> </w:t>
      </w:r>
      <w:r w:rsidRPr="00B123EE">
        <w:rPr>
          <w:rFonts w:ascii="Times New Roman" w:hAnsi="Times New Roman" w:cs="Times New Roman"/>
          <w:szCs w:val="24"/>
        </w:rPr>
        <w:t>działalności, stanowiące część raportów śródrocznych, zawierały ujawnienia dotyczące oceny emitenta w</w:t>
      </w:r>
      <w:r w:rsidR="002902BB" w:rsidRPr="0083169B">
        <w:rPr>
          <w:rFonts w:ascii="Times New Roman" w:hAnsi="Times New Roman" w:cs="Times New Roman"/>
          <w:szCs w:val="24"/>
        </w:rPr>
        <w:t xml:space="preserve"> </w:t>
      </w:r>
      <w:r w:rsidRPr="00B123EE">
        <w:rPr>
          <w:rFonts w:ascii="Times New Roman" w:hAnsi="Times New Roman" w:cs="Times New Roman"/>
          <w:szCs w:val="24"/>
        </w:rPr>
        <w:t>zakresie zdolności wywiązywania się z zaciągniętych zobowiązań oraz określenie ewentualnych zagrożeń i</w:t>
      </w:r>
      <w:r w:rsidR="002902BB" w:rsidRPr="0083169B">
        <w:rPr>
          <w:rFonts w:ascii="Times New Roman" w:hAnsi="Times New Roman" w:cs="Times New Roman"/>
          <w:szCs w:val="24"/>
        </w:rPr>
        <w:t xml:space="preserve"> </w:t>
      </w:r>
      <w:r w:rsidRPr="00B123EE">
        <w:rPr>
          <w:rFonts w:ascii="Times New Roman" w:hAnsi="Times New Roman" w:cs="Times New Roman"/>
          <w:szCs w:val="24"/>
        </w:rPr>
        <w:t xml:space="preserve">działań, jakie emitent podjął lub zamierza podjąć w celu przeciwdziałania tym zagrożeniom, analogicznie do wymogu zawartego w sprawozdaniu zarządu – składniku raportów rocznych. </w:t>
      </w:r>
      <w:r w:rsidR="002902BB" w:rsidRPr="0083169B">
        <w:rPr>
          <w:rFonts w:ascii="Times New Roman" w:hAnsi="Times New Roman" w:cs="Times New Roman"/>
          <w:szCs w:val="24"/>
        </w:rPr>
        <w:t>P</w:t>
      </w:r>
      <w:r w:rsidRPr="00B123EE">
        <w:rPr>
          <w:rFonts w:ascii="Times New Roman" w:hAnsi="Times New Roman" w:cs="Times New Roman"/>
          <w:szCs w:val="24"/>
        </w:rPr>
        <w:t xml:space="preserve">rzedstawienie </w:t>
      </w:r>
      <w:r w:rsidR="00661DCD">
        <w:rPr>
          <w:rFonts w:ascii="Times New Roman" w:hAnsi="Times New Roman" w:cs="Times New Roman"/>
          <w:szCs w:val="24"/>
        </w:rPr>
        <w:t>tej oceny przez</w:t>
      </w:r>
      <w:r w:rsidRPr="00B123EE">
        <w:rPr>
          <w:rFonts w:ascii="Times New Roman" w:hAnsi="Times New Roman" w:cs="Times New Roman"/>
          <w:szCs w:val="24"/>
        </w:rPr>
        <w:t xml:space="preserve"> emitenta będzie stanowiło istotną informację dla odbiorców śródrocznych raportów</w:t>
      </w:r>
      <w:r w:rsidR="002902BB" w:rsidRPr="0083169B">
        <w:rPr>
          <w:rFonts w:ascii="Times New Roman" w:hAnsi="Times New Roman" w:cs="Times New Roman"/>
          <w:szCs w:val="24"/>
        </w:rPr>
        <w:t>,</w:t>
      </w:r>
    </w:p>
    <w:p w14:paraId="3B565BF8" w14:textId="6496729B" w:rsidR="009C45B3" w:rsidRPr="0083169B" w:rsidRDefault="00123E89" w:rsidP="00B123EE">
      <w:pPr>
        <w:pStyle w:val="ARTartustawynprozporzdzenia"/>
        <w:spacing w:before="0"/>
        <w:ind w:left="284" w:hanging="284"/>
        <w:rPr>
          <w:rFonts w:ascii="Times New Roman" w:hAnsi="Times New Roman" w:cs="Times New Roman"/>
          <w:szCs w:val="24"/>
        </w:rPr>
      </w:pPr>
      <w:r w:rsidRPr="0083169B">
        <w:rPr>
          <w:rFonts w:ascii="Times New Roman" w:hAnsi="Times New Roman" w:cs="Times New Roman"/>
          <w:szCs w:val="24"/>
        </w:rPr>
        <w:t>1</w:t>
      </w:r>
      <w:r w:rsidR="001B6AEF">
        <w:rPr>
          <w:rFonts w:ascii="Times New Roman" w:hAnsi="Times New Roman" w:cs="Times New Roman"/>
          <w:szCs w:val="24"/>
        </w:rPr>
        <w:t>7</w:t>
      </w:r>
      <w:r w:rsidR="002902BB" w:rsidRPr="0083169B">
        <w:rPr>
          <w:rFonts w:ascii="Times New Roman" w:hAnsi="Times New Roman" w:cs="Times New Roman"/>
          <w:szCs w:val="24"/>
        </w:rPr>
        <w:t>)</w:t>
      </w:r>
      <w:r w:rsidR="002902BB" w:rsidRPr="0083169B">
        <w:rPr>
          <w:rFonts w:ascii="Times New Roman" w:hAnsi="Times New Roman" w:cs="Times New Roman"/>
          <w:szCs w:val="24"/>
        </w:rPr>
        <w:tab/>
        <w:t xml:space="preserve">§ 69 </w:t>
      </w:r>
      <w:bookmarkStart w:id="12" w:name="_Hlk181093580"/>
      <w:r w:rsidR="002902BB" w:rsidRPr="00B123EE">
        <w:rPr>
          <w:rFonts w:ascii="Times New Roman" w:hAnsi="Times New Roman" w:cs="Times New Roman"/>
          <w:szCs w:val="24"/>
        </w:rPr>
        <w:t>(</w:t>
      </w:r>
      <w:r w:rsidR="002902BB" w:rsidRPr="0083169B">
        <w:rPr>
          <w:rFonts w:ascii="Times New Roman" w:hAnsi="Times New Roman" w:cs="Times New Roman"/>
          <w:i/>
          <w:iCs/>
          <w:szCs w:val="24"/>
        </w:rPr>
        <w:t>§ 68 w rozporządzeniu obowiązującym</w:t>
      </w:r>
      <w:r w:rsidR="002902BB" w:rsidRPr="0083169B">
        <w:rPr>
          <w:rFonts w:ascii="Times New Roman" w:hAnsi="Times New Roman" w:cs="Times New Roman"/>
          <w:szCs w:val="24"/>
        </w:rPr>
        <w:t xml:space="preserve">) </w:t>
      </w:r>
      <w:bookmarkEnd w:id="12"/>
      <w:r w:rsidR="002902BB" w:rsidRPr="0083169B">
        <w:rPr>
          <w:rFonts w:ascii="Times New Roman" w:hAnsi="Times New Roman" w:cs="Times New Roman"/>
          <w:szCs w:val="24"/>
        </w:rPr>
        <w:t xml:space="preserve">ust. 1 pkt 3 </w:t>
      </w:r>
      <w:r w:rsidR="00B76634" w:rsidRPr="0083169B">
        <w:rPr>
          <w:rFonts w:ascii="Times New Roman" w:hAnsi="Times New Roman" w:cs="Times New Roman"/>
          <w:szCs w:val="24"/>
        </w:rPr>
        <w:t>oraz</w:t>
      </w:r>
      <w:r w:rsidR="000E5254">
        <w:rPr>
          <w:rFonts w:ascii="Times New Roman" w:hAnsi="Times New Roman" w:cs="Times New Roman"/>
          <w:szCs w:val="24"/>
        </w:rPr>
        <w:t xml:space="preserve"> </w:t>
      </w:r>
      <w:r w:rsidR="00B76634" w:rsidRPr="0083169B">
        <w:rPr>
          <w:rFonts w:ascii="Times New Roman" w:hAnsi="Times New Roman" w:cs="Times New Roman"/>
          <w:szCs w:val="24"/>
        </w:rPr>
        <w:t xml:space="preserve">§ 70 </w:t>
      </w:r>
      <w:r w:rsidR="00B76634" w:rsidRPr="0083169B">
        <w:rPr>
          <w:rFonts w:ascii="Times New Roman" w:hAnsi="Times New Roman" w:cs="Times New Roman"/>
          <w:i/>
          <w:iCs/>
          <w:szCs w:val="24"/>
        </w:rPr>
        <w:t xml:space="preserve">(§ 69 w </w:t>
      </w:r>
      <w:r w:rsidR="00B76634" w:rsidRPr="00B123EE">
        <w:rPr>
          <w:rFonts w:ascii="Times New Roman" w:hAnsi="Times New Roman" w:cs="Times New Roman"/>
          <w:szCs w:val="24"/>
        </w:rPr>
        <w:t>rozporządzeniu</w:t>
      </w:r>
      <w:r w:rsidR="00B76634" w:rsidRPr="0083169B">
        <w:rPr>
          <w:rFonts w:ascii="Times New Roman" w:hAnsi="Times New Roman" w:cs="Times New Roman"/>
          <w:i/>
          <w:iCs/>
          <w:szCs w:val="24"/>
        </w:rPr>
        <w:t xml:space="preserve"> obowiązującym</w:t>
      </w:r>
      <w:r w:rsidR="00B76634" w:rsidRPr="0083169B">
        <w:rPr>
          <w:rFonts w:ascii="Times New Roman" w:hAnsi="Times New Roman" w:cs="Times New Roman"/>
          <w:szCs w:val="24"/>
        </w:rPr>
        <w:t xml:space="preserve">) ust. 1 pkt 3 </w:t>
      </w:r>
      <w:r w:rsidR="002902BB" w:rsidRPr="0083169B">
        <w:rPr>
          <w:rFonts w:ascii="Times New Roman" w:hAnsi="Times New Roman" w:cs="Times New Roman"/>
          <w:szCs w:val="24"/>
        </w:rPr>
        <w:t xml:space="preserve">– </w:t>
      </w:r>
      <w:r w:rsidR="00B76634" w:rsidRPr="0083169B">
        <w:rPr>
          <w:rFonts w:ascii="Times New Roman" w:hAnsi="Times New Roman" w:cs="Times New Roman"/>
          <w:szCs w:val="24"/>
        </w:rPr>
        <w:t xml:space="preserve">zmiana przepisów </w:t>
      </w:r>
      <w:r w:rsidR="00454DEF" w:rsidRPr="0083169B">
        <w:rPr>
          <w:rFonts w:ascii="Times New Roman" w:hAnsi="Times New Roman" w:cs="Times New Roman"/>
          <w:szCs w:val="24"/>
        </w:rPr>
        <w:t xml:space="preserve">jest potrzebna </w:t>
      </w:r>
      <w:r w:rsidR="00B76634" w:rsidRPr="0083169B">
        <w:rPr>
          <w:rFonts w:ascii="Times New Roman" w:hAnsi="Times New Roman" w:cs="Times New Roman"/>
          <w:szCs w:val="24"/>
        </w:rPr>
        <w:t xml:space="preserve">z uwagi na </w:t>
      </w:r>
      <w:r w:rsidR="002902BB" w:rsidRPr="00B123EE">
        <w:rPr>
          <w:rFonts w:ascii="Times New Roman" w:hAnsi="Times New Roman" w:cs="Times New Roman"/>
          <w:szCs w:val="24"/>
        </w:rPr>
        <w:t xml:space="preserve">brak zasadności dla przedstawiania w sprawozdaniu z działalności informacji na temat zasad sporządzenia sprawozdania finansowego. Szczegółowe informacje na ten temat są wymagane w sprawozdaniu finansowym (na podstawie właściwych przepisów o sprawozdawczości finansowej emitentów), a dodatkowo ogólne zasady (standardy sporządzenia sprawozdań finansowych) są wskazane w sprawozdaniu z badania. Ponadto wymóg wskazywania zasad sporządzania sprawozdania finansowego nie znajduje swojego odzwierciedlenia w szczegółowych przepisach dotyczących zawartości sprawozdania z działalności, tj. </w:t>
      </w:r>
      <w:r w:rsidR="00256FE2">
        <w:rPr>
          <w:rFonts w:ascii="Times New Roman" w:hAnsi="Times New Roman" w:cs="Times New Roman"/>
          <w:szCs w:val="24"/>
        </w:rPr>
        <w:t xml:space="preserve">w </w:t>
      </w:r>
      <w:r w:rsidR="002902BB" w:rsidRPr="00B123EE">
        <w:rPr>
          <w:rFonts w:ascii="Times New Roman" w:hAnsi="Times New Roman" w:cs="Times New Roman"/>
          <w:szCs w:val="24"/>
        </w:rPr>
        <w:t>§ 7</w:t>
      </w:r>
      <w:r w:rsidR="00B76634" w:rsidRPr="00B123EE">
        <w:rPr>
          <w:rFonts w:ascii="Times New Roman" w:hAnsi="Times New Roman" w:cs="Times New Roman"/>
          <w:szCs w:val="24"/>
        </w:rPr>
        <w:t>1</w:t>
      </w:r>
      <w:r w:rsidR="002902BB" w:rsidRPr="00B123EE">
        <w:rPr>
          <w:rFonts w:ascii="Times New Roman" w:hAnsi="Times New Roman" w:cs="Times New Roman"/>
          <w:szCs w:val="24"/>
        </w:rPr>
        <w:t xml:space="preserve"> ust. 6 i nast</w:t>
      </w:r>
      <w:r w:rsidR="00B76634" w:rsidRPr="0083169B">
        <w:rPr>
          <w:rFonts w:ascii="Times New Roman" w:hAnsi="Times New Roman" w:cs="Times New Roman"/>
          <w:szCs w:val="24"/>
        </w:rPr>
        <w:t>ępne</w:t>
      </w:r>
      <w:r w:rsidR="002902BB" w:rsidRPr="00B123EE">
        <w:rPr>
          <w:rFonts w:ascii="Times New Roman" w:hAnsi="Times New Roman" w:cs="Times New Roman"/>
          <w:szCs w:val="24"/>
        </w:rPr>
        <w:t xml:space="preserve"> projektowanego rozporządzenia</w:t>
      </w:r>
      <w:r w:rsidR="00B76634" w:rsidRPr="0083169B">
        <w:rPr>
          <w:rFonts w:ascii="Times New Roman" w:hAnsi="Times New Roman" w:cs="Times New Roman"/>
          <w:szCs w:val="24"/>
        </w:rPr>
        <w:t>,</w:t>
      </w:r>
    </w:p>
    <w:p w14:paraId="607342AD" w14:textId="2AD056A0" w:rsidR="00B76634" w:rsidRPr="0083169B" w:rsidRDefault="001B6AEF" w:rsidP="00B123EE">
      <w:pPr>
        <w:pStyle w:val="ARTartustawynprozporzdzenia"/>
        <w:tabs>
          <w:tab w:val="left" w:pos="397"/>
          <w:tab w:val="left" w:pos="879"/>
        </w:tabs>
        <w:spacing w:before="0"/>
        <w:ind w:left="284" w:hanging="284"/>
        <w:rPr>
          <w:rFonts w:ascii="Times New Roman" w:hAnsi="Times New Roman" w:cs="Times New Roman"/>
          <w:szCs w:val="24"/>
        </w:rPr>
      </w:pPr>
      <w:bookmarkStart w:id="13" w:name="_Hlk181104248"/>
      <w:r>
        <w:rPr>
          <w:rFonts w:ascii="Times New Roman" w:hAnsi="Times New Roman" w:cs="Times New Roman"/>
          <w:szCs w:val="24"/>
        </w:rPr>
        <w:t>18</w:t>
      </w:r>
      <w:r w:rsidR="00123E89" w:rsidRPr="0083169B">
        <w:rPr>
          <w:rFonts w:ascii="Times New Roman" w:hAnsi="Times New Roman" w:cs="Times New Roman"/>
          <w:szCs w:val="24"/>
        </w:rPr>
        <w:t>)</w:t>
      </w:r>
      <w:r w:rsidR="00123E89" w:rsidRPr="0083169B">
        <w:rPr>
          <w:rFonts w:ascii="Times New Roman" w:hAnsi="Times New Roman" w:cs="Times New Roman"/>
          <w:szCs w:val="24"/>
        </w:rPr>
        <w:tab/>
        <w:t>§ 71</w:t>
      </w:r>
      <w:r w:rsidR="0056781E" w:rsidRPr="0083169B">
        <w:rPr>
          <w:rFonts w:ascii="Times New Roman" w:hAnsi="Times New Roman" w:cs="Times New Roman"/>
          <w:szCs w:val="24"/>
        </w:rPr>
        <w:t xml:space="preserve"> </w:t>
      </w:r>
      <w:r w:rsidR="0056781E" w:rsidRPr="00B123EE">
        <w:rPr>
          <w:rFonts w:ascii="Times New Roman" w:hAnsi="Times New Roman" w:cs="Times New Roman"/>
          <w:szCs w:val="24"/>
        </w:rPr>
        <w:t>(</w:t>
      </w:r>
      <w:r w:rsidR="0056781E" w:rsidRPr="0083169B">
        <w:rPr>
          <w:rFonts w:ascii="Times New Roman" w:hAnsi="Times New Roman" w:cs="Times New Roman"/>
          <w:i/>
          <w:iCs/>
          <w:szCs w:val="24"/>
        </w:rPr>
        <w:t>§ 70 w rozporządzeniu obowiązującym</w:t>
      </w:r>
      <w:r w:rsidR="0056781E" w:rsidRPr="0083169B">
        <w:rPr>
          <w:rFonts w:ascii="Times New Roman" w:hAnsi="Times New Roman" w:cs="Times New Roman"/>
          <w:szCs w:val="24"/>
        </w:rPr>
        <w:t>)</w:t>
      </w:r>
      <w:r w:rsidR="00123E89" w:rsidRPr="0083169B">
        <w:rPr>
          <w:rFonts w:ascii="Times New Roman" w:hAnsi="Times New Roman" w:cs="Times New Roman"/>
          <w:szCs w:val="24"/>
        </w:rPr>
        <w:t>:</w:t>
      </w:r>
    </w:p>
    <w:p w14:paraId="27067546" w14:textId="0491EC41" w:rsidR="009C45B3" w:rsidRPr="0083169B" w:rsidRDefault="00123E89" w:rsidP="00B76634">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a)</w:t>
      </w:r>
      <w:r w:rsidRPr="0083169B">
        <w:rPr>
          <w:rFonts w:ascii="Times New Roman" w:hAnsi="Times New Roman" w:cs="Times New Roman"/>
          <w:szCs w:val="24"/>
        </w:rPr>
        <w:tab/>
        <w:t>ust. 1:</w:t>
      </w:r>
    </w:p>
    <w:bookmarkEnd w:id="13"/>
    <w:p w14:paraId="1C92A4E1" w14:textId="2456E3F0" w:rsidR="009C45B3" w:rsidRPr="0083169B" w:rsidRDefault="00123E89" w:rsidP="00123E89">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lastRenderedPageBreak/>
        <w:t>–</w:t>
      </w:r>
      <w:r w:rsidRPr="0083169B">
        <w:rPr>
          <w:rFonts w:ascii="Times New Roman" w:hAnsi="Times New Roman" w:cs="Times New Roman"/>
          <w:szCs w:val="24"/>
        </w:rPr>
        <w:tab/>
        <w:t>pkt 2 – z</w:t>
      </w:r>
      <w:r w:rsidRPr="00B123EE">
        <w:rPr>
          <w:rFonts w:ascii="Times New Roman" w:hAnsi="Times New Roman" w:cs="Times New Roman"/>
          <w:szCs w:val="24"/>
        </w:rPr>
        <w:t xml:space="preserve">miana </w:t>
      </w:r>
      <w:r w:rsidRPr="0083169B">
        <w:rPr>
          <w:rFonts w:ascii="Times New Roman" w:hAnsi="Times New Roman" w:cs="Times New Roman"/>
          <w:szCs w:val="24"/>
        </w:rPr>
        <w:t xml:space="preserve">tego przepisu </w:t>
      </w:r>
      <w:r w:rsidRPr="00B123EE">
        <w:rPr>
          <w:rFonts w:ascii="Times New Roman" w:hAnsi="Times New Roman" w:cs="Times New Roman"/>
          <w:szCs w:val="24"/>
        </w:rPr>
        <w:t>ma na celu uwzględnienie obecnej praktyki wśród emitentów polegającej na tym, że emitenci zamieszczają w sekcji raportu „</w:t>
      </w:r>
      <w:r w:rsidRPr="00B123EE">
        <w:rPr>
          <w:rFonts w:ascii="Times New Roman" w:hAnsi="Times New Roman" w:cs="Times New Roman"/>
          <w:i/>
          <w:szCs w:val="24"/>
        </w:rPr>
        <w:t>wybrane dane finansowe</w:t>
      </w:r>
      <w:r w:rsidRPr="00B123EE">
        <w:rPr>
          <w:rFonts w:ascii="Times New Roman" w:hAnsi="Times New Roman" w:cs="Times New Roman"/>
          <w:szCs w:val="24"/>
        </w:rPr>
        <w:t>” nie tylko dane finansowe, ale również dane/informacje inne niż dane finansowe</w:t>
      </w:r>
      <w:r w:rsidR="00454DEF" w:rsidRPr="0083169B">
        <w:rPr>
          <w:rFonts w:ascii="Times New Roman" w:hAnsi="Times New Roman" w:cs="Times New Roman"/>
          <w:szCs w:val="24"/>
        </w:rPr>
        <w:t xml:space="preserve">, </w:t>
      </w:r>
      <w:r w:rsidRPr="00B123EE">
        <w:rPr>
          <w:rFonts w:ascii="Times New Roman" w:hAnsi="Times New Roman" w:cs="Times New Roman"/>
          <w:szCs w:val="24"/>
        </w:rPr>
        <w:t>np. o liczbie akcji, które ułatwiają odbiorcom odczyt np. niektórych wskaźników.</w:t>
      </w:r>
      <w:r w:rsidRPr="0083169B">
        <w:rPr>
          <w:rFonts w:ascii="Times New Roman" w:hAnsi="Times New Roman" w:cs="Times New Roman"/>
          <w:szCs w:val="24"/>
        </w:rPr>
        <w:t xml:space="preserve"> </w:t>
      </w:r>
      <w:r w:rsidRPr="00B123EE">
        <w:rPr>
          <w:rFonts w:ascii="Times New Roman" w:hAnsi="Times New Roman" w:cs="Times New Roman"/>
          <w:szCs w:val="24"/>
        </w:rPr>
        <w:t>Propozycja jest podyktowana również potrzebą pozyskiwania od emitentów informacji o wielkości kryteriów (są nimi zarówno dane finansowe, jak i dane inne niż finansowe</w:t>
      </w:r>
      <w:r w:rsidR="00454DEF" w:rsidRPr="0083169B">
        <w:rPr>
          <w:rFonts w:ascii="Times New Roman" w:hAnsi="Times New Roman" w:cs="Times New Roman"/>
          <w:szCs w:val="24"/>
        </w:rPr>
        <w:t>,</w:t>
      </w:r>
      <w:r w:rsidRPr="00B123EE">
        <w:rPr>
          <w:rFonts w:ascii="Times New Roman" w:hAnsi="Times New Roman" w:cs="Times New Roman"/>
          <w:szCs w:val="24"/>
        </w:rPr>
        <w:t xml:space="preserve"> np. wielkość średniorocznego zatrudnienia w przeliczeniu na pełne etaty</w:t>
      </w:r>
      <w:r w:rsidR="00454DEF" w:rsidRPr="0083169B">
        <w:rPr>
          <w:rFonts w:ascii="Times New Roman" w:hAnsi="Times New Roman" w:cs="Times New Roman"/>
          <w:szCs w:val="24"/>
        </w:rPr>
        <w:t xml:space="preserve">, </w:t>
      </w:r>
      <w:r w:rsidRPr="00B123EE">
        <w:rPr>
          <w:rFonts w:ascii="Times New Roman" w:hAnsi="Times New Roman" w:cs="Times New Roman"/>
          <w:i/>
          <w:iCs/>
          <w:szCs w:val="24"/>
        </w:rPr>
        <w:t>tzw. FTE</w:t>
      </w:r>
      <w:r w:rsidR="00454DEF" w:rsidRPr="00B123EE">
        <w:rPr>
          <w:rFonts w:ascii="Times New Roman" w:hAnsi="Times New Roman" w:cs="Times New Roman"/>
          <w:color w:val="040C28"/>
          <w:szCs w:val="24"/>
        </w:rPr>
        <w:t xml:space="preserve"> (</w:t>
      </w:r>
      <w:r w:rsidR="005610F5" w:rsidRPr="00B123EE">
        <w:rPr>
          <w:rFonts w:ascii="Times New Roman" w:hAnsi="Times New Roman" w:cs="Times New Roman"/>
          <w:i/>
          <w:iCs/>
          <w:color w:val="040C28"/>
          <w:szCs w:val="24"/>
        </w:rPr>
        <w:t>F</w:t>
      </w:r>
      <w:r w:rsidR="00454DEF" w:rsidRPr="00B123EE">
        <w:rPr>
          <w:rFonts w:ascii="Times New Roman" w:hAnsi="Times New Roman" w:cs="Times New Roman"/>
          <w:i/>
          <w:iCs/>
          <w:szCs w:val="24"/>
        </w:rPr>
        <w:t xml:space="preserve">ull </w:t>
      </w:r>
      <w:r w:rsidR="005610F5" w:rsidRPr="0083169B">
        <w:rPr>
          <w:rFonts w:ascii="Times New Roman" w:hAnsi="Times New Roman" w:cs="Times New Roman"/>
          <w:i/>
          <w:iCs/>
          <w:szCs w:val="24"/>
        </w:rPr>
        <w:t>T</w:t>
      </w:r>
      <w:r w:rsidR="00454DEF" w:rsidRPr="00B123EE">
        <w:rPr>
          <w:rFonts w:ascii="Times New Roman" w:hAnsi="Times New Roman" w:cs="Times New Roman"/>
          <w:i/>
          <w:iCs/>
          <w:szCs w:val="24"/>
        </w:rPr>
        <w:t xml:space="preserve">ime </w:t>
      </w:r>
      <w:r w:rsidR="005610F5" w:rsidRPr="0083169B">
        <w:rPr>
          <w:rFonts w:ascii="Times New Roman" w:hAnsi="Times New Roman" w:cs="Times New Roman"/>
          <w:i/>
          <w:iCs/>
          <w:szCs w:val="24"/>
        </w:rPr>
        <w:t>E</w:t>
      </w:r>
      <w:r w:rsidR="00454DEF" w:rsidRPr="00B123EE">
        <w:rPr>
          <w:rFonts w:ascii="Times New Roman" w:hAnsi="Times New Roman" w:cs="Times New Roman"/>
          <w:i/>
          <w:iCs/>
          <w:szCs w:val="24"/>
        </w:rPr>
        <w:t>quivalent</w:t>
      </w:r>
      <w:r w:rsidR="00454DEF" w:rsidRPr="0083169B">
        <w:rPr>
          <w:rFonts w:ascii="Times New Roman" w:hAnsi="Times New Roman" w:cs="Times New Roman"/>
          <w:i/>
          <w:iCs/>
          <w:szCs w:val="24"/>
        </w:rPr>
        <w:t>)</w:t>
      </w:r>
      <w:r w:rsidRPr="00374B52">
        <w:rPr>
          <w:rFonts w:ascii="Times New Roman" w:hAnsi="Times New Roman" w:cs="Times New Roman"/>
          <w:szCs w:val="24"/>
        </w:rPr>
        <w:t>), których przekroczenie oznacza konieczność przekazania do K</w:t>
      </w:r>
      <w:r w:rsidR="00454DEF" w:rsidRPr="0083169B">
        <w:rPr>
          <w:rFonts w:ascii="Times New Roman" w:hAnsi="Times New Roman" w:cs="Times New Roman"/>
          <w:szCs w:val="24"/>
        </w:rPr>
        <w:t xml:space="preserve">omisji </w:t>
      </w:r>
      <w:r w:rsidRPr="00374B52">
        <w:rPr>
          <w:rFonts w:ascii="Times New Roman" w:hAnsi="Times New Roman" w:cs="Times New Roman"/>
          <w:szCs w:val="24"/>
        </w:rPr>
        <w:t>N</w:t>
      </w:r>
      <w:r w:rsidR="00454DEF" w:rsidRPr="0083169B">
        <w:rPr>
          <w:rFonts w:ascii="Times New Roman" w:hAnsi="Times New Roman" w:cs="Times New Roman"/>
          <w:szCs w:val="24"/>
        </w:rPr>
        <w:t xml:space="preserve">adzoru </w:t>
      </w:r>
      <w:r w:rsidRPr="00374B52">
        <w:rPr>
          <w:rFonts w:ascii="Times New Roman" w:hAnsi="Times New Roman" w:cs="Times New Roman"/>
          <w:szCs w:val="24"/>
        </w:rPr>
        <w:t>F</w:t>
      </w:r>
      <w:r w:rsidR="00454DEF" w:rsidRPr="0083169B">
        <w:rPr>
          <w:rFonts w:ascii="Times New Roman" w:hAnsi="Times New Roman" w:cs="Times New Roman"/>
          <w:szCs w:val="24"/>
        </w:rPr>
        <w:t>inansowego</w:t>
      </w:r>
      <w:r w:rsidRPr="00374B52">
        <w:rPr>
          <w:rFonts w:ascii="Times New Roman" w:hAnsi="Times New Roman" w:cs="Times New Roman"/>
          <w:szCs w:val="24"/>
        </w:rPr>
        <w:t xml:space="preserve"> określonych informacji. W chwili obecnej brak tych informacji utrudnia </w:t>
      </w:r>
      <w:r w:rsidR="00454DEF" w:rsidRPr="0083169B">
        <w:rPr>
          <w:rFonts w:ascii="Times New Roman" w:hAnsi="Times New Roman" w:cs="Times New Roman"/>
          <w:szCs w:val="24"/>
        </w:rPr>
        <w:t>organowi nadzoru</w:t>
      </w:r>
      <w:r w:rsidRPr="00374B52">
        <w:rPr>
          <w:rFonts w:ascii="Times New Roman" w:hAnsi="Times New Roman" w:cs="Times New Roman"/>
          <w:szCs w:val="24"/>
        </w:rPr>
        <w:t xml:space="preserve"> nadzór nad realizacją obowiązków sprawozdawczych oraz zautomatyzowanie procesu ich pozyskiwania. Są to dane potrzebne również instytucjom finansowym do celów ich własnej sprawozdawczości</w:t>
      </w:r>
      <w:r w:rsidR="00454DEF" w:rsidRPr="0083169B">
        <w:rPr>
          <w:rFonts w:ascii="Times New Roman" w:hAnsi="Times New Roman" w:cs="Times New Roman"/>
          <w:szCs w:val="24"/>
        </w:rPr>
        <w:t>,</w:t>
      </w:r>
    </w:p>
    <w:p w14:paraId="3D06751C" w14:textId="7F5E4303" w:rsidR="00454DEF" w:rsidRPr="0083169B" w:rsidRDefault="005610F5" w:rsidP="00123E89">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00454DEF" w:rsidRPr="0083169B">
        <w:rPr>
          <w:rFonts w:ascii="Times New Roman" w:hAnsi="Times New Roman" w:cs="Times New Roman"/>
          <w:szCs w:val="24"/>
        </w:rPr>
        <w:tab/>
        <w:t xml:space="preserve">pkt 4 – zmiana przepisów jest potrzebna z uwagi na brak </w:t>
      </w:r>
      <w:r w:rsidR="00454DEF" w:rsidRPr="00B123EE">
        <w:rPr>
          <w:rFonts w:ascii="Times New Roman" w:hAnsi="Times New Roman" w:cs="Times New Roman"/>
          <w:szCs w:val="24"/>
        </w:rPr>
        <w:t>zasadności dla przedstawiania w</w:t>
      </w:r>
      <w:r w:rsidR="00E605D7">
        <w:rPr>
          <w:rFonts w:ascii="Times New Roman" w:hAnsi="Times New Roman" w:cs="Times New Roman"/>
          <w:szCs w:val="24"/>
        </w:rPr>
        <w:t xml:space="preserve"> </w:t>
      </w:r>
      <w:r w:rsidR="00454DEF" w:rsidRPr="00B123EE">
        <w:rPr>
          <w:rFonts w:ascii="Times New Roman" w:hAnsi="Times New Roman" w:cs="Times New Roman"/>
          <w:szCs w:val="24"/>
        </w:rPr>
        <w:t>sprawozdaniu z działalności informacji na temat zasad sporządzenia sprawozdania finansowego. Szczegółowe informacje na ten temat są wymagane w sprawozdaniu finansowym (na podstawie właściwych przepisów o sprawozdawczości finansowej emitentów), a dodatkowo ogólne zasady (standardy sporządzenia sprawozdań finansowych) są wskazane w sprawozdaniu z badania. Ponadto, wymóg wskazywania zasad sporządzania sprawozdania finansowego nie znajduje swojego odzwierciedlenia w szczegółowych przepisach dotyczących zawartości sprawozdania z działalności, tj. § 7</w:t>
      </w:r>
      <w:r w:rsidR="00256FE2">
        <w:rPr>
          <w:rFonts w:ascii="Times New Roman" w:hAnsi="Times New Roman" w:cs="Times New Roman"/>
          <w:szCs w:val="24"/>
        </w:rPr>
        <w:t>1</w:t>
      </w:r>
      <w:r w:rsidR="00454DEF" w:rsidRPr="00B123EE">
        <w:rPr>
          <w:rFonts w:ascii="Times New Roman" w:hAnsi="Times New Roman" w:cs="Times New Roman"/>
          <w:szCs w:val="24"/>
        </w:rPr>
        <w:t xml:space="preserve"> ust. 6 i nast</w:t>
      </w:r>
      <w:r w:rsidR="00454DEF" w:rsidRPr="0083169B">
        <w:rPr>
          <w:rFonts w:ascii="Times New Roman" w:hAnsi="Times New Roman" w:cs="Times New Roman"/>
          <w:szCs w:val="24"/>
        </w:rPr>
        <w:t>ępne</w:t>
      </w:r>
      <w:r w:rsidR="00454DEF" w:rsidRPr="00B123EE">
        <w:rPr>
          <w:rFonts w:ascii="Times New Roman" w:hAnsi="Times New Roman" w:cs="Times New Roman"/>
          <w:szCs w:val="24"/>
        </w:rPr>
        <w:t xml:space="preserve"> projektowanego rozporządzenia</w:t>
      </w:r>
      <w:r w:rsidRPr="0083169B">
        <w:rPr>
          <w:rFonts w:ascii="Times New Roman" w:hAnsi="Times New Roman" w:cs="Times New Roman"/>
          <w:szCs w:val="24"/>
        </w:rPr>
        <w:t>,</w:t>
      </w:r>
    </w:p>
    <w:p w14:paraId="5F17130C" w14:textId="6662F7B6" w:rsidR="005610F5" w:rsidRPr="00B123EE" w:rsidRDefault="005610F5" w:rsidP="00B123EE">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b)</w:t>
      </w:r>
      <w:r w:rsidRPr="0083169B">
        <w:rPr>
          <w:rFonts w:ascii="Times New Roman" w:hAnsi="Times New Roman" w:cs="Times New Roman"/>
          <w:szCs w:val="24"/>
        </w:rPr>
        <w:tab/>
        <w:t xml:space="preserve">ust. 2 </w:t>
      </w:r>
      <w:bookmarkStart w:id="14" w:name="_Hlk181095053"/>
      <w:r w:rsidRPr="0083169B">
        <w:rPr>
          <w:rFonts w:ascii="Times New Roman" w:hAnsi="Times New Roman" w:cs="Times New Roman"/>
          <w:szCs w:val="24"/>
        </w:rPr>
        <w:t>(</w:t>
      </w:r>
      <w:r w:rsidRPr="00B123EE">
        <w:rPr>
          <w:rFonts w:ascii="Times New Roman" w:hAnsi="Times New Roman" w:cs="Times New Roman"/>
          <w:i/>
          <w:iCs/>
          <w:szCs w:val="24"/>
        </w:rPr>
        <w:t>dodany nowy przepis</w:t>
      </w:r>
      <w:r w:rsidRPr="0083169B">
        <w:rPr>
          <w:rFonts w:ascii="Times New Roman" w:hAnsi="Times New Roman" w:cs="Times New Roman"/>
          <w:szCs w:val="24"/>
        </w:rPr>
        <w:t xml:space="preserve">) – </w:t>
      </w:r>
      <w:bookmarkEnd w:id="14"/>
      <w:r w:rsidRPr="0083169B">
        <w:rPr>
          <w:rFonts w:ascii="Times New Roman" w:hAnsi="Times New Roman" w:cs="Times New Roman"/>
          <w:szCs w:val="24"/>
        </w:rPr>
        <w:t xml:space="preserve">propozycja </w:t>
      </w:r>
      <w:r w:rsidRPr="00B123EE">
        <w:rPr>
          <w:rFonts w:ascii="Times New Roman" w:hAnsi="Times New Roman" w:cs="Times New Roman"/>
          <w:szCs w:val="24"/>
        </w:rPr>
        <w:t>ma na celu doprecyzowanie przepisów dotyczących obowiązku zamieszczania w raporcie rocznym emitenta będącego jednostką samorządu terytorialnego sprawozdania z badania sprawozdania finansowego. Intencją przepisu jest zobowiązanie do publikacji sprawozdania z badania wyłącznie tych jednostek, których sprawozdania finansowe, zgodnie z art. 268 ustawy z dnia 27 sierpnia 2009 r. o finansach publicznych (Dz. U. z 202</w:t>
      </w:r>
      <w:r w:rsidRPr="0083169B">
        <w:rPr>
          <w:rFonts w:ascii="Times New Roman" w:hAnsi="Times New Roman" w:cs="Times New Roman"/>
          <w:szCs w:val="24"/>
        </w:rPr>
        <w:t>4</w:t>
      </w:r>
      <w:r w:rsidRPr="00B123EE">
        <w:rPr>
          <w:rFonts w:ascii="Times New Roman" w:hAnsi="Times New Roman" w:cs="Times New Roman"/>
          <w:szCs w:val="24"/>
        </w:rPr>
        <w:t xml:space="preserve"> r. poz. 1</w:t>
      </w:r>
      <w:r w:rsidRPr="0083169B">
        <w:rPr>
          <w:rFonts w:ascii="Times New Roman" w:hAnsi="Times New Roman" w:cs="Times New Roman"/>
          <w:szCs w:val="24"/>
        </w:rPr>
        <w:t>530</w:t>
      </w:r>
      <w:r w:rsidRPr="00B123EE">
        <w:rPr>
          <w:rFonts w:ascii="Times New Roman" w:hAnsi="Times New Roman" w:cs="Times New Roman"/>
          <w:szCs w:val="24"/>
        </w:rPr>
        <w:t>, z późn. zm.), podlegały badaniu.</w:t>
      </w:r>
    </w:p>
    <w:p w14:paraId="6F7D5675" w14:textId="0DA332D5" w:rsidR="009C45B3" w:rsidRPr="0083169B" w:rsidRDefault="0056781E" w:rsidP="0056781E">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c)</w:t>
      </w:r>
      <w:r w:rsidRPr="0083169B">
        <w:rPr>
          <w:rFonts w:ascii="Times New Roman" w:hAnsi="Times New Roman" w:cs="Times New Roman"/>
          <w:szCs w:val="24"/>
        </w:rPr>
        <w:tab/>
        <w:t>ust. 7 (</w:t>
      </w:r>
      <w:r w:rsidRPr="00B123EE">
        <w:rPr>
          <w:rFonts w:ascii="Times New Roman" w:hAnsi="Times New Roman" w:cs="Times New Roman"/>
          <w:i/>
          <w:iCs/>
          <w:szCs w:val="24"/>
        </w:rPr>
        <w:t>ust. 6</w:t>
      </w:r>
      <w:r w:rsidRPr="0083169B">
        <w:rPr>
          <w:rFonts w:ascii="Times New Roman" w:hAnsi="Times New Roman" w:cs="Times New Roman"/>
          <w:i/>
          <w:iCs/>
          <w:szCs w:val="24"/>
        </w:rPr>
        <w:t xml:space="preserve"> w rozporządzeniu obowiązującym</w:t>
      </w:r>
      <w:r w:rsidRPr="0083169B">
        <w:rPr>
          <w:rFonts w:ascii="Times New Roman" w:hAnsi="Times New Roman" w:cs="Times New Roman"/>
          <w:szCs w:val="24"/>
        </w:rPr>
        <w:t>):</w:t>
      </w:r>
    </w:p>
    <w:p w14:paraId="7F03EB99" w14:textId="690F372A" w:rsidR="004F0512" w:rsidRPr="0083169B" w:rsidRDefault="0056781E" w:rsidP="0056781E">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2 – p</w:t>
      </w:r>
      <w:r w:rsidRPr="00B123EE">
        <w:rPr>
          <w:rFonts w:ascii="Times New Roman" w:hAnsi="Times New Roman" w:cs="Times New Roman"/>
          <w:szCs w:val="24"/>
        </w:rPr>
        <w:t>raktyka nadzorcza wskazuje, że emitenci</w:t>
      </w:r>
      <w:r w:rsidR="00025CB2">
        <w:rPr>
          <w:rFonts w:ascii="Times New Roman" w:hAnsi="Times New Roman" w:cs="Times New Roman"/>
          <w:szCs w:val="24"/>
        </w:rPr>
        <w:t>,</w:t>
      </w:r>
      <w:r w:rsidRPr="00B123EE">
        <w:rPr>
          <w:rFonts w:ascii="Times New Roman" w:hAnsi="Times New Roman" w:cs="Times New Roman"/>
          <w:szCs w:val="24"/>
        </w:rPr>
        <w:t xml:space="preserve"> ustosunkowując się do pierwszej części § 7</w:t>
      </w:r>
      <w:r w:rsidRPr="0083169B">
        <w:rPr>
          <w:rFonts w:ascii="Times New Roman" w:hAnsi="Times New Roman" w:cs="Times New Roman"/>
          <w:szCs w:val="24"/>
        </w:rPr>
        <w:t>0</w:t>
      </w:r>
      <w:r w:rsidRPr="00B123EE">
        <w:rPr>
          <w:rFonts w:ascii="Times New Roman" w:hAnsi="Times New Roman" w:cs="Times New Roman"/>
          <w:szCs w:val="24"/>
        </w:rPr>
        <w:t xml:space="preserve"> ust. 6 pkt 2 rozporządzenia</w:t>
      </w:r>
      <w:r w:rsidRPr="0083169B">
        <w:rPr>
          <w:rFonts w:ascii="Times New Roman" w:hAnsi="Times New Roman" w:cs="Times New Roman"/>
          <w:szCs w:val="24"/>
        </w:rPr>
        <w:t xml:space="preserve"> obowiązującego</w:t>
      </w:r>
      <w:r w:rsidR="00025CB2">
        <w:rPr>
          <w:rFonts w:ascii="Times New Roman" w:hAnsi="Times New Roman" w:cs="Times New Roman"/>
          <w:szCs w:val="24"/>
        </w:rPr>
        <w:t>,</w:t>
      </w:r>
      <w:r w:rsidRPr="00B123EE">
        <w:rPr>
          <w:rFonts w:ascii="Times New Roman" w:hAnsi="Times New Roman" w:cs="Times New Roman"/>
          <w:szCs w:val="24"/>
        </w:rPr>
        <w:t xml:space="preserve"> dokonują zestawienia danych finansowych za dany i za poprzedni rok obrotowy. Brak przy tym jakiegokolwiek komentarza wyjaśniającego, dlaczego dana pozycja uległa znaczącemu wzrostowi lub </w:t>
      </w:r>
      <w:r w:rsidRPr="00B123EE">
        <w:rPr>
          <w:rFonts w:ascii="Times New Roman" w:hAnsi="Times New Roman" w:cs="Times New Roman"/>
          <w:szCs w:val="24"/>
        </w:rPr>
        <w:lastRenderedPageBreak/>
        <w:t>obniżeniu. Dodatkowo emitenci niepoprawnie wypełniają obowiązki na podstawie dotychczasowego brzmienia przepisu ponieważ koncentrują się wyłącznie na ujawnianiu czynników o nietypowym charakterze i pomij</w:t>
      </w:r>
      <w:r w:rsidRPr="0083169B">
        <w:rPr>
          <w:rFonts w:ascii="Times New Roman" w:hAnsi="Times New Roman" w:cs="Times New Roman"/>
          <w:szCs w:val="24"/>
        </w:rPr>
        <w:t>ają</w:t>
      </w:r>
      <w:r w:rsidRPr="00B123EE">
        <w:rPr>
          <w:rFonts w:ascii="Times New Roman" w:hAnsi="Times New Roman" w:cs="Times New Roman"/>
          <w:szCs w:val="24"/>
        </w:rPr>
        <w:t xml:space="preserve"> inn</w:t>
      </w:r>
      <w:r w:rsidRPr="0083169B">
        <w:rPr>
          <w:rFonts w:ascii="Times New Roman" w:hAnsi="Times New Roman" w:cs="Times New Roman"/>
          <w:szCs w:val="24"/>
        </w:rPr>
        <w:t>e</w:t>
      </w:r>
      <w:r w:rsidRPr="00B123EE">
        <w:rPr>
          <w:rFonts w:ascii="Times New Roman" w:hAnsi="Times New Roman" w:cs="Times New Roman"/>
          <w:szCs w:val="24"/>
        </w:rPr>
        <w:t xml:space="preserve"> czynni</w:t>
      </w:r>
      <w:r w:rsidRPr="0083169B">
        <w:rPr>
          <w:rFonts w:ascii="Times New Roman" w:hAnsi="Times New Roman" w:cs="Times New Roman"/>
          <w:szCs w:val="24"/>
        </w:rPr>
        <w:t>ki,</w:t>
      </w:r>
    </w:p>
    <w:p w14:paraId="10210447" w14:textId="01F1584E" w:rsidR="0056781E" w:rsidRPr="0083169B" w:rsidRDefault="003A365B" w:rsidP="0056781E">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5 lit. d – p</w:t>
      </w:r>
      <w:r w:rsidRPr="00B123EE">
        <w:rPr>
          <w:rFonts w:ascii="Times New Roman" w:hAnsi="Times New Roman" w:cs="Times New Roman"/>
          <w:szCs w:val="24"/>
        </w:rPr>
        <w:t>raktyka nadzorcza wskazuje, że doprecyzowanie przepisu jest niezbędne dla zapewnienia jednolitego podejścia emitentów do sposobu przekazywania informacji. W związku z brakiem wskazania</w:t>
      </w:r>
      <w:r w:rsidRPr="0083169B">
        <w:rPr>
          <w:rFonts w:ascii="Times New Roman" w:hAnsi="Times New Roman" w:cs="Times New Roman"/>
          <w:szCs w:val="24"/>
        </w:rPr>
        <w:t xml:space="preserve"> </w:t>
      </w:r>
      <w:r w:rsidRPr="00B123EE">
        <w:rPr>
          <w:rFonts w:ascii="Times New Roman" w:hAnsi="Times New Roman" w:cs="Times New Roman"/>
          <w:szCs w:val="24"/>
        </w:rPr>
        <w:t>według stanu</w:t>
      </w:r>
      <w:r w:rsidR="00025CB2">
        <w:rPr>
          <w:rFonts w:ascii="Times New Roman" w:hAnsi="Times New Roman" w:cs="Times New Roman"/>
          <w:szCs w:val="24"/>
        </w:rPr>
        <w:t>,</w:t>
      </w:r>
      <w:r w:rsidRPr="00B123EE">
        <w:rPr>
          <w:rFonts w:ascii="Times New Roman" w:hAnsi="Times New Roman" w:cs="Times New Roman"/>
          <w:szCs w:val="24"/>
        </w:rPr>
        <w:t xml:space="preserve"> na jaki dzień mają być podane dane, część emitentów przekazuje informacje według stanu na moment przekazania raportu, a inni – na dzień bilansowy. </w:t>
      </w:r>
      <w:r w:rsidR="00E84C29" w:rsidRPr="0083169B">
        <w:rPr>
          <w:rFonts w:ascii="Times New Roman" w:hAnsi="Times New Roman" w:cs="Times New Roman"/>
          <w:szCs w:val="24"/>
        </w:rPr>
        <w:t xml:space="preserve">Zdarzają się </w:t>
      </w:r>
      <w:r w:rsidRPr="00B123EE">
        <w:rPr>
          <w:rFonts w:ascii="Times New Roman" w:hAnsi="Times New Roman" w:cs="Times New Roman"/>
          <w:szCs w:val="24"/>
        </w:rPr>
        <w:t>również przypadki, gdy emitent nie wskazuje w ogóle według jakiego stanu (na jaki dzień) zostały przekazane dane. Stąd też konieczne jest wskazanie momentu, na który emitenci powinni przekazywać przedmiotowe informacje</w:t>
      </w:r>
      <w:r w:rsidR="00E84C29" w:rsidRPr="0083169B">
        <w:rPr>
          <w:rFonts w:ascii="Times New Roman" w:hAnsi="Times New Roman" w:cs="Times New Roman"/>
          <w:szCs w:val="24"/>
        </w:rPr>
        <w:t>,</w:t>
      </w:r>
    </w:p>
    <w:p w14:paraId="70FF94DB" w14:textId="5E3DC7F8" w:rsidR="0056781E" w:rsidRPr="0083169B" w:rsidRDefault="00E84C29" w:rsidP="00B123EE">
      <w:pPr>
        <w:pStyle w:val="ARTartustawynprozporzdzenia"/>
        <w:tabs>
          <w:tab w:val="left" w:pos="397"/>
          <w:tab w:val="left" w:pos="794"/>
          <w:tab w:val="left" w:pos="1647"/>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6 – c</w:t>
      </w:r>
      <w:r w:rsidRPr="00B123EE">
        <w:rPr>
          <w:rFonts w:ascii="Times New Roman" w:hAnsi="Times New Roman" w:cs="Times New Roman"/>
          <w:szCs w:val="24"/>
        </w:rPr>
        <w:t xml:space="preserve">elem zmiany </w:t>
      </w:r>
      <w:r w:rsidRPr="0083169B">
        <w:rPr>
          <w:rFonts w:ascii="Times New Roman" w:hAnsi="Times New Roman" w:cs="Times New Roman"/>
          <w:szCs w:val="24"/>
        </w:rPr>
        <w:t xml:space="preserve">tego przepisu </w:t>
      </w:r>
      <w:r w:rsidRPr="00B123EE">
        <w:rPr>
          <w:rFonts w:ascii="Times New Roman" w:hAnsi="Times New Roman" w:cs="Times New Roman"/>
          <w:szCs w:val="24"/>
        </w:rPr>
        <w:t>jest zapewnienie uczestnikom rynku dostępu do informacji istotnych dla oceny sytuacji majątkowej, finansowej i wyników emitenta. Doprecyzowanie przepisu zapewni jednolite podejście emitentów do sposobu przekazywania informacji. Dotychczasowe brzmienie przepisu było różnie intepretowane przez emitentów. Niektórzy emitenci publikowali jedynie informacje o postępowaniach dotyczących wyłącznie zobowiązań oraz wierzytelności, natomiast inni również informacje o istotnych postępowaniach dotyczących innych kwestii mogących mieć istotny wpływ na sytuację majątkową, finansową i wyniki emitenta lub grupy kapitałowej. Celem zmiany jest ujednolicenie praktyki emitentów odnośnie zakresu informacji dot</w:t>
      </w:r>
      <w:r w:rsidRPr="0083169B">
        <w:rPr>
          <w:rFonts w:ascii="Times New Roman" w:hAnsi="Times New Roman" w:cs="Times New Roman"/>
          <w:szCs w:val="24"/>
        </w:rPr>
        <w:t>yczących istotnych postępowań jakie są publikowane w ramach realizacji obowiązków wynikających z</w:t>
      </w:r>
      <w:r w:rsidR="00256FE2">
        <w:rPr>
          <w:rFonts w:ascii="Times New Roman" w:hAnsi="Times New Roman" w:cs="Times New Roman"/>
          <w:szCs w:val="24"/>
        </w:rPr>
        <w:t xml:space="preserve"> przedmiotowego </w:t>
      </w:r>
      <w:r w:rsidRPr="0083169B">
        <w:rPr>
          <w:rFonts w:ascii="Times New Roman" w:hAnsi="Times New Roman" w:cs="Times New Roman"/>
          <w:szCs w:val="24"/>
        </w:rPr>
        <w:t xml:space="preserve">przepisu, w tym zobowiązanie emitentów do przedstawienia szerszego zakresu informacji o istotnych postępowaniach, tak by przepis obejmował wszystkie postępowania, których rozstrzygniecie może mieć istotny wpływ na sytuację majątkową, finansową i wyniki emitenta lub jego grupy kapitałowej. Dodatkowo, niektórzy emitenci przedstawiali informacje o postępowaniach w sposób ogólnikowy, bez wyraźnego wskazania etapu oraz kluczowych działań podejmowanych przez strony w postępowaniu Zmiana jest spójna ze zmianą zaproponowaną do § 67 ust. 8 pkt 8 </w:t>
      </w:r>
      <w:r w:rsidR="00D308C4">
        <w:rPr>
          <w:rFonts w:ascii="Times New Roman" w:hAnsi="Times New Roman" w:cs="Times New Roman"/>
          <w:szCs w:val="24"/>
        </w:rPr>
        <w:t xml:space="preserve">oraz § 69 ust. 1 pkt 3 </w:t>
      </w:r>
      <w:r w:rsidRPr="0083169B">
        <w:rPr>
          <w:rFonts w:ascii="Times New Roman" w:hAnsi="Times New Roman" w:cs="Times New Roman"/>
          <w:szCs w:val="24"/>
        </w:rPr>
        <w:t>projektowanego rozporządzenia, tj. w zakresie doprecyzowania informacji podawanych w raportach kwartalnych i półrocznych o istotnych postępowaniach</w:t>
      </w:r>
      <w:r w:rsidR="009B149A" w:rsidRPr="0083169B">
        <w:rPr>
          <w:rFonts w:ascii="Times New Roman" w:hAnsi="Times New Roman" w:cs="Times New Roman"/>
          <w:szCs w:val="24"/>
        </w:rPr>
        <w:t>,</w:t>
      </w:r>
    </w:p>
    <w:p w14:paraId="2FFD9B36" w14:textId="3217D089" w:rsidR="0056781E" w:rsidRPr="0083169B" w:rsidRDefault="009B149A" w:rsidP="0056781E">
      <w:pPr>
        <w:pStyle w:val="ARTartustawynprozporzdzenia"/>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pkt 7 </w:t>
      </w:r>
      <w:bookmarkStart w:id="15" w:name="_Hlk181095398"/>
      <w:r w:rsidRPr="0083169B">
        <w:rPr>
          <w:rFonts w:ascii="Times New Roman" w:hAnsi="Times New Roman" w:cs="Times New Roman"/>
          <w:szCs w:val="24"/>
        </w:rPr>
        <w:t>(</w:t>
      </w:r>
      <w:r w:rsidRPr="0083169B">
        <w:rPr>
          <w:rFonts w:ascii="Times New Roman" w:hAnsi="Times New Roman" w:cs="Times New Roman"/>
          <w:i/>
          <w:iCs/>
          <w:szCs w:val="24"/>
        </w:rPr>
        <w:t>dodany nowy przepis</w:t>
      </w:r>
      <w:r w:rsidRPr="0083169B">
        <w:rPr>
          <w:rFonts w:ascii="Times New Roman" w:hAnsi="Times New Roman" w:cs="Times New Roman"/>
          <w:szCs w:val="24"/>
        </w:rPr>
        <w:t>)</w:t>
      </w:r>
      <w:bookmarkEnd w:id="15"/>
      <w:r w:rsidRPr="0083169B">
        <w:rPr>
          <w:rFonts w:ascii="Times New Roman" w:hAnsi="Times New Roman" w:cs="Times New Roman"/>
          <w:szCs w:val="24"/>
        </w:rPr>
        <w:t xml:space="preserve"> – proponowany przepis</w:t>
      </w:r>
      <w:r w:rsidRPr="00B123EE">
        <w:rPr>
          <w:rFonts w:ascii="Times New Roman" w:hAnsi="Times New Roman" w:cs="Times New Roman"/>
          <w:szCs w:val="24"/>
        </w:rPr>
        <w:t xml:space="preserve"> ma na celu zapewnienie uczestnikom rynku dostępu do informacji istotnych dla oceny sytuacji majątkowej, finansowej i wyników emitenta</w:t>
      </w:r>
      <w:r w:rsidRPr="0083169B">
        <w:rPr>
          <w:rFonts w:ascii="Times New Roman" w:hAnsi="Times New Roman" w:cs="Times New Roman"/>
          <w:szCs w:val="24"/>
        </w:rPr>
        <w:t>,</w:t>
      </w:r>
    </w:p>
    <w:p w14:paraId="01BEC820" w14:textId="40FDAA4A" w:rsidR="009B149A" w:rsidRPr="0083169B" w:rsidRDefault="009B149A" w:rsidP="00B123EE">
      <w:pPr>
        <w:pStyle w:val="ARTartustawynprozporzdzenia"/>
        <w:tabs>
          <w:tab w:val="left" w:pos="397"/>
          <w:tab w:val="left" w:pos="794"/>
          <w:tab w:val="left" w:pos="1191"/>
          <w:tab w:val="left" w:pos="1815"/>
        </w:tabs>
        <w:spacing w:before="0"/>
        <w:ind w:left="851" w:hanging="284"/>
        <w:rPr>
          <w:rFonts w:ascii="Times New Roman" w:hAnsi="Times New Roman" w:cs="Times New Roman"/>
          <w:szCs w:val="24"/>
        </w:rPr>
      </w:pPr>
      <w:r w:rsidRPr="0083169B">
        <w:rPr>
          <w:rFonts w:ascii="Times New Roman" w:hAnsi="Times New Roman" w:cs="Times New Roman"/>
          <w:szCs w:val="24"/>
        </w:rPr>
        <w:lastRenderedPageBreak/>
        <w:t>–</w:t>
      </w:r>
      <w:r w:rsidRPr="0083169B">
        <w:rPr>
          <w:rFonts w:ascii="Times New Roman" w:hAnsi="Times New Roman" w:cs="Times New Roman"/>
          <w:szCs w:val="24"/>
        </w:rPr>
        <w:tab/>
        <w:t>pkt</w:t>
      </w:r>
      <w:r w:rsidR="004355A0" w:rsidRPr="0083169B">
        <w:rPr>
          <w:rFonts w:ascii="Times New Roman" w:hAnsi="Times New Roman" w:cs="Times New Roman"/>
          <w:szCs w:val="24"/>
        </w:rPr>
        <w:t xml:space="preserve"> 10 (</w:t>
      </w:r>
      <w:r w:rsidR="004355A0" w:rsidRPr="0083169B">
        <w:rPr>
          <w:rFonts w:ascii="Times New Roman" w:hAnsi="Times New Roman" w:cs="Times New Roman"/>
          <w:i/>
          <w:iCs/>
          <w:szCs w:val="24"/>
        </w:rPr>
        <w:t>dodany nowy przepis</w:t>
      </w:r>
      <w:r w:rsidR="004355A0" w:rsidRPr="0083169B">
        <w:rPr>
          <w:rFonts w:ascii="Times New Roman" w:hAnsi="Times New Roman" w:cs="Times New Roman"/>
          <w:szCs w:val="24"/>
        </w:rPr>
        <w:t>) – p</w:t>
      </w:r>
      <w:r w:rsidR="004355A0" w:rsidRPr="00B123EE">
        <w:rPr>
          <w:rFonts w:ascii="Times New Roman" w:hAnsi="Times New Roman" w:cs="Times New Roman"/>
          <w:szCs w:val="24"/>
        </w:rPr>
        <w:t>roponowany wymóg ma znaczenie zarówno przy nadzorze nad sprawozdawczością w zakresie zrównoważonego rozwoju, jak i nad komitetami audytu (poziom średniorocznego zatrudnienia w przeliczeniu na pełne etaty to jeden z warunków dla określenia, czy rada nadzorcza może pełnić funkcje komitetu audytu). Przedmiotowy wymóg powinien dotyczyć wszystkich emitentów, niezależnie od stosowanych standardów rachunkowości, dlatego informacja na ten temat powinna stanowić część sprawozdania zarządu.</w:t>
      </w:r>
    </w:p>
    <w:p w14:paraId="30E586ED" w14:textId="5E2E5E9E" w:rsidR="004355A0" w:rsidRPr="0083169B" w:rsidRDefault="004355A0" w:rsidP="004355A0">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d)</w:t>
      </w:r>
      <w:r w:rsidRPr="0083169B">
        <w:rPr>
          <w:rFonts w:ascii="Times New Roman" w:hAnsi="Times New Roman" w:cs="Times New Roman"/>
          <w:szCs w:val="24"/>
        </w:rPr>
        <w:tab/>
        <w:t>ust. 8 (</w:t>
      </w:r>
      <w:r w:rsidRPr="0083169B">
        <w:rPr>
          <w:rFonts w:ascii="Times New Roman" w:hAnsi="Times New Roman" w:cs="Times New Roman"/>
          <w:i/>
          <w:iCs/>
          <w:szCs w:val="24"/>
        </w:rPr>
        <w:t>ust. 7 w rozporządzeniu obowiązującym</w:t>
      </w:r>
      <w:r w:rsidRPr="0083169B">
        <w:rPr>
          <w:rFonts w:ascii="Times New Roman" w:hAnsi="Times New Roman" w:cs="Times New Roman"/>
          <w:szCs w:val="24"/>
        </w:rPr>
        <w:t>):</w:t>
      </w:r>
    </w:p>
    <w:p w14:paraId="49B5E58A" w14:textId="18B90872" w:rsidR="0056781E" w:rsidRPr="0083169B" w:rsidRDefault="004355A0" w:rsidP="004355A0">
      <w:pPr>
        <w:pStyle w:val="ARTartustawynprozporzdzenia"/>
        <w:tabs>
          <w:tab w:val="left" w:pos="397"/>
          <w:tab w:val="left" w:pos="794"/>
          <w:tab w:val="left" w:pos="1805"/>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3 – p</w:t>
      </w:r>
      <w:r w:rsidRPr="00B123EE">
        <w:rPr>
          <w:rFonts w:ascii="Times New Roman" w:hAnsi="Times New Roman" w:cs="Times New Roman"/>
          <w:szCs w:val="24"/>
        </w:rPr>
        <w:t>raktyka nadzorcza wskazuje na niepoprawne wypełnianie obowiązków przez emitentów na podstawie dotychczasowego brzmienia przepisu. Zdarza się, że spółki podają informację z kim zawarły umowę bez podawania żadnych dodatkowych informacji. Konieczne jest zapewnienie jednolitego podejścia emitentów do zakresu przekazywanych informacji oraz informowania uczestników rynku również o wypowiedzeniu umów znaczących dla działalności emitenta</w:t>
      </w:r>
      <w:r w:rsidRPr="0083169B">
        <w:rPr>
          <w:rFonts w:ascii="Times New Roman" w:hAnsi="Times New Roman" w:cs="Times New Roman"/>
          <w:szCs w:val="24"/>
        </w:rPr>
        <w:t>,</w:t>
      </w:r>
    </w:p>
    <w:p w14:paraId="746EA416" w14:textId="3DD4B2FB" w:rsidR="0056781E" w:rsidRPr="0083169B" w:rsidRDefault="004355A0" w:rsidP="00F461B8">
      <w:pPr>
        <w:pStyle w:val="ARTartustawynprozporzdzenia"/>
        <w:tabs>
          <w:tab w:val="left" w:pos="397"/>
          <w:tab w:val="left" w:pos="794"/>
          <w:tab w:val="left" w:pos="1805"/>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pkt 6 – </w:t>
      </w:r>
      <w:r w:rsidR="00F461B8" w:rsidRPr="0083169B">
        <w:rPr>
          <w:rFonts w:ascii="Times New Roman" w:hAnsi="Times New Roman" w:cs="Times New Roman"/>
          <w:szCs w:val="24"/>
        </w:rPr>
        <w:t>z</w:t>
      </w:r>
      <w:r w:rsidRPr="00B123EE">
        <w:rPr>
          <w:rFonts w:ascii="Times New Roman" w:hAnsi="Times New Roman" w:cs="Times New Roman"/>
          <w:szCs w:val="24"/>
        </w:rPr>
        <w:t xml:space="preserve">miana </w:t>
      </w:r>
      <w:r w:rsidR="00F461B8" w:rsidRPr="0083169B">
        <w:rPr>
          <w:rFonts w:ascii="Times New Roman" w:hAnsi="Times New Roman" w:cs="Times New Roman"/>
          <w:szCs w:val="24"/>
        </w:rPr>
        <w:t xml:space="preserve">brzmienia przepisu </w:t>
      </w:r>
      <w:r w:rsidRPr="00B123EE">
        <w:rPr>
          <w:rFonts w:ascii="Times New Roman" w:hAnsi="Times New Roman" w:cs="Times New Roman"/>
          <w:szCs w:val="24"/>
        </w:rPr>
        <w:t>ma na celu zapewnienie uczestnikom rynku dostępu do informacji istotnych dla oceny sytuacji majątkowej, finansowej i wyników emitenta</w:t>
      </w:r>
      <w:r w:rsidR="00F461B8" w:rsidRPr="0083169B">
        <w:rPr>
          <w:rFonts w:ascii="Times New Roman" w:hAnsi="Times New Roman" w:cs="Times New Roman"/>
          <w:szCs w:val="24"/>
        </w:rPr>
        <w:t>,</w:t>
      </w:r>
    </w:p>
    <w:p w14:paraId="4CF940DA" w14:textId="11ADCB95" w:rsidR="0056781E" w:rsidRPr="0083169B" w:rsidRDefault="00F461B8" w:rsidP="00F461B8">
      <w:pPr>
        <w:pStyle w:val="ARTartustawynprozporzdzenia"/>
        <w:tabs>
          <w:tab w:val="left" w:pos="397"/>
          <w:tab w:val="left" w:pos="794"/>
          <w:tab w:val="left" w:pos="1805"/>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9 – p</w:t>
      </w:r>
      <w:r w:rsidRPr="00B123EE">
        <w:rPr>
          <w:rFonts w:ascii="Times New Roman" w:hAnsi="Times New Roman" w:cs="Times New Roman"/>
          <w:szCs w:val="24"/>
        </w:rPr>
        <w:t>ropozycja ma na celu doprecyzowanie dotychczasowego przepisu. Obecne brzmienie przepisu ogranicza obowiązek ujawnień do emisji przeprowadzonych tylko w danym roku obrotowym, tymczasem wykorzystanie środków uzyskanych z emisji nie musi nastąpić w roku obrotowym, w którym miała miejsce emisja (np. gdy emisja dokonywana jest pod koniec roku obrotowego), ale również w kolejnych latach obrotowych</w:t>
      </w:r>
      <w:r w:rsidR="000957B2" w:rsidRPr="0083169B">
        <w:rPr>
          <w:rFonts w:ascii="Times New Roman" w:hAnsi="Times New Roman" w:cs="Times New Roman"/>
          <w:szCs w:val="24"/>
        </w:rPr>
        <w:t>,</w:t>
      </w:r>
    </w:p>
    <w:p w14:paraId="42097E21" w14:textId="568D115A" w:rsidR="000957B2" w:rsidRPr="0083169B" w:rsidRDefault="000957B2" w:rsidP="000957B2">
      <w:pPr>
        <w:pStyle w:val="ARTartustawynprozporzdzenia"/>
        <w:tabs>
          <w:tab w:val="left" w:pos="397"/>
          <w:tab w:val="left" w:pos="794"/>
          <w:tab w:val="left" w:pos="1805"/>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11 – p</w:t>
      </w:r>
      <w:r w:rsidRPr="00B123EE">
        <w:rPr>
          <w:rFonts w:ascii="Times New Roman" w:hAnsi="Times New Roman" w:cs="Times New Roman"/>
          <w:szCs w:val="24"/>
        </w:rPr>
        <w:t xml:space="preserve">ropozycja jest konsekwencją </w:t>
      </w:r>
      <w:r w:rsidRPr="0083169B">
        <w:rPr>
          <w:rFonts w:ascii="Times New Roman" w:hAnsi="Times New Roman" w:cs="Times New Roman"/>
          <w:szCs w:val="24"/>
        </w:rPr>
        <w:t>zmiany przewidzianej w § 67 ust. 8 pkt 12 projektowanego rozporządzenia</w:t>
      </w:r>
      <w:r w:rsidRPr="00B123EE">
        <w:rPr>
          <w:rFonts w:ascii="Times New Roman" w:hAnsi="Times New Roman" w:cs="Times New Roman"/>
          <w:szCs w:val="24"/>
        </w:rPr>
        <w:t>. Konieczne jest zapewnieni</w:t>
      </w:r>
      <w:r w:rsidRPr="0083169B">
        <w:rPr>
          <w:rFonts w:ascii="Times New Roman" w:hAnsi="Times New Roman" w:cs="Times New Roman"/>
          <w:szCs w:val="24"/>
        </w:rPr>
        <w:t>e</w:t>
      </w:r>
      <w:r w:rsidRPr="00B123EE">
        <w:rPr>
          <w:rFonts w:ascii="Times New Roman" w:hAnsi="Times New Roman" w:cs="Times New Roman"/>
          <w:szCs w:val="24"/>
        </w:rPr>
        <w:t xml:space="preserve"> ujawniania informacji o opóźnieniach w regulowaniu zobowiązań przez emitentów. Informacje te są istotne dla uczestnik</w:t>
      </w:r>
      <w:r w:rsidR="003D1246">
        <w:rPr>
          <w:rFonts w:ascii="Times New Roman" w:hAnsi="Times New Roman" w:cs="Times New Roman"/>
          <w:szCs w:val="24"/>
        </w:rPr>
        <w:t>ów</w:t>
      </w:r>
      <w:r w:rsidRPr="00B123EE">
        <w:rPr>
          <w:rFonts w:ascii="Times New Roman" w:hAnsi="Times New Roman" w:cs="Times New Roman"/>
          <w:szCs w:val="24"/>
        </w:rPr>
        <w:t xml:space="preserve"> rynku, bowiem często opóźnienia w płatnościach są pierwszym sygnałem problemów z płynnością. Jeżeli emitent identyfikuje takie opóźnienia, to powinien je ujawnić i ocenić w kontekście zagrożeń dla jego płynności</w:t>
      </w:r>
      <w:r w:rsidRPr="0083169B">
        <w:rPr>
          <w:rFonts w:ascii="Times New Roman" w:hAnsi="Times New Roman" w:cs="Times New Roman"/>
          <w:szCs w:val="24"/>
        </w:rPr>
        <w:t>,</w:t>
      </w:r>
    </w:p>
    <w:p w14:paraId="7304B10F" w14:textId="65EB5A84" w:rsidR="000957B2" w:rsidRPr="0083169B" w:rsidRDefault="000957B2" w:rsidP="00B00339">
      <w:pPr>
        <w:pStyle w:val="ARTartustawynprozporzdzenia"/>
        <w:tabs>
          <w:tab w:val="left" w:pos="397"/>
          <w:tab w:val="left" w:pos="794"/>
          <w:tab w:val="left" w:pos="1805"/>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pkt 12 – </w:t>
      </w:r>
      <w:bookmarkStart w:id="16" w:name="_Hlk181096489"/>
      <w:r w:rsidR="001C3FDC" w:rsidRPr="0083169B">
        <w:rPr>
          <w:rFonts w:ascii="Times New Roman" w:hAnsi="Times New Roman" w:cs="Times New Roman"/>
          <w:szCs w:val="24"/>
        </w:rPr>
        <w:t>p</w:t>
      </w:r>
      <w:r w:rsidRPr="0083169B">
        <w:rPr>
          <w:rFonts w:ascii="Times New Roman" w:hAnsi="Times New Roman" w:cs="Times New Roman"/>
          <w:szCs w:val="24"/>
        </w:rPr>
        <w:t>raktyka nadzorcza wskazuje, że doprecyzowanie przepisu jest niezbędne ze względu na niepoprawne wypełnianie obowiązku przez emitentów. Zmiana przepisu zapewni jednolite podejście emitentów do sposobu przekazywania informacji. Niektórzy emitenci podają tylko informacje o inwestycjach realizowanych w danym roku obrotowym, inni wskazują wyłącznie plany inwestycyjn</w:t>
      </w:r>
      <w:r w:rsidR="008B549C">
        <w:rPr>
          <w:rFonts w:ascii="Times New Roman" w:hAnsi="Times New Roman" w:cs="Times New Roman"/>
          <w:szCs w:val="24"/>
        </w:rPr>
        <w:t>e</w:t>
      </w:r>
      <w:r w:rsidRPr="0083169B">
        <w:rPr>
          <w:rFonts w:ascii="Times New Roman" w:hAnsi="Times New Roman" w:cs="Times New Roman"/>
          <w:szCs w:val="24"/>
        </w:rPr>
        <w:t xml:space="preserve"> na następny rok. </w:t>
      </w:r>
      <w:r w:rsidRPr="0083169B">
        <w:rPr>
          <w:rFonts w:ascii="Times New Roman" w:hAnsi="Times New Roman" w:cs="Times New Roman"/>
          <w:szCs w:val="24"/>
        </w:rPr>
        <w:lastRenderedPageBreak/>
        <w:t>Ponadto część spółek ogranicza się jedynie do stwierdzenia, że mają wystarczające środki na planowane inwestycje. Zmiana przepisu poprzez wskazanie, jakie konkretnie informacje powinny być przekazywane przez emitentów, zapewni jednolite podejście do sposobu przekazywania informacji</w:t>
      </w:r>
      <w:bookmarkEnd w:id="16"/>
      <w:r w:rsidR="00B00339" w:rsidRPr="0083169B">
        <w:rPr>
          <w:rFonts w:ascii="Times New Roman" w:hAnsi="Times New Roman" w:cs="Times New Roman"/>
          <w:szCs w:val="24"/>
        </w:rPr>
        <w:t>,</w:t>
      </w:r>
    </w:p>
    <w:p w14:paraId="271AF6D4" w14:textId="4DD8D117" w:rsidR="000957B2" w:rsidRPr="0083169B" w:rsidRDefault="00B00339" w:rsidP="00405D9E">
      <w:pPr>
        <w:pStyle w:val="ARTartustawynprozporzdzenia"/>
        <w:tabs>
          <w:tab w:val="left" w:pos="397"/>
          <w:tab w:val="left" w:pos="794"/>
          <w:tab w:val="left" w:pos="1805"/>
          <w:tab w:val="left" w:pos="5671"/>
          <w:tab w:val="left" w:pos="6441"/>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 xml:space="preserve">usunięcie dotychczasowego pkt 13 – </w:t>
      </w:r>
      <w:r w:rsidR="001D3895" w:rsidRPr="0083169B">
        <w:rPr>
          <w:rFonts w:ascii="Times New Roman" w:hAnsi="Times New Roman" w:cs="Times New Roman"/>
          <w:szCs w:val="24"/>
        </w:rPr>
        <w:t>w</w:t>
      </w:r>
      <w:r w:rsidRPr="0083169B">
        <w:rPr>
          <w:rFonts w:ascii="Times New Roman" w:hAnsi="Times New Roman" w:cs="Times New Roman"/>
          <w:szCs w:val="24"/>
        </w:rPr>
        <w:t>ymóg określony w § 7</w:t>
      </w:r>
      <w:r w:rsidR="001D3895" w:rsidRPr="0083169B">
        <w:rPr>
          <w:rFonts w:ascii="Times New Roman" w:hAnsi="Times New Roman" w:cs="Times New Roman"/>
          <w:szCs w:val="24"/>
        </w:rPr>
        <w:t>0</w:t>
      </w:r>
      <w:r w:rsidRPr="0083169B">
        <w:rPr>
          <w:rFonts w:ascii="Times New Roman" w:hAnsi="Times New Roman" w:cs="Times New Roman"/>
          <w:szCs w:val="24"/>
        </w:rPr>
        <w:t xml:space="preserve"> ust. 7 pkt 13 </w:t>
      </w:r>
      <w:r w:rsidR="001D3895" w:rsidRPr="0083169B">
        <w:rPr>
          <w:rFonts w:ascii="Times New Roman" w:hAnsi="Times New Roman" w:cs="Times New Roman"/>
          <w:szCs w:val="24"/>
        </w:rPr>
        <w:t>rozporządzenia obowiązującego</w:t>
      </w:r>
      <w:r w:rsidRPr="0083169B">
        <w:rPr>
          <w:rFonts w:ascii="Times New Roman" w:hAnsi="Times New Roman" w:cs="Times New Roman"/>
          <w:szCs w:val="24"/>
        </w:rPr>
        <w:t xml:space="preserve"> odnosi się</w:t>
      </w:r>
      <w:r w:rsidR="008B549C">
        <w:rPr>
          <w:rFonts w:ascii="Times New Roman" w:hAnsi="Times New Roman" w:cs="Times New Roman"/>
          <w:szCs w:val="24"/>
        </w:rPr>
        <w:t xml:space="preserve"> do</w:t>
      </w:r>
      <w:r w:rsidRPr="0083169B">
        <w:rPr>
          <w:rFonts w:ascii="Times New Roman" w:hAnsi="Times New Roman" w:cs="Times New Roman"/>
          <w:szCs w:val="24"/>
        </w:rPr>
        <w:t xml:space="preserve"> emitentów prowadzących działalność wytwórczą, budowlaną, handlową lub usługową. Podobny wymóg ujawnień w sprawozdaniu z działalności zawarty jest już w § 70 ust. 6 pkt 2 rozporządzenia </w:t>
      </w:r>
      <w:r w:rsidR="001D3895" w:rsidRPr="0083169B">
        <w:rPr>
          <w:rFonts w:ascii="Times New Roman" w:hAnsi="Times New Roman" w:cs="Times New Roman"/>
          <w:szCs w:val="24"/>
        </w:rPr>
        <w:t xml:space="preserve">obowiązującego </w:t>
      </w:r>
      <w:r w:rsidRPr="0083169B">
        <w:rPr>
          <w:rFonts w:ascii="Times New Roman" w:hAnsi="Times New Roman" w:cs="Times New Roman"/>
          <w:szCs w:val="24"/>
        </w:rPr>
        <w:t>i dotyczy wszystkich emitentów. Zgodnie z aktualnym brzmieniem tego przepisu, w przypadku wszystkich emitentów sprawozdanie z działalności emitenta zawiera w szczególności „</w:t>
      </w:r>
      <w:r w:rsidRPr="0083169B">
        <w:rPr>
          <w:rFonts w:ascii="Times New Roman" w:hAnsi="Times New Roman" w:cs="Times New Roman"/>
          <w:i/>
          <w:iCs/>
          <w:szCs w:val="24"/>
        </w:rPr>
        <w:t>omówienie podstawowych wielkości ekonomiczno-finansowych ujawnionych w rocznym sprawozdaniu finansowym, w szczególności opis czynników i zdarzeń, w tym o nietypowym charakterze, mających znaczący wpływ na działalność emitenta i sprawozdanie finansowe, w tym na osiągnięte przez niego zyski lub poniesione straty w roku obrotowym”</w:t>
      </w:r>
      <w:r w:rsidRPr="0083169B">
        <w:rPr>
          <w:rFonts w:ascii="Times New Roman" w:hAnsi="Times New Roman" w:cs="Times New Roman"/>
          <w:szCs w:val="24"/>
        </w:rPr>
        <w:t>. Za rezygnacją z</w:t>
      </w:r>
      <w:r w:rsidR="00405D9E" w:rsidRPr="0083169B">
        <w:rPr>
          <w:rFonts w:ascii="Times New Roman" w:hAnsi="Times New Roman" w:cs="Times New Roman"/>
          <w:szCs w:val="24"/>
        </w:rPr>
        <w:t xml:space="preserve"> regulacji zawartej w przedmiotowym pkt 13</w:t>
      </w:r>
      <w:r w:rsidRPr="0083169B">
        <w:rPr>
          <w:rFonts w:ascii="Times New Roman" w:hAnsi="Times New Roman" w:cs="Times New Roman"/>
          <w:szCs w:val="24"/>
        </w:rPr>
        <w:t xml:space="preserve"> przemawia także </w:t>
      </w:r>
      <w:r w:rsidR="00405D9E" w:rsidRPr="0083169B">
        <w:rPr>
          <w:rFonts w:ascii="Times New Roman" w:hAnsi="Times New Roman" w:cs="Times New Roman"/>
          <w:szCs w:val="24"/>
        </w:rPr>
        <w:t>zaproponowana w projekcie</w:t>
      </w:r>
      <w:r w:rsidRPr="0083169B">
        <w:rPr>
          <w:rFonts w:ascii="Times New Roman" w:hAnsi="Times New Roman" w:cs="Times New Roman"/>
          <w:szCs w:val="24"/>
        </w:rPr>
        <w:t xml:space="preserve"> mod</w:t>
      </w:r>
      <w:r w:rsidR="00983577" w:rsidRPr="0083169B">
        <w:rPr>
          <w:rFonts w:ascii="Times New Roman" w:hAnsi="Times New Roman" w:cs="Times New Roman"/>
          <w:szCs w:val="24"/>
        </w:rPr>
        <w:t>y</w:t>
      </w:r>
      <w:r w:rsidRPr="0083169B">
        <w:rPr>
          <w:rFonts w:ascii="Times New Roman" w:hAnsi="Times New Roman" w:cs="Times New Roman"/>
          <w:szCs w:val="24"/>
        </w:rPr>
        <w:t>fikacj</w:t>
      </w:r>
      <w:r w:rsidR="00983577" w:rsidRPr="0083169B">
        <w:rPr>
          <w:rFonts w:ascii="Times New Roman" w:hAnsi="Times New Roman" w:cs="Times New Roman"/>
          <w:szCs w:val="24"/>
        </w:rPr>
        <w:t>a</w:t>
      </w:r>
      <w:r w:rsidRPr="0083169B">
        <w:rPr>
          <w:rFonts w:ascii="Times New Roman" w:hAnsi="Times New Roman" w:cs="Times New Roman"/>
          <w:szCs w:val="24"/>
        </w:rPr>
        <w:t xml:space="preserve"> przepisu § 70 ust. 6 pkt 2 </w:t>
      </w:r>
      <w:r w:rsidR="00983577" w:rsidRPr="0083169B">
        <w:rPr>
          <w:rFonts w:ascii="Times New Roman" w:hAnsi="Times New Roman" w:cs="Times New Roman"/>
          <w:szCs w:val="24"/>
        </w:rPr>
        <w:t xml:space="preserve">rozporządzenia obowiązującego (art. 71 ust. 7 pkt 2 </w:t>
      </w:r>
      <w:r w:rsidRPr="0083169B">
        <w:rPr>
          <w:rFonts w:ascii="Times New Roman" w:hAnsi="Times New Roman" w:cs="Times New Roman"/>
          <w:szCs w:val="24"/>
        </w:rPr>
        <w:t>projektowanego rozporządzenia</w:t>
      </w:r>
      <w:r w:rsidR="00983577" w:rsidRPr="0083169B">
        <w:rPr>
          <w:rFonts w:ascii="Times New Roman" w:hAnsi="Times New Roman" w:cs="Times New Roman"/>
          <w:szCs w:val="24"/>
        </w:rPr>
        <w:t>),</w:t>
      </w:r>
    </w:p>
    <w:p w14:paraId="2E2E2031" w14:textId="22D55F56" w:rsidR="000957B2" w:rsidRPr="0083169B" w:rsidRDefault="00983577" w:rsidP="00983577">
      <w:pPr>
        <w:pStyle w:val="ARTartustawynprozporzdzenia"/>
        <w:tabs>
          <w:tab w:val="left" w:pos="397"/>
          <w:tab w:val="left" w:pos="794"/>
          <w:tab w:val="left" w:pos="1805"/>
          <w:tab w:val="left" w:pos="5671"/>
          <w:tab w:val="left" w:pos="6441"/>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t>pkt 18 (</w:t>
      </w:r>
      <w:r w:rsidRPr="0083169B">
        <w:rPr>
          <w:rFonts w:ascii="Times New Roman" w:hAnsi="Times New Roman" w:cs="Times New Roman"/>
          <w:i/>
          <w:iCs/>
          <w:szCs w:val="24"/>
        </w:rPr>
        <w:t>dotychczasowy pkt 19</w:t>
      </w:r>
      <w:r w:rsidRPr="0083169B">
        <w:rPr>
          <w:rFonts w:ascii="Times New Roman" w:hAnsi="Times New Roman" w:cs="Times New Roman"/>
          <w:szCs w:val="24"/>
        </w:rPr>
        <w:t>) – praktyka nadzorcza wskazuje, że doprecyzowanie przepisu jest niezbędne dla zapewnienia jednolitego podejścia emitentów do sposobu przekazywania informacji. W związku z brakiem wskazania według stanu</w:t>
      </w:r>
      <w:r w:rsidR="00025CB2">
        <w:rPr>
          <w:rFonts w:ascii="Times New Roman" w:hAnsi="Times New Roman" w:cs="Times New Roman"/>
          <w:szCs w:val="24"/>
        </w:rPr>
        <w:t>,</w:t>
      </w:r>
      <w:r w:rsidRPr="0083169B">
        <w:rPr>
          <w:rFonts w:ascii="Times New Roman" w:hAnsi="Times New Roman" w:cs="Times New Roman"/>
          <w:szCs w:val="24"/>
        </w:rPr>
        <w:t xml:space="preserve"> na jaki dzień mają być podane dane, część emitentów przekazuje informacje według stanu na moment przekazania raportu, a inni – na dzień bilansowy. Zdarzają się również przypadki, gdy emitent nie wskazuje w ogóle według jakiego stanu (na jaki dzień) zostały przekazane dane. Stąd też konieczne jest wskazanie momentu, na który emitenci powinni przekazywać przedmiotowe informacje,</w:t>
      </w:r>
    </w:p>
    <w:p w14:paraId="231CA0E0" w14:textId="77777777" w:rsidR="00D4714F" w:rsidRPr="0083169B" w:rsidRDefault="00983577" w:rsidP="00055475">
      <w:pPr>
        <w:pStyle w:val="ARTartustawynprozporzdzenia"/>
        <w:tabs>
          <w:tab w:val="left" w:pos="397"/>
          <w:tab w:val="left" w:pos="794"/>
          <w:tab w:val="left" w:pos="1805"/>
          <w:tab w:val="left" w:pos="5671"/>
          <w:tab w:val="left" w:pos="6441"/>
        </w:tabs>
        <w:spacing w:before="0"/>
        <w:ind w:left="851" w:hanging="284"/>
        <w:rPr>
          <w:rFonts w:ascii="Times New Roman" w:hAnsi="Times New Roman" w:cs="Times New Roman"/>
          <w:szCs w:val="24"/>
        </w:rPr>
      </w:pPr>
      <w:r w:rsidRPr="0083169B">
        <w:rPr>
          <w:rFonts w:ascii="Times New Roman" w:hAnsi="Times New Roman" w:cs="Times New Roman"/>
          <w:szCs w:val="24"/>
        </w:rPr>
        <w:t>–</w:t>
      </w:r>
      <w:r w:rsidRPr="0083169B">
        <w:rPr>
          <w:rFonts w:ascii="Times New Roman" w:hAnsi="Times New Roman" w:cs="Times New Roman"/>
          <w:szCs w:val="24"/>
        </w:rPr>
        <w:tab/>
      </w:r>
      <w:r w:rsidRPr="00B123EE">
        <w:rPr>
          <w:rFonts w:ascii="Times New Roman" w:hAnsi="Times New Roman" w:cs="Times New Roman"/>
          <w:szCs w:val="24"/>
        </w:rPr>
        <w:t>pkt 2</w:t>
      </w:r>
      <w:r w:rsidR="00055475" w:rsidRPr="00B123EE">
        <w:rPr>
          <w:rFonts w:ascii="Times New Roman" w:hAnsi="Times New Roman" w:cs="Times New Roman"/>
          <w:szCs w:val="24"/>
        </w:rPr>
        <w:t>1</w:t>
      </w:r>
      <w:r w:rsidRPr="00B123EE">
        <w:rPr>
          <w:rFonts w:ascii="Times New Roman" w:hAnsi="Times New Roman" w:cs="Times New Roman"/>
          <w:szCs w:val="24"/>
        </w:rPr>
        <w:t xml:space="preserve"> </w:t>
      </w:r>
      <w:r w:rsidR="00055475" w:rsidRPr="0083169B">
        <w:rPr>
          <w:rFonts w:ascii="Times New Roman" w:hAnsi="Times New Roman" w:cs="Times New Roman"/>
          <w:szCs w:val="24"/>
        </w:rPr>
        <w:t>(</w:t>
      </w:r>
      <w:r w:rsidR="00055475" w:rsidRPr="0083169B">
        <w:rPr>
          <w:rFonts w:ascii="Times New Roman" w:hAnsi="Times New Roman" w:cs="Times New Roman"/>
          <w:i/>
          <w:iCs/>
          <w:szCs w:val="24"/>
        </w:rPr>
        <w:t>dotychczasowy pkt 22</w:t>
      </w:r>
      <w:r w:rsidR="00055475" w:rsidRPr="0083169B">
        <w:rPr>
          <w:rFonts w:ascii="Times New Roman" w:hAnsi="Times New Roman" w:cs="Times New Roman"/>
          <w:szCs w:val="24"/>
        </w:rPr>
        <w:t>)</w:t>
      </w:r>
      <w:r w:rsidR="00D4714F" w:rsidRPr="0083169B">
        <w:rPr>
          <w:rFonts w:ascii="Times New Roman" w:hAnsi="Times New Roman" w:cs="Times New Roman"/>
          <w:szCs w:val="24"/>
        </w:rPr>
        <w:t>:</w:t>
      </w:r>
    </w:p>
    <w:p w14:paraId="1CDC9DE8" w14:textId="29BEC21E" w:rsidR="000957B2" w:rsidRPr="0083169B" w:rsidRDefault="00D4714F" w:rsidP="00B123EE">
      <w:pPr>
        <w:pStyle w:val="ARTartustawynprozporzdzenia"/>
        <w:tabs>
          <w:tab w:val="left" w:pos="397"/>
          <w:tab w:val="left" w:pos="1805"/>
          <w:tab w:val="left" w:pos="5671"/>
          <w:tab w:val="left" w:pos="6441"/>
        </w:tabs>
        <w:spacing w:before="0"/>
        <w:ind w:left="1135" w:hanging="284"/>
        <w:rPr>
          <w:rFonts w:ascii="Times New Roman" w:hAnsi="Times New Roman" w:cs="Times New Roman"/>
          <w:szCs w:val="24"/>
        </w:rPr>
      </w:pPr>
      <w:r w:rsidRPr="0083169B">
        <w:rPr>
          <w:rFonts w:ascii="Times New Roman" w:hAnsi="Times New Roman" w:cs="Times New Roman"/>
          <w:szCs w:val="24"/>
        </w:rPr>
        <w:t xml:space="preserve">– – </w:t>
      </w:r>
      <w:r w:rsidR="00983577" w:rsidRPr="00B123EE">
        <w:rPr>
          <w:rFonts w:ascii="Times New Roman" w:hAnsi="Times New Roman" w:cs="Times New Roman"/>
          <w:szCs w:val="24"/>
        </w:rPr>
        <w:t>lit. a</w:t>
      </w:r>
      <w:r w:rsidR="00055475" w:rsidRPr="00B123EE">
        <w:rPr>
          <w:rFonts w:ascii="Times New Roman" w:hAnsi="Times New Roman" w:cs="Times New Roman"/>
          <w:szCs w:val="24"/>
        </w:rPr>
        <w:t xml:space="preserve"> – </w:t>
      </w:r>
      <w:r w:rsidR="00055475" w:rsidRPr="0083169B">
        <w:rPr>
          <w:rFonts w:ascii="Times New Roman" w:hAnsi="Times New Roman" w:cs="Times New Roman"/>
          <w:szCs w:val="24"/>
        </w:rPr>
        <w:t xml:space="preserve">proponowana zmiana </w:t>
      </w:r>
      <w:r w:rsidR="00055475" w:rsidRPr="00B123EE">
        <w:rPr>
          <w:rFonts w:ascii="Times New Roman" w:hAnsi="Times New Roman" w:cs="Times New Roman"/>
          <w:szCs w:val="24"/>
        </w:rPr>
        <w:t xml:space="preserve">ma na celu doprecyzowanie przepisu, ponieważ praktyka nadzorcza wskazuje, że wymóg podania okresu umowy nie zawsze jest realizowany odpowiednio. Niektórzy emitenci wskazują tylko na dany rok, którego dotyczy raport roczny (mimo, że umowa zawarta została </w:t>
      </w:r>
      <w:r w:rsidR="008B549C">
        <w:rPr>
          <w:rFonts w:ascii="Times New Roman" w:hAnsi="Times New Roman" w:cs="Times New Roman"/>
          <w:szCs w:val="24"/>
        </w:rPr>
        <w:t xml:space="preserve">przykładowo </w:t>
      </w:r>
      <w:r w:rsidR="00055475" w:rsidRPr="00B123EE">
        <w:rPr>
          <w:rFonts w:ascii="Times New Roman" w:hAnsi="Times New Roman" w:cs="Times New Roman"/>
          <w:szCs w:val="24"/>
        </w:rPr>
        <w:t>na 2 lata). Z punkt</w:t>
      </w:r>
      <w:r w:rsidR="008B549C">
        <w:rPr>
          <w:rFonts w:ascii="Times New Roman" w:hAnsi="Times New Roman" w:cs="Times New Roman"/>
          <w:szCs w:val="24"/>
        </w:rPr>
        <w:t>u</w:t>
      </w:r>
      <w:r w:rsidR="00055475" w:rsidRPr="00B123EE">
        <w:rPr>
          <w:rFonts w:ascii="Times New Roman" w:hAnsi="Times New Roman" w:cs="Times New Roman"/>
          <w:szCs w:val="24"/>
        </w:rPr>
        <w:t xml:space="preserve"> widzenia nadzoru może to utrudnić analizę, czy nie został naruszony art. 66 ust. 5 ustawy o rachunkowości</w:t>
      </w:r>
      <w:r w:rsidR="00055475" w:rsidRPr="0083169B">
        <w:rPr>
          <w:rFonts w:ascii="Times New Roman" w:hAnsi="Times New Roman" w:cs="Times New Roman"/>
          <w:szCs w:val="24"/>
        </w:rPr>
        <w:t>,</w:t>
      </w:r>
    </w:p>
    <w:p w14:paraId="4F4F082A" w14:textId="0B1D911E" w:rsidR="000957B2" w:rsidRPr="0083169B" w:rsidRDefault="00D4714F" w:rsidP="00B123EE">
      <w:pPr>
        <w:pStyle w:val="ARTartustawynprozporzdzenia"/>
        <w:tabs>
          <w:tab w:val="left" w:pos="397"/>
          <w:tab w:val="left" w:pos="1805"/>
          <w:tab w:val="left" w:pos="5671"/>
          <w:tab w:val="left" w:pos="6441"/>
        </w:tabs>
        <w:spacing w:before="0"/>
        <w:ind w:left="1135" w:hanging="284"/>
        <w:rPr>
          <w:rFonts w:ascii="Times New Roman" w:hAnsi="Times New Roman" w:cs="Times New Roman"/>
          <w:szCs w:val="24"/>
        </w:rPr>
      </w:pPr>
      <w:r w:rsidRPr="0083169B">
        <w:rPr>
          <w:rFonts w:ascii="Times New Roman" w:hAnsi="Times New Roman" w:cs="Times New Roman"/>
          <w:szCs w:val="24"/>
        </w:rPr>
        <w:lastRenderedPageBreak/>
        <w:t>– – lit. d – potrzeba zmiany tego przepisu wynika z p</w:t>
      </w:r>
      <w:r w:rsidRPr="00B123EE">
        <w:rPr>
          <w:rFonts w:ascii="Times New Roman" w:hAnsi="Times New Roman" w:cs="Times New Roman"/>
          <w:szCs w:val="24"/>
        </w:rPr>
        <w:t>raktyki nadzorczej wskazującej na niepoprawne wypełnianie obowiązków przez emitentów na podstawie dotychczasowego przepisu. Niektóre spółki podają łącznie wynagrodzenie za przegląd i inne usługi atestacyjne, a nie oddzielnie za każdą z tych usług.</w:t>
      </w:r>
    </w:p>
    <w:p w14:paraId="7A33E131" w14:textId="51B3099D" w:rsidR="0022618C" w:rsidRPr="0083169B" w:rsidRDefault="001B6AEF" w:rsidP="0022618C">
      <w:pPr>
        <w:pStyle w:val="ARTartustawynprozporzdzenia"/>
        <w:tabs>
          <w:tab w:val="left" w:pos="397"/>
          <w:tab w:val="left" w:pos="879"/>
        </w:tabs>
        <w:spacing w:before="0"/>
        <w:ind w:left="284" w:hanging="284"/>
        <w:rPr>
          <w:rFonts w:ascii="Times New Roman" w:hAnsi="Times New Roman" w:cs="Times New Roman"/>
          <w:szCs w:val="24"/>
        </w:rPr>
      </w:pPr>
      <w:r>
        <w:rPr>
          <w:rFonts w:ascii="Times New Roman" w:hAnsi="Times New Roman" w:cs="Times New Roman"/>
          <w:szCs w:val="24"/>
        </w:rPr>
        <w:t>19)</w:t>
      </w:r>
      <w:r w:rsidR="0022618C" w:rsidRPr="0083169B">
        <w:rPr>
          <w:rFonts w:ascii="Times New Roman" w:hAnsi="Times New Roman" w:cs="Times New Roman"/>
          <w:szCs w:val="24"/>
        </w:rPr>
        <w:tab/>
        <w:t>§ 72 (</w:t>
      </w:r>
      <w:r w:rsidR="0022618C" w:rsidRPr="0083169B">
        <w:rPr>
          <w:rFonts w:ascii="Times New Roman" w:hAnsi="Times New Roman" w:cs="Times New Roman"/>
          <w:i/>
          <w:iCs/>
          <w:szCs w:val="24"/>
        </w:rPr>
        <w:t>§ 71 w rozporządzeniu obowiązującym</w:t>
      </w:r>
      <w:r w:rsidR="0022618C" w:rsidRPr="0083169B">
        <w:rPr>
          <w:rFonts w:ascii="Times New Roman" w:hAnsi="Times New Roman" w:cs="Times New Roman"/>
          <w:szCs w:val="24"/>
        </w:rPr>
        <w:t>)</w:t>
      </w:r>
      <w:r w:rsidR="00CB18FA" w:rsidRPr="0083169B">
        <w:rPr>
          <w:rFonts w:ascii="Times New Roman" w:hAnsi="Times New Roman" w:cs="Times New Roman"/>
          <w:szCs w:val="24"/>
        </w:rPr>
        <w:t xml:space="preserve"> ust. 1</w:t>
      </w:r>
      <w:r w:rsidR="0022618C" w:rsidRPr="0083169B">
        <w:rPr>
          <w:rFonts w:ascii="Times New Roman" w:hAnsi="Times New Roman" w:cs="Times New Roman"/>
          <w:szCs w:val="24"/>
        </w:rPr>
        <w:t>:</w:t>
      </w:r>
    </w:p>
    <w:p w14:paraId="1EE55152" w14:textId="12935A94" w:rsidR="0022618C" w:rsidRPr="0083169B" w:rsidRDefault="0022618C" w:rsidP="00CB18FA">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a)</w:t>
      </w:r>
      <w:r w:rsidRPr="0083169B">
        <w:rPr>
          <w:rFonts w:ascii="Times New Roman" w:hAnsi="Times New Roman" w:cs="Times New Roman"/>
          <w:szCs w:val="24"/>
        </w:rPr>
        <w:tab/>
        <w:t>pkt 2 – proponowana z</w:t>
      </w:r>
      <w:r w:rsidRPr="00B123EE">
        <w:rPr>
          <w:rFonts w:ascii="Times New Roman" w:hAnsi="Times New Roman" w:cs="Times New Roman"/>
          <w:szCs w:val="24"/>
        </w:rPr>
        <w:t>miana ma na celu uwzględnienie obecnej praktyki wśród emitentów polegającej na tym, że emitenci zamieszczają w sekcji raportu „</w:t>
      </w:r>
      <w:r w:rsidRPr="00B123EE">
        <w:rPr>
          <w:rFonts w:ascii="Times New Roman" w:hAnsi="Times New Roman" w:cs="Times New Roman"/>
          <w:i/>
          <w:szCs w:val="24"/>
        </w:rPr>
        <w:t>wybrane dane finansowe</w:t>
      </w:r>
      <w:r w:rsidRPr="00B123EE">
        <w:rPr>
          <w:rFonts w:ascii="Times New Roman" w:hAnsi="Times New Roman" w:cs="Times New Roman"/>
          <w:szCs w:val="24"/>
        </w:rPr>
        <w:t>” nie tylko dane finansowe, ale również inne niefinansowe informacje, np. o liczbie akcji, które ułatwiają odbiorcom odczyt np. niektórych wskaźników.</w:t>
      </w:r>
      <w:r w:rsidRPr="0083169B">
        <w:rPr>
          <w:rFonts w:ascii="Times New Roman" w:hAnsi="Times New Roman" w:cs="Times New Roman"/>
          <w:szCs w:val="24"/>
        </w:rPr>
        <w:t xml:space="preserve"> </w:t>
      </w:r>
      <w:r w:rsidRPr="00B123EE">
        <w:rPr>
          <w:rFonts w:ascii="Times New Roman" w:hAnsi="Times New Roman" w:cs="Times New Roman"/>
          <w:szCs w:val="24"/>
        </w:rPr>
        <w:t>Propozycja jest podyktowana również potrzebą pozyskiwania od emitentów informacji o wielkości kryteriów (są nimi dane finansowe, jak i niefinansowe), których spełnienie oznacza konieczność przekazania do K</w:t>
      </w:r>
      <w:r w:rsidRPr="0083169B">
        <w:rPr>
          <w:rFonts w:ascii="Times New Roman" w:hAnsi="Times New Roman" w:cs="Times New Roman"/>
          <w:szCs w:val="24"/>
        </w:rPr>
        <w:t xml:space="preserve">omisji </w:t>
      </w:r>
      <w:r w:rsidRPr="00B123EE">
        <w:rPr>
          <w:rFonts w:ascii="Times New Roman" w:hAnsi="Times New Roman" w:cs="Times New Roman"/>
          <w:szCs w:val="24"/>
        </w:rPr>
        <w:t>N</w:t>
      </w:r>
      <w:r w:rsidRPr="0083169B">
        <w:rPr>
          <w:rFonts w:ascii="Times New Roman" w:hAnsi="Times New Roman" w:cs="Times New Roman"/>
          <w:szCs w:val="24"/>
        </w:rPr>
        <w:t xml:space="preserve">adzoru </w:t>
      </w:r>
      <w:r w:rsidRPr="00B123EE">
        <w:rPr>
          <w:rFonts w:ascii="Times New Roman" w:hAnsi="Times New Roman" w:cs="Times New Roman"/>
          <w:szCs w:val="24"/>
        </w:rPr>
        <w:t>F</w:t>
      </w:r>
      <w:r w:rsidRPr="0083169B">
        <w:rPr>
          <w:rFonts w:ascii="Times New Roman" w:hAnsi="Times New Roman" w:cs="Times New Roman"/>
          <w:szCs w:val="24"/>
        </w:rPr>
        <w:t>inansowych</w:t>
      </w:r>
      <w:r w:rsidRPr="00B123EE">
        <w:rPr>
          <w:rFonts w:ascii="Times New Roman" w:hAnsi="Times New Roman" w:cs="Times New Roman"/>
          <w:szCs w:val="24"/>
        </w:rPr>
        <w:t xml:space="preserve"> określonych informacji. W chwili obecnej brak tych informacji utrudnia </w:t>
      </w:r>
      <w:r w:rsidRPr="0083169B">
        <w:rPr>
          <w:rFonts w:ascii="Times New Roman" w:hAnsi="Times New Roman" w:cs="Times New Roman"/>
          <w:szCs w:val="24"/>
        </w:rPr>
        <w:t>organowi nadzoru</w:t>
      </w:r>
      <w:r w:rsidRPr="00B123EE">
        <w:rPr>
          <w:rFonts w:ascii="Times New Roman" w:hAnsi="Times New Roman" w:cs="Times New Roman"/>
          <w:szCs w:val="24"/>
        </w:rPr>
        <w:t xml:space="preserve"> nadzór nad realizacją obowiązków sprawozdawczych oraz zautomatyzowanie procesu ich pozyskiwania. Są to dane potrzebne również instytucjom finansowym do celów ich własnej sprawozdawczości</w:t>
      </w:r>
      <w:r w:rsidRPr="0083169B">
        <w:rPr>
          <w:rFonts w:ascii="Times New Roman" w:hAnsi="Times New Roman" w:cs="Times New Roman"/>
          <w:szCs w:val="24"/>
        </w:rPr>
        <w:t>,</w:t>
      </w:r>
    </w:p>
    <w:p w14:paraId="56B28200" w14:textId="61F479B6" w:rsidR="0022618C" w:rsidRDefault="00CB18FA">
      <w:pPr>
        <w:pStyle w:val="ARTartustawynprozporzdzenia"/>
        <w:tabs>
          <w:tab w:val="left" w:pos="397"/>
          <w:tab w:val="left" w:pos="1223"/>
        </w:tabs>
        <w:spacing w:before="0"/>
        <w:ind w:left="567" w:hanging="284"/>
        <w:rPr>
          <w:rFonts w:ascii="Times New Roman" w:hAnsi="Times New Roman" w:cs="Times New Roman"/>
          <w:szCs w:val="24"/>
        </w:rPr>
      </w:pPr>
      <w:r w:rsidRPr="0083169B">
        <w:rPr>
          <w:rFonts w:ascii="Times New Roman" w:hAnsi="Times New Roman" w:cs="Times New Roman"/>
          <w:szCs w:val="24"/>
        </w:rPr>
        <w:t>b)</w:t>
      </w:r>
      <w:r w:rsidRPr="0083169B">
        <w:rPr>
          <w:rFonts w:ascii="Times New Roman" w:hAnsi="Times New Roman" w:cs="Times New Roman"/>
          <w:szCs w:val="24"/>
        </w:rPr>
        <w:tab/>
      </w:r>
      <w:r w:rsidR="0022618C" w:rsidRPr="0083169B">
        <w:rPr>
          <w:rFonts w:ascii="Times New Roman" w:hAnsi="Times New Roman" w:cs="Times New Roman"/>
          <w:szCs w:val="24"/>
        </w:rPr>
        <w:t xml:space="preserve">pkt 4 – proponowana zmiana wynika z braku </w:t>
      </w:r>
      <w:r w:rsidR="0022618C" w:rsidRPr="00B123EE">
        <w:rPr>
          <w:rFonts w:ascii="Times New Roman" w:hAnsi="Times New Roman" w:cs="Times New Roman"/>
          <w:szCs w:val="24"/>
        </w:rPr>
        <w:t>zasadności dla przedstawiania w sprawozdaniu z działalności informacji na temat zasad sporządzenia sprawozdania finansowego. Szczegółowe informacje na ten temat są wymagane w sprawozdaniu finansowym (na podstawie właściwych przepisów o sprawozdawczości finansowej emitentów), a dodatkowo ogólne zasady (standardy sporządzenia sprawozdań finansowych) są wskazane w sprawozdaniu z badania. Ponadto, wymóg wskazywania zasad sporządzania sprawozdania finansowego nie znajduje swojego odzwierciedlenia w szczegółowych przepisach dotyczących zawartości sprawozdania z działalności,</w:t>
      </w:r>
      <w:r w:rsidR="0022618C" w:rsidRPr="0083169B">
        <w:rPr>
          <w:rFonts w:ascii="Times New Roman" w:hAnsi="Times New Roman" w:cs="Times New Roman"/>
          <w:szCs w:val="24"/>
        </w:rPr>
        <w:t xml:space="preserve"> </w:t>
      </w:r>
      <w:r w:rsidR="0022618C" w:rsidRPr="00B123EE">
        <w:rPr>
          <w:rFonts w:ascii="Times New Roman" w:hAnsi="Times New Roman" w:cs="Times New Roman"/>
          <w:szCs w:val="24"/>
        </w:rPr>
        <w:t>tj. § 7</w:t>
      </w:r>
      <w:r w:rsidR="00777245" w:rsidRPr="0083169B">
        <w:rPr>
          <w:rFonts w:ascii="Times New Roman" w:hAnsi="Times New Roman" w:cs="Times New Roman"/>
          <w:szCs w:val="24"/>
        </w:rPr>
        <w:t>0</w:t>
      </w:r>
      <w:r w:rsidR="0022618C" w:rsidRPr="00B123EE">
        <w:rPr>
          <w:rFonts w:ascii="Times New Roman" w:hAnsi="Times New Roman" w:cs="Times New Roman"/>
          <w:szCs w:val="24"/>
        </w:rPr>
        <w:t xml:space="preserve"> ust. 6 i nast</w:t>
      </w:r>
      <w:r w:rsidR="0022618C" w:rsidRPr="0083169B">
        <w:rPr>
          <w:rFonts w:ascii="Times New Roman" w:hAnsi="Times New Roman" w:cs="Times New Roman"/>
          <w:szCs w:val="24"/>
        </w:rPr>
        <w:t>ępnych</w:t>
      </w:r>
      <w:r w:rsidR="0022618C" w:rsidRPr="00B123EE">
        <w:rPr>
          <w:rFonts w:ascii="Times New Roman" w:hAnsi="Times New Roman" w:cs="Times New Roman"/>
          <w:szCs w:val="24"/>
        </w:rPr>
        <w:t xml:space="preserve"> rozporządzenia</w:t>
      </w:r>
      <w:r w:rsidR="0022618C" w:rsidRPr="0083169B">
        <w:rPr>
          <w:rFonts w:ascii="Times New Roman" w:hAnsi="Times New Roman" w:cs="Times New Roman"/>
          <w:szCs w:val="24"/>
        </w:rPr>
        <w:t xml:space="preserve"> obowiązującego</w:t>
      </w:r>
      <w:r w:rsidR="0022618C" w:rsidRPr="00B123EE">
        <w:rPr>
          <w:rFonts w:ascii="Times New Roman" w:hAnsi="Times New Roman" w:cs="Times New Roman"/>
          <w:szCs w:val="24"/>
        </w:rPr>
        <w:t>.</w:t>
      </w:r>
      <w:r w:rsidR="0022618C" w:rsidRPr="0083169B">
        <w:rPr>
          <w:rFonts w:ascii="Times New Roman" w:hAnsi="Times New Roman" w:cs="Times New Roman"/>
          <w:szCs w:val="24"/>
        </w:rPr>
        <w:t xml:space="preserve"> </w:t>
      </w:r>
      <w:r w:rsidR="00777245" w:rsidRPr="0083169B">
        <w:rPr>
          <w:rFonts w:ascii="Times New Roman" w:hAnsi="Times New Roman" w:cs="Times New Roman"/>
          <w:szCs w:val="24"/>
        </w:rPr>
        <w:t>Należy wskazać</w:t>
      </w:r>
      <w:r w:rsidR="0022618C" w:rsidRPr="00B123EE">
        <w:rPr>
          <w:rFonts w:ascii="Times New Roman" w:hAnsi="Times New Roman" w:cs="Times New Roman"/>
          <w:szCs w:val="24"/>
        </w:rPr>
        <w:t xml:space="preserve"> również na konieczność wykreślenia sformułowania </w:t>
      </w:r>
      <w:r w:rsidR="0022618C" w:rsidRPr="00B123EE">
        <w:rPr>
          <w:rFonts w:ascii="Times New Roman" w:hAnsi="Times New Roman" w:cs="Times New Roman"/>
          <w:i/>
          <w:iCs/>
          <w:szCs w:val="24"/>
        </w:rPr>
        <w:t>„zwane dalej „sprawozdaniem z działalności grupy kapitałowej emitenta”</w:t>
      </w:r>
      <w:r w:rsidR="0022618C" w:rsidRPr="00B123EE">
        <w:rPr>
          <w:rFonts w:ascii="Times New Roman" w:hAnsi="Times New Roman" w:cs="Times New Roman"/>
          <w:szCs w:val="24"/>
        </w:rPr>
        <w:t xml:space="preserve"> w celu zachowania spójności z </w:t>
      </w:r>
      <w:r w:rsidR="00777245" w:rsidRPr="0083169B">
        <w:rPr>
          <w:rFonts w:ascii="Times New Roman" w:hAnsi="Times New Roman" w:cs="Times New Roman"/>
          <w:szCs w:val="24"/>
        </w:rPr>
        <w:t xml:space="preserve">projektowanym </w:t>
      </w:r>
      <w:r w:rsidR="0022618C" w:rsidRPr="00B123EE">
        <w:rPr>
          <w:rFonts w:ascii="Times New Roman" w:hAnsi="Times New Roman" w:cs="Times New Roman"/>
          <w:szCs w:val="24"/>
        </w:rPr>
        <w:t>§ 7</w:t>
      </w:r>
      <w:r w:rsidR="00777245" w:rsidRPr="0083169B">
        <w:rPr>
          <w:rFonts w:ascii="Times New Roman" w:hAnsi="Times New Roman" w:cs="Times New Roman"/>
          <w:szCs w:val="24"/>
        </w:rPr>
        <w:t>1</w:t>
      </w:r>
      <w:r w:rsidR="0022618C" w:rsidRPr="00B123EE">
        <w:rPr>
          <w:rFonts w:ascii="Times New Roman" w:hAnsi="Times New Roman" w:cs="Times New Roman"/>
          <w:szCs w:val="24"/>
        </w:rPr>
        <w:t xml:space="preserve"> ust. 1 pkt 4 projektowanego rozporządzenia, w którym nie zostało ujęte </w:t>
      </w:r>
      <w:r w:rsidR="00777245" w:rsidRPr="0083169B">
        <w:rPr>
          <w:rFonts w:ascii="Times New Roman" w:hAnsi="Times New Roman" w:cs="Times New Roman"/>
          <w:szCs w:val="24"/>
        </w:rPr>
        <w:t>analogiczne</w:t>
      </w:r>
      <w:r w:rsidR="0022618C" w:rsidRPr="00B123EE">
        <w:rPr>
          <w:rFonts w:ascii="Times New Roman" w:hAnsi="Times New Roman" w:cs="Times New Roman"/>
          <w:szCs w:val="24"/>
        </w:rPr>
        <w:t xml:space="preserve"> sformułowanie</w:t>
      </w:r>
      <w:r w:rsidRPr="0083169B">
        <w:rPr>
          <w:rFonts w:ascii="Times New Roman" w:hAnsi="Times New Roman" w:cs="Times New Roman"/>
          <w:szCs w:val="24"/>
        </w:rPr>
        <w:t>;</w:t>
      </w:r>
    </w:p>
    <w:p w14:paraId="4E2CDE17" w14:textId="675819FE" w:rsidR="000110CF" w:rsidRPr="00B123EE" w:rsidRDefault="00000990" w:rsidP="00B123EE">
      <w:pPr>
        <w:pStyle w:val="ARTartustawynprozporzdzenia"/>
        <w:tabs>
          <w:tab w:val="left" w:pos="397"/>
          <w:tab w:val="left" w:pos="879"/>
        </w:tabs>
        <w:spacing w:before="0"/>
        <w:ind w:left="284" w:hanging="284"/>
        <w:rPr>
          <w:rFonts w:ascii="Times New Roman" w:hAnsi="Times New Roman" w:cs="Times New Roman"/>
          <w:szCs w:val="24"/>
        </w:rPr>
      </w:pPr>
      <w:r>
        <w:rPr>
          <w:rFonts w:ascii="Times New Roman" w:hAnsi="Times New Roman" w:cs="Times New Roman"/>
          <w:szCs w:val="24"/>
        </w:rPr>
        <w:t>2</w:t>
      </w:r>
      <w:r w:rsidR="001B6AEF">
        <w:rPr>
          <w:rFonts w:ascii="Times New Roman" w:hAnsi="Times New Roman" w:cs="Times New Roman"/>
          <w:szCs w:val="24"/>
        </w:rPr>
        <w:t>0</w:t>
      </w:r>
      <w:r>
        <w:rPr>
          <w:rFonts w:ascii="Times New Roman" w:hAnsi="Times New Roman" w:cs="Times New Roman"/>
          <w:szCs w:val="24"/>
        </w:rPr>
        <w:t>)</w:t>
      </w:r>
      <w:r>
        <w:rPr>
          <w:rFonts w:ascii="Times New Roman" w:hAnsi="Times New Roman" w:cs="Times New Roman"/>
          <w:szCs w:val="24"/>
        </w:rPr>
        <w:tab/>
        <w:t xml:space="preserve">§ 74 </w:t>
      </w:r>
      <w:r w:rsidRPr="0083169B">
        <w:rPr>
          <w:rFonts w:ascii="Times New Roman" w:hAnsi="Times New Roman" w:cs="Times New Roman"/>
          <w:szCs w:val="24"/>
        </w:rPr>
        <w:t>(</w:t>
      </w:r>
      <w:r w:rsidRPr="001B6AEF">
        <w:rPr>
          <w:rFonts w:ascii="Times New Roman" w:hAnsi="Times New Roman" w:cs="Times New Roman"/>
          <w:i/>
          <w:iCs/>
          <w:szCs w:val="24"/>
        </w:rPr>
        <w:t>§ 73 w rozporządzeniu obowiązującym</w:t>
      </w:r>
      <w:r w:rsidRPr="0083169B">
        <w:rPr>
          <w:rFonts w:ascii="Times New Roman" w:hAnsi="Times New Roman" w:cs="Times New Roman"/>
          <w:szCs w:val="24"/>
        </w:rPr>
        <w:t>)</w:t>
      </w:r>
      <w:r>
        <w:rPr>
          <w:rFonts w:ascii="Times New Roman" w:hAnsi="Times New Roman" w:cs="Times New Roman"/>
          <w:szCs w:val="24"/>
        </w:rPr>
        <w:t xml:space="preserve"> ust. 2 –</w:t>
      </w:r>
      <w:r w:rsidRPr="0083169B">
        <w:rPr>
          <w:rFonts w:ascii="Times New Roman" w:hAnsi="Times New Roman" w:cs="Times New Roman"/>
          <w:szCs w:val="24"/>
        </w:rPr>
        <w:t xml:space="preserve"> </w:t>
      </w:r>
      <w:r>
        <w:rPr>
          <w:rFonts w:ascii="Times New Roman" w:hAnsi="Times New Roman" w:cs="Times New Roman"/>
          <w:szCs w:val="24"/>
        </w:rPr>
        <w:t>z</w:t>
      </w:r>
      <w:r w:rsidRPr="00B123EE">
        <w:rPr>
          <w:rFonts w:ascii="Times New Roman" w:hAnsi="Times New Roman" w:cs="Times New Roman"/>
          <w:szCs w:val="24"/>
        </w:rPr>
        <w:t xml:space="preserve">miana ma na celu doprecyzowanie </w:t>
      </w:r>
      <w:r w:rsidR="000110CF" w:rsidRPr="00B123EE">
        <w:rPr>
          <w:rFonts w:ascii="Times New Roman" w:hAnsi="Times New Roman" w:cs="Times New Roman"/>
          <w:szCs w:val="24"/>
        </w:rPr>
        <w:t xml:space="preserve">transpozycji art. 17 akapit drugi dyrektywy Komisji 2007/14/WE z dnia 8 marca 2007 r. ustanawiającej szczegółowe zasady wdrożenia niektórych przepisów dyrektywy 2004/109/WE w sprawie harmonizacji wymogów dotyczących przejrzystości informacji o emitentach, których papiery wartościowe dopuszczane są do obrotu na rynku regulowanym </w:t>
      </w:r>
      <w:r w:rsidR="001B6AEF">
        <w:rPr>
          <w:rFonts w:ascii="Times New Roman" w:hAnsi="Times New Roman" w:cs="Times New Roman"/>
          <w:szCs w:val="24"/>
        </w:rPr>
        <w:lastRenderedPageBreak/>
        <w:t>(</w:t>
      </w:r>
      <w:r w:rsidR="000110CF" w:rsidRPr="00B123EE">
        <w:rPr>
          <w:rFonts w:ascii="Times New Roman" w:hAnsi="Times New Roman" w:cs="Times New Roman"/>
          <w:szCs w:val="24"/>
        </w:rPr>
        <w:t>Dz.</w:t>
      </w:r>
      <w:r w:rsidR="000110CF">
        <w:rPr>
          <w:rFonts w:ascii="Times New Roman" w:hAnsi="Times New Roman" w:cs="Times New Roman"/>
          <w:szCs w:val="24"/>
        </w:rPr>
        <w:t xml:space="preserve"> </w:t>
      </w:r>
      <w:r w:rsidR="000110CF" w:rsidRPr="00B123EE">
        <w:rPr>
          <w:rFonts w:ascii="Times New Roman" w:hAnsi="Times New Roman" w:cs="Times New Roman"/>
          <w:szCs w:val="24"/>
        </w:rPr>
        <w:t>U</w:t>
      </w:r>
      <w:r w:rsidR="000110CF">
        <w:rPr>
          <w:rFonts w:ascii="Times New Roman" w:hAnsi="Times New Roman" w:cs="Times New Roman"/>
          <w:szCs w:val="24"/>
        </w:rPr>
        <w:t>rz</w:t>
      </w:r>
      <w:r w:rsidR="000110CF" w:rsidRPr="00B123EE">
        <w:rPr>
          <w:rFonts w:ascii="Times New Roman" w:hAnsi="Times New Roman" w:cs="Times New Roman"/>
          <w:szCs w:val="24"/>
        </w:rPr>
        <w:t xml:space="preserve">. </w:t>
      </w:r>
      <w:r w:rsidR="001B6AEF">
        <w:rPr>
          <w:rFonts w:ascii="Times New Roman" w:hAnsi="Times New Roman" w:cs="Times New Roman"/>
          <w:szCs w:val="24"/>
        </w:rPr>
        <w:t xml:space="preserve">UE </w:t>
      </w:r>
      <w:r w:rsidR="000110CF" w:rsidRPr="00B123EE">
        <w:rPr>
          <w:rFonts w:ascii="Times New Roman" w:hAnsi="Times New Roman" w:cs="Times New Roman"/>
          <w:szCs w:val="24"/>
        </w:rPr>
        <w:t xml:space="preserve">L 69 z </w:t>
      </w:r>
      <w:r w:rsidR="001B6AEF">
        <w:rPr>
          <w:rFonts w:ascii="Times New Roman" w:hAnsi="Times New Roman" w:cs="Times New Roman"/>
          <w:szCs w:val="24"/>
        </w:rPr>
        <w:t>0</w:t>
      </w:r>
      <w:r w:rsidR="000110CF" w:rsidRPr="00B123EE">
        <w:rPr>
          <w:rFonts w:ascii="Times New Roman" w:hAnsi="Times New Roman" w:cs="Times New Roman"/>
          <w:szCs w:val="24"/>
        </w:rPr>
        <w:t>9.</w:t>
      </w:r>
      <w:r w:rsidR="001B6AEF">
        <w:rPr>
          <w:rFonts w:ascii="Times New Roman" w:hAnsi="Times New Roman" w:cs="Times New Roman"/>
          <w:szCs w:val="24"/>
        </w:rPr>
        <w:t>0</w:t>
      </w:r>
      <w:r w:rsidR="000110CF" w:rsidRPr="00B123EE">
        <w:rPr>
          <w:rFonts w:ascii="Times New Roman" w:hAnsi="Times New Roman" w:cs="Times New Roman"/>
          <w:szCs w:val="24"/>
        </w:rPr>
        <w:t>3.2007, str. 27</w:t>
      </w:r>
      <w:r w:rsidR="001B6AEF">
        <w:rPr>
          <w:rFonts w:ascii="Times New Roman" w:hAnsi="Times New Roman" w:cs="Times New Roman"/>
          <w:szCs w:val="24"/>
        </w:rPr>
        <w:t xml:space="preserve">) – </w:t>
      </w:r>
      <w:r w:rsidR="001B6AEF" w:rsidRPr="00D508BA">
        <w:t xml:space="preserve">ujawnienia, o których mowa w tym przepisie </w:t>
      </w:r>
      <w:r w:rsidR="001B6AEF">
        <w:t>tej d</w:t>
      </w:r>
      <w:r w:rsidR="001B6AEF" w:rsidRPr="00D508BA">
        <w:t xml:space="preserve">yrektywy, </w:t>
      </w:r>
      <w:r w:rsidR="001B6AEF">
        <w:t xml:space="preserve">powinny być </w:t>
      </w:r>
      <w:r w:rsidR="001B6AEF" w:rsidRPr="00D508BA">
        <w:t xml:space="preserve">wymagane wyłącznie na żądanie </w:t>
      </w:r>
      <w:r w:rsidR="001B6AEF">
        <w:t>organu nadzoru</w:t>
      </w:r>
      <w:r w:rsidR="001B6AEF" w:rsidRPr="00D508BA">
        <w:t xml:space="preserve"> w razie powzięcia przez </w:t>
      </w:r>
      <w:r w:rsidR="001B6AEF">
        <w:t xml:space="preserve">niego </w:t>
      </w:r>
      <w:r w:rsidR="001B6AEF" w:rsidRPr="00D508BA">
        <w:t>wątpliwości co do spełnienia warunku równoważności</w:t>
      </w:r>
      <w:r w:rsidR="001B6AEF">
        <w:t>;</w:t>
      </w:r>
    </w:p>
    <w:p w14:paraId="7CB417AA" w14:textId="66450FA5" w:rsidR="0022618C" w:rsidRPr="0083169B" w:rsidRDefault="00CB18FA" w:rsidP="00B123EE">
      <w:pPr>
        <w:pStyle w:val="ARTartustawynprozporzdzenia"/>
        <w:tabs>
          <w:tab w:val="left" w:pos="397"/>
          <w:tab w:val="left" w:pos="879"/>
        </w:tabs>
        <w:spacing w:before="0"/>
        <w:ind w:left="284" w:hanging="284"/>
        <w:rPr>
          <w:rFonts w:ascii="Times New Roman" w:hAnsi="Times New Roman" w:cs="Times New Roman"/>
          <w:szCs w:val="24"/>
        </w:rPr>
      </w:pPr>
      <w:r w:rsidRPr="0083169B">
        <w:rPr>
          <w:rFonts w:ascii="Times New Roman" w:hAnsi="Times New Roman" w:cs="Times New Roman"/>
          <w:szCs w:val="24"/>
        </w:rPr>
        <w:t>2</w:t>
      </w:r>
      <w:r w:rsidR="001B6AEF">
        <w:rPr>
          <w:rFonts w:ascii="Times New Roman" w:hAnsi="Times New Roman" w:cs="Times New Roman"/>
          <w:szCs w:val="24"/>
        </w:rPr>
        <w:t>1</w:t>
      </w:r>
      <w:r w:rsidRPr="0083169B">
        <w:rPr>
          <w:rFonts w:ascii="Times New Roman" w:hAnsi="Times New Roman" w:cs="Times New Roman"/>
          <w:szCs w:val="24"/>
        </w:rPr>
        <w:t>)</w:t>
      </w:r>
      <w:r w:rsidRPr="0083169B">
        <w:rPr>
          <w:rFonts w:ascii="Times New Roman" w:hAnsi="Times New Roman" w:cs="Times New Roman"/>
          <w:szCs w:val="24"/>
        </w:rPr>
        <w:tab/>
        <w:t>§ 81 (</w:t>
      </w:r>
      <w:r w:rsidRPr="0083169B">
        <w:rPr>
          <w:rFonts w:ascii="Times New Roman" w:hAnsi="Times New Roman" w:cs="Times New Roman"/>
          <w:i/>
          <w:iCs/>
          <w:szCs w:val="24"/>
        </w:rPr>
        <w:t>§ 80</w:t>
      </w:r>
      <w:r w:rsidR="00374B52">
        <w:rPr>
          <w:rFonts w:ascii="Times New Roman" w:hAnsi="Times New Roman" w:cs="Times New Roman"/>
          <w:i/>
          <w:iCs/>
          <w:szCs w:val="24"/>
        </w:rPr>
        <w:t xml:space="preserve"> </w:t>
      </w:r>
      <w:r w:rsidRPr="0083169B">
        <w:rPr>
          <w:rFonts w:ascii="Times New Roman" w:hAnsi="Times New Roman" w:cs="Times New Roman"/>
          <w:i/>
          <w:iCs/>
          <w:szCs w:val="24"/>
        </w:rPr>
        <w:t>w rozporządzeniu obowiązującym</w:t>
      </w:r>
      <w:r w:rsidRPr="0083169B">
        <w:rPr>
          <w:rFonts w:ascii="Times New Roman" w:hAnsi="Times New Roman" w:cs="Times New Roman"/>
          <w:szCs w:val="24"/>
        </w:rPr>
        <w:t>) dodany nowy ust. 2 – o</w:t>
      </w:r>
      <w:r w:rsidRPr="00B123EE">
        <w:rPr>
          <w:rFonts w:ascii="Times New Roman" w:hAnsi="Times New Roman" w:cs="Times New Roman"/>
          <w:szCs w:val="24"/>
        </w:rPr>
        <w:t xml:space="preserve">bowiązek przedstawienia dodatkowych wyjaśnień odnośnie nieprzekazywania raportów śródrocznych przez emitenta z siedzibą w państwie niebędącym państwem członkowskim </w:t>
      </w:r>
      <w:r w:rsidR="008B549C" w:rsidRPr="00030757">
        <w:rPr>
          <w:rFonts w:ascii="Times New Roman" w:hAnsi="Times New Roman" w:cs="Times New Roman"/>
          <w:szCs w:val="24"/>
        </w:rPr>
        <w:t xml:space="preserve">jest </w:t>
      </w:r>
      <w:r w:rsidRPr="00B123EE">
        <w:rPr>
          <w:rFonts w:ascii="Times New Roman" w:hAnsi="Times New Roman" w:cs="Times New Roman"/>
          <w:szCs w:val="24"/>
        </w:rPr>
        <w:t xml:space="preserve">obecnie zawarty w § 60 ust. 3 rozporządzenia </w:t>
      </w:r>
      <w:r w:rsidR="008B549C">
        <w:rPr>
          <w:rFonts w:ascii="Times New Roman" w:hAnsi="Times New Roman" w:cs="Times New Roman"/>
          <w:szCs w:val="24"/>
        </w:rPr>
        <w:t xml:space="preserve">obowiązującego </w:t>
      </w:r>
      <w:r w:rsidR="00563BB0" w:rsidRPr="0083169B">
        <w:rPr>
          <w:rFonts w:ascii="Times New Roman" w:hAnsi="Times New Roman" w:cs="Times New Roman"/>
          <w:szCs w:val="24"/>
        </w:rPr>
        <w:t>(</w:t>
      </w:r>
      <w:r w:rsidRPr="00B123EE">
        <w:rPr>
          <w:rFonts w:ascii="Times New Roman" w:hAnsi="Times New Roman" w:cs="Times New Roman"/>
          <w:szCs w:val="24"/>
        </w:rPr>
        <w:t>zdanie</w:t>
      </w:r>
      <w:r w:rsidR="00563BB0" w:rsidRPr="0083169B">
        <w:rPr>
          <w:rFonts w:ascii="Times New Roman" w:hAnsi="Times New Roman" w:cs="Times New Roman"/>
          <w:szCs w:val="24"/>
        </w:rPr>
        <w:t xml:space="preserve"> drugie</w:t>
      </w:r>
      <w:r w:rsidRPr="00B123EE">
        <w:rPr>
          <w:rFonts w:ascii="Times New Roman" w:hAnsi="Times New Roman" w:cs="Times New Roman"/>
          <w:szCs w:val="24"/>
        </w:rPr>
        <w:t>). Wydaje się, że bardziej właściwym miejscem dla tego wymogu jest raport bieżący, w którym te informacje powinny się znaleźć. Dodatkowo proponuje się uzupełnienie przepisu o analogiczne wyjaśnienia w przypadku nieprzekazywania przez w</w:t>
      </w:r>
      <w:r w:rsidR="00563BB0" w:rsidRPr="0083169B">
        <w:rPr>
          <w:rFonts w:ascii="Times New Roman" w:hAnsi="Times New Roman" w:cs="Times New Roman"/>
          <w:szCs w:val="24"/>
        </w:rPr>
        <w:t>w</w:t>
      </w:r>
      <w:r w:rsidRPr="00B123EE">
        <w:rPr>
          <w:rFonts w:ascii="Times New Roman" w:hAnsi="Times New Roman" w:cs="Times New Roman"/>
          <w:szCs w:val="24"/>
        </w:rPr>
        <w:t>. emitentów raportów rocznych w związku z § 73 ust. 1 rozporządzenia.</w:t>
      </w:r>
    </w:p>
    <w:p w14:paraId="455CEA92" w14:textId="7CDF822F" w:rsidR="006E6D3E" w:rsidRPr="0083169B" w:rsidRDefault="006B01A1" w:rsidP="003F149B">
      <w:pPr>
        <w:pStyle w:val="ARTartustawynprozporzdzenia"/>
        <w:spacing w:before="240"/>
        <w:ind w:firstLine="0"/>
        <w:rPr>
          <w:rFonts w:ascii="Times New Roman" w:hAnsi="Times New Roman" w:cs="Times New Roman"/>
          <w:szCs w:val="24"/>
        </w:rPr>
      </w:pPr>
      <w:r w:rsidRPr="0083169B">
        <w:rPr>
          <w:rFonts w:ascii="Times New Roman" w:hAnsi="Times New Roman" w:cs="Times New Roman"/>
          <w:szCs w:val="24"/>
        </w:rPr>
        <w:t>Projektowane rozporządzenie zawiera przepisy przejściowe</w:t>
      </w:r>
      <w:r w:rsidR="00846E64" w:rsidRPr="0083169B">
        <w:rPr>
          <w:rFonts w:ascii="Times New Roman" w:hAnsi="Times New Roman" w:cs="Times New Roman"/>
          <w:szCs w:val="24"/>
        </w:rPr>
        <w:t xml:space="preserve">, </w:t>
      </w:r>
      <w:r w:rsidR="0048411B">
        <w:rPr>
          <w:rFonts w:ascii="Times New Roman" w:hAnsi="Times New Roman" w:cs="Times New Roman"/>
          <w:szCs w:val="24"/>
        </w:rPr>
        <w:t>które wskazują</w:t>
      </w:r>
      <w:r w:rsidR="003D1246">
        <w:rPr>
          <w:rFonts w:ascii="Times New Roman" w:hAnsi="Times New Roman" w:cs="Times New Roman"/>
          <w:szCs w:val="24"/>
        </w:rPr>
        <w:t>,</w:t>
      </w:r>
      <w:r w:rsidR="0048411B">
        <w:rPr>
          <w:rFonts w:ascii="Times New Roman" w:hAnsi="Times New Roman" w:cs="Times New Roman"/>
          <w:szCs w:val="24"/>
        </w:rPr>
        <w:t xml:space="preserve"> od kiedy</w:t>
      </w:r>
      <w:r w:rsidR="00846E64" w:rsidRPr="0083169B">
        <w:rPr>
          <w:rFonts w:ascii="Times New Roman" w:hAnsi="Times New Roman" w:cs="Times New Roman"/>
          <w:szCs w:val="24"/>
        </w:rPr>
        <w:t xml:space="preserve"> przepisy nowego rozporządzenia </w:t>
      </w:r>
      <w:r w:rsidRPr="0083169B">
        <w:rPr>
          <w:rFonts w:ascii="Times New Roman" w:hAnsi="Times New Roman" w:cs="Times New Roman"/>
          <w:szCs w:val="24"/>
        </w:rPr>
        <w:t xml:space="preserve">będą miały po raz pierwszy zastosowanie </w:t>
      </w:r>
      <w:r w:rsidR="00200467">
        <w:rPr>
          <w:rFonts w:ascii="Times New Roman" w:hAnsi="Times New Roman" w:cs="Times New Roman"/>
          <w:szCs w:val="24"/>
        </w:rPr>
        <w:t xml:space="preserve">do </w:t>
      </w:r>
      <w:r w:rsidRPr="0083169B">
        <w:rPr>
          <w:rFonts w:ascii="Times New Roman" w:hAnsi="Times New Roman" w:cs="Times New Roman"/>
          <w:szCs w:val="24"/>
        </w:rPr>
        <w:t xml:space="preserve">raportów </w:t>
      </w:r>
      <w:r w:rsidR="006E6D3E" w:rsidRPr="0083169B">
        <w:rPr>
          <w:rFonts w:ascii="Times New Roman" w:hAnsi="Times New Roman" w:cs="Times New Roman"/>
          <w:szCs w:val="24"/>
        </w:rPr>
        <w:t>okresowych</w:t>
      </w:r>
      <w:r w:rsidR="00200467">
        <w:rPr>
          <w:rFonts w:ascii="Times New Roman" w:hAnsi="Times New Roman" w:cs="Times New Roman"/>
          <w:szCs w:val="24"/>
        </w:rPr>
        <w:t>, w tym raportów okresowych,</w:t>
      </w:r>
      <w:r w:rsidRPr="0083169B">
        <w:rPr>
          <w:rFonts w:ascii="Times New Roman" w:hAnsi="Times New Roman" w:cs="Times New Roman"/>
          <w:szCs w:val="24"/>
        </w:rPr>
        <w:t xml:space="preserve"> </w:t>
      </w:r>
      <w:r w:rsidR="00200467" w:rsidRPr="000771AC">
        <w:t>których elementem jest sprawozdawczość zrównoważonego rozwoju lub sprawozdawczość zrównoważonego rozwoju grupy kapitałowej</w:t>
      </w:r>
      <w:r w:rsidRPr="0083169B">
        <w:rPr>
          <w:rFonts w:ascii="Times New Roman" w:hAnsi="Times New Roman" w:cs="Times New Roman"/>
          <w:szCs w:val="24"/>
        </w:rPr>
        <w:t xml:space="preserve"> (§ </w:t>
      </w:r>
      <w:r w:rsidR="0084049B">
        <w:rPr>
          <w:rFonts w:ascii="Times New Roman" w:hAnsi="Times New Roman" w:cs="Times New Roman"/>
          <w:szCs w:val="24"/>
        </w:rPr>
        <w:t>82</w:t>
      </w:r>
      <w:r w:rsidRPr="0083169B">
        <w:rPr>
          <w:rFonts w:ascii="Times New Roman" w:hAnsi="Times New Roman" w:cs="Times New Roman"/>
          <w:szCs w:val="24"/>
        </w:rPr>
        <w:t>).</w:t>
      </w:r>
      <w:r w:rsidR="00EC69C4">
        <w:rPr>
          <w:rFonts w:ascii="Times New Roman" w:hAnsi="Times New Roman" w:cs="Times New Roman"/>
          <w:szCs w:val="24"/>
        </w:rPr>
        <w:t xml:space="preserve"> Mając na uwadze, że rok obrotowy nie </w:t>
      </w:r>
      <w:r w:rsidR="00D33886">
        <w:rPr>
          <w:rFonts w:ascii="Times New Roman" w:hAnsi="Times New Roman" w:cs="Times New Roman"/>
          <w:szCs w:val="24"/>
        </w:rPr>
        <w:t xml:space="preserve">musi </w:t>
      </w:r>
      <w:r w:rsidR="00DC4F75">
        <w:rPr>
          <w:rFonts w:ascii="Times New Roman" w:hAnsi="Times New Roman" w:cs="Times New Roman"/>
          <w:szCs w:val="24"/>
        </w:rPr>
        <w:t xml:space="preserve">się </w:t>
      </w:r>
      <w:r w:rsidR="00D33886">
        <w:rPr>
          <w:rFonts w:ascii="Times New Roman" w:hAnsi="Times New Roman" w:cs="Times New Roman"/>
          <w:szCs w:val="24"/>
        </w:rPr>
        <w:t>pokrywać z rokiem kalendarzowym zaproponowano, że p</w:t>
      </w:r>
      <w:r w:rsidR="00D33886" w:rsidRPr="000771AC">
        <w:t>rzepisy rozporządzenia mają po raz pierwszy zastosowanie do</w:t>
      </w:r>
      <w:r w:rsidR="00D33886">
        <w:t xml:space="preserve"> </w:t>
      </w:r>
      <w:r w:rsidR="00D33886" w:rsidRPr="000771AC">
        <w:t>raportów okresowych sporządzanych za okresy sprawozdawcze roku obrotowego rozpoczynającego się w</w:t>
      </w:r>
      <w:r w:rsidR="00D33886">
        <w:t xml:space="preserve"> </w:t>
      </w:r>
      <w:r w:rsidR="00D33886" w:rsidRPr="000771AC">
        <w:t>202</w:t>
      </w:r>
      <w:r w:rsidR="00D33886">
        <w:t xml:space="preserve">4 </w:t>
      </w:r>
      <w:r w:rsidR="00D33886" w:rsidRPr="000771AC">
        <w:t>r. i</w:t>
      </w:r>
      <w:r w:rsidR="00D33886">
        <w:t xml:space="preserve"> </w:t>
      </w:r>
      <w:r w:rsidR="00D33886" w:rsidRPr="000771AC">
        <w:t>202</w:t>
      </w:r>
      <w:r w:rsidR="00D33886">
        <w:t xml:space="preserve">5 </w:t>
      </w:r>
      <w:r w:rsidR="00D33886" w:rsidRPr="000771AC">
        <w:t>r., przekazywanych od dnia wejścia w</w:t>
      </w:r>
      <w:r w:rsidR="00D33886">
        <w:t xml:space="preserve"> </w:t>
      </w:r>
      <w:r w:rsidR="00D33886" w:rsidRPr="000771AC">
        <w:t>życie rozporządzenia</w:t>
      </w:r>
      <w:r w:rsidR="00D33886">
        <w:t xml:space="preserve"> (§ 82 ust. 1 pkt 1). W odniesieniu natomiast do </w:t>
      </w:r>
      <w:r w:rsidR="00D33886">
        <w:rPr>
          <w:rFonts w:ascii="Times New Roman" w:hAnsi="Times New Roman" w:cs="Times New Roman"/>
          <w:szCs w:val="24"/>
        </w:rPr>
        <w:t>raportów okresowych,</w:t>
      </w:r>
      <w:r w:rsidR="00D33886" w:rsidRPr="0083169B">
        <w:rPr>
          <w:rFonts w:ascii="Times New Roman" w:hAnsi="Times New Roman" w:cs="Times New Roman"/>
          <w:szCs w:val="24"/>
        </w:rPr>
        <w:t xml:space="preserve"> </w:t>
      </w:r>
      <w:r w:rsidR="00D33886" w:rsidRPr="000771AC">
        <w:t>których elementem jest sprawozdawczość zrównoważonego rozwoju lub sprawozdawczość zrównoważonego rozwoju grupy kapitałowej</w:t>
      </w:r>
      <w:r w:rsidR="0088703F">
        <w:t>,</w:t>
      </w:r>
      <w:r w:rsidR="00D33886">
        <w:t xml:space="preserve"> zaproponowano regulacje tożsame z przepisami art. 14 ust. 5 pkt 1–3 i ust. 6 </w:t>
      </w:r>
      <w:r w:rsidR="005122A5">
        <w:br/>
      </w:r>
      <w:r w:rsidR="0088703F">
        <w:t>ustawy</w:t>
      </w:r>
      <w:r w:rsidR="0088703F" w:rsidRPr="00CF4EFC">
        <w:t xml:space="preserve"> </w:t>
      </w:r>
      <w:r w:rsidR="0088703F">
        <w:t xml:space="preserve">z dnia 6 grudnia 2024 r. </w:t>
      </w:r>
      <w:r w:rsidR="0088703F" w:rsidRPr="0019203F">
        <w:t>o zmianie ustawy o</w:t>
      </w:r>
      <w:r w:rsidR="0088703F">
        <w:t xml:space="preserve"> </w:t>
      </w:r>
      <w:r w:rsidR="0088703F" w:rsidRPr="0019203F">
        <w:t>rachunkowości</w:t>
      </w:r>
      <w:r w:rsidR="0088703F">
        <w:t xml:space="preserve">, ustawy o biegłych rewidentach, firmach audytorskich oraz nadzorze publicznym </w:t>
      </w:r>
      <w:r w:rsidR="0088703F" w:rsidRPr="0019203F">
        <w:t>oraz niektórych innych ustaw</w:t>
      </w:r>
      <w:r w:rsidR="0088703F">
        <w:t xml:space="preserve"> </w:t>
      </w:r>
      <w:r w:rsidR="003F149B">
        <w:br/>
        <w:t>(</w:t>
      </w:r>
      <w:r w:rsidR="0088703F">
        <w:t xml:space="preserve">§ 82 ust. 1 pkt </w:t>
      </w:r>
      <w:r w:rsidR="003F149B">
        <w:t>2 i ust. 2</w:t>
      </w:r>
      <w:r w:rsidR="0088703F">
        <w:t>).</w:t>
      </w:r>
    </w:p>
    <w:p w14:paraId="5E25F2D0" w14:textId="73FBEE1A" w:rsidR="00CF61E7" w:rsidRPr="0083169B" w:rsidRDefault="00284DFF" w:rsidP="003B520E">
      <w:pPr>
        <w:pStyle w:val="ARTartustawynprozporzdzenia"/>
        <w:spacing w:before="0"/>
        <w:ind w:firstLine="0"/>
        <w:rPr>
          <w:rFonts w:ascii="Times New Roman" w:eastAsia="Times New Roman" w:hAnsi="Times New Roman" w:cs="Times New Roman"/>
          <w:szCs w:val="24"/>
        </w:rPr>
      </w:pPr>
      <w:r w:rsidRPr="0083169B">
        <w:rPr>
          <w:rFonts w:ascii="Times New Roman" w:hAnsi="Times New Roman" w:cs="Times New Roman"/>
          <w:szCs w:val="24"/>
        </w:rPr>
        <w:t xml:space="preserve">Zgodnie z projektowanym § </w:t>
      </w:r>
      <w:r w:rsidR="0084049B">
        <w:rPr>
          <w:rFonts w:ascii="Times New Roman" w:hAnsi="Times New Roman" w:cs="Times New Roman"/>
          <w:szCs w:val="24"/>
        </w:rPr>
        <w:t>83</w:t>
      </w:r>
      <w:r w:rsidRPr="0083169B">
        <w:rPr>
          <w:rFonts w:ascii="Times New Roman" w:hAnsi="Times New Roman" w:cs="Times New Roman"/>
          <w:szCs w:val="24"/>
        </w:rPr>
        <w:t xml:space="preserve"> przewiduje się, że </w:t>
      </w:r>
      <w:r w:rsidR="00846E64" w:rsidRPr="0083169B">
        <w:rPr>
          <w:rFonts w:ascii="Times New Roman" w:hAnsi="Times New Roman" w:cs="Times New Roman"/>
          <w:szCs w:val="24"/>
        </w:rPr>
        <w:t>rozporządzenie wejdzie w życie</w:t>
      </w:r>
      <w:r w:rsidR="0038289B" w:rsidRPr="00B123EE">
        <w:rPr>
          <w:rFonts w:ascii="Times New Roman" w:hAnsi="Times New Roman" w:cs="Times New Roman"/>
          <w:szCs w:val="24"/>
        </w:rPr>
        <w:t xml:space="preserve"> </w:t>
      </w:r>
      <w:bookmarkStart w:id="17" w:name="highlightHit_2"/>
      <w:bookmarkEnd w:id="17"/>
      <w:r w:rsidR="00166CFD" w:rsidRPr="00B123EE">
        <w:rPr>
          <w:rFonts w:ascii="Times New Roman" w:hAnsi="Times New Roman" w:cs="Times New Roman"/>
          <w:szCs w:val="24"/>
        </w:rPr>
        <w:t>po upływie</w:t>
      </w:r>
      <w:bookmarkStart w:id="18" w:name="highlightHit_3"/>
      <w:bookmarkEnd w:id="18"/>
      <w:r w:rsidR="00166CFD" w:rsidRPr="00B123EE">
        <w:rPr>
          <w:rFonts w:ascii="Times New Roman" w:hAnsi="Times New Roman" w:cs="Times New Roman"/>
          <w:szCs w:val="24"/>
        </w:rPr>
        <w:t xml:space="preserve"> 14</w:t>
      </w:r>
      <w:bookmarkStart w:id="19" w:name="highlightHit_4"/>
      <w:bookmarkEnd w:id="19"/>
      <w:r w:rsidR="00166CFD" w:rsidRPr="00B123EE">
        <w:rPr>
          <w:rFonts w:ascii="Times New Roman" w:hAnsi="Times New Roman" w:cs="Times New Roman"/>
          <w:szCs w:val="24"/>
        </w:rPr>
        <w:t xml:space="preserve"> dni od</w:t>
      </w:r>
      <w:bookmarkStart w:id="20" w:name="highlightHit_5"/>
      <w:bookmarkEnd w:id="20"/>
      <w:r w:rsidR="00166CFD" w:rsidRPr="00B123EE">
        <w:rPr>
          <w:rFonts w:ascii="Times New Roman" w:hAnsi="Times New Roman" w:cs="Times New Roman"/>
          <w:szCs w:val="24"/>
        </w:rPr>
        <w:t xml:space="preserve"> dnia ogłoszenia</w:t>
      </w:r>
      <w:r w:rsidRPr="0083169B">
        <w:rPr>
          <w:rFonts w:ascii="Times New Roman" w:hAnsi="Times New Roman" w:cs="Times New Roman"/>
          <w:szCs w:val="24"/>
        </w:rPr>
        <w:t>.</w:t>
      </w:r>
    </w:p>
    <w:p w14:paraId="721DCDC8" w14:textId="12EF6C15" w:rsidR="00056E63" w:rsidRPr="0083169B" w:rsidRDefault="00846E64" w:rsidP="00846E64">
      <w:pPr>
        <w:spacing w:after="0" w:line="360" w:lineRule="auto"/>
        <w:jc w:val="both"/>
        <w:rPr>
          <w:rFonts w:ascii="Times New Roman" w:hAnsi="Times New Roman" w:cs="Times New Roman"/>
          <w:sz w:val="24"/>
          <w:szCs w:val="24"/>
        </w:rPr>
      </w:pPr>
      <w:r w:rsidRPr="0083169B">
        <w:rPr>
          <w:rFonts w:ascii="Times New Roman" w:hAnsi="Times New Roman" w:cs="Times New Roman"/>
          <w:sz w:val="24"/>
          <w:szCs w:val="24"/>
        </w:rPr>
        <w:t>Stosownie do art. 4 ustawy z dnia 7 lipca 2005 r. o działalności lobbingowej w procesie stanowienia prawa (Dz. U. z 2017 r. poz. 248</w:t>
      </w:r>
      <w:r w:rsidR="00444818">
        <w:rPr>
          <w:rFonts w:ascii="Times New Roman" w:hAnsi="Times New Roman" w:cs="Times New Roman"/>
          <w:sz w:val="24"/>
          <w:szCs w:val="24"/>
        </w:rPr>
        <w:t>, z późn. zm.</w:t>
      </w:r>
      <w:r w:rsidRPr="0083169B">
        <w:rPr>
          <w:rFonts w:ascii="Times New Roman" w:hAnsi="Times New Roman" w:cs="Times New Roman"/>
          <w:sz w:val="24"/>
          <w:szCs w:val="24"/>
        </w:rPr>
        <w:t xml:space="preserve">) projekt </w:t>
      </w:r>
      <w:r w:rsidR="003D1246">
        <w:rPr>
          <w:rFonts w:ascii="Times New Roman" w:hAnsi="Times New Roman" w:cs="Times New Roman"/>
          <w:sz w:val="24"/>
          <w:szCs w:val="24"/>
        </w:rPr>
        <w:t xml:space="preserve">został </w:t>
      </w:r>
      <w:r w:rsidRPr="0083169B">
        <w:rPr>
          <w:rFonts w:ascii="Times New Roman" w:hAnsi="Times New Roman" w:cs="Times New Roman"/>
          <w:sz w:val="24"/>
          <w:szCs w:val="24"/>
        </w:rPr>
        <w:t>zamieszczony w wykazie prac legislacyjnych dotyczącym rozporządzeń Ministra Finansów</w:t>
      </w:r>
      <w:r w:rsidR="003D1246">
        <w:rPr>
          <w:rFonts w:ascii="Times New Roman" w:hAnsi="Times New Roman" w:cs="Times New Roman"/>
          <w:sz w:val="24"/>
          <w:szCs w:val="24"/>
        </w:rPr>
        <w:t xml:space="preserve"> (nr 922)</w:t>
      </w:r>
      <w:r w:rsidRPr="0083169B">
        <w:rPr>
          <w:rFonts w:ascii="Times New Roman" w:hAnsi="Times New Roman" w:cs="Times New Roman"/>
          <w:sz w:val="24"/>
          <w:szCs w:val="24"/>
        </w:rPr>
        <w:t>.</w:t>
      </w:r>
    </w:p>
    <w:p w14:paraId="0F8BC7F1" w14:textId="02B450F6" w:rsidR="00846E64" w:rsidRPr="0083169B" w:rsidRDefault="00056E63" w:rsidP="00846E64">
      <w:pPr>
        <w:spacing w:after="0" w:line="360" w:lineRule="auto"/>
        <w:jc w:val="both"/>
        <w:rPr>
          <w:rFonts w:ascii="Times New Roman" w:eastAsia="Times New Roman" w:hAnsi="Times New Roman" w:cs="Times New Roman"/>
          <w:sz w:val="24"/>
          <w:szCs w:val="24"/>
          <w:lang w:eastAsia="pl-PL"/>
        </w:rPr>
      </w:pPr>
      <w:r w:rsidRPr="0083169B">
        <w:rPr>
          <w:rFonts w:ascii="Times New Roman" w:hAnsi="Times New Roman" w:cs="Times New Roman"/>
          <w:sz w:val="24"/>
          <w:szCs w:val="24"/>
        </w:rPr>
        <w:t>Z</w:t>
      </w:r>
      <w:r w:rsidR="00846E64" w:rsidRPr="0083169B">
        <w:rPr>
          <w:rFonts w:ascii="Times New Roman" w:eastAsia="Times New Roman" w:hAnsi="Times New Roman" w:cs="Times New Roman"/>
          <w:sz w:val="24"/>
          <w:szCs w:val="24"/>
          <w:lang w:eastAsia="pl-PL"/>
        </w:rPr>
        <w:t xml:space="preserve">godnie z art. 5 tej ustawy oraz § 52 uchwały nr 190 Rady Ministrów z dnia 29 października 2013 r. – Regulamin pracy Rady Ministrów (M.P. z </w:t>
      </w:r>
      <w:r w:rsidR="00EF5B4B" w:rsidRPr="0083169B">
        <w:rPr>
          <w:rFonts w:ascii="Times New Roman" w:eastAsia="Times New Roman" w:hAnsi="Times New Roman" w:cs="Times New Roman"/>
          <w:sz w:val="24"/>
          <w:szCs w:val="24"/>
          <w:lang w:eastAsia="pl-PL"/>
        </w:rPr>
        <w:t>20</w:t>
      </w:r>
      <w:r w:rsidR="00444818">
        <w:rPr>
          <w:rFonts w:ascii="Times New Roman" w:eastAsia="Times New Roman" w:hAnsi="Times New Roman" w:cs="Times New Roman"/>
          <w:sz w:val="24"/>
          <w:szCs w:val="24"/>
          <w:lang w:eastAsia="pl-PL"/>
        </w:rPr>
        <w:t>24</w:t>
      </w:r>
      <w:r w:rsidR="00EF5B4B" w:rsidRPr="0083169B">
        <w:rPr>
          <w:rFonts w:ascii="Times New Roman" w:eastAsia="Times New Roman" w:hAnsi="Times New Roman" w:cs="Times New Roman"/>
          <w:sz w:val="24"/>
          <w:szCs w:val="24"/>
          <w:lang w:eastAsia="pl-PL"/>
        </w:rPr>
        <w:t xml:space="preserve"> r. poz. </w:t>
      </w:r>
      <w:r w:rsidR="00444818">
        <w:rPr>
          <w:rFonts w:ascii="Times New Roman" w:eastAsia="Times New Roman" w:hAnsi="Times New Roman" w:cs="Times New Roman"/>
          <w:sz w:val="24"/>
          <w:szCs w:val="24"/>
          <w:lang w:eastAsia="pl-PL"/>
        </w:rPr>
        <w:t>806</w:t>
      </w:r>
      <w:r w:rsidR="00846E64" w:rsidRPr="0083169B">
        <w:rPr>
          <w:rFonts w:ascii="Times New Roman" w:eastAsia="Times New Roman" w:hAnsi="Times New Roman" w:cs="Times New Roman"/>
          <w:sz w:val="24"/>
          <w:szCs w:val="24"/>
          <w:lang w:eastAsia="pl-PL"/>
        </w:rPr>
        <w:t xml:space="preserve">) projekt rozporządzenia </w:t>
      </w:r>
      <w:r w:rsidR="00846E64" w:rsidRPr="0083169B">
        <w:rPr>
          <w:rFonts w:ascii="Times New Roman" w:eastAsia="Times New Roman" w:hAnsi="Times New Roman" w:cs="Times New Roman"/>
          <w:sz w:val="24"/>
          <w:szCs w:val="24"/>
          <w:lang w:eastAsia="pl-PL"/>
        </w:rPr>
        <w:lastRenderedPageBreak/>
        <w:t>zosta</w:t>
      </w:r>
      <w:r w:rsidR="003D1246">
        <w:rPr>
          <w:rFonts w:ascii="Times New Roman" w:eastAsia="Times New Roman" w:hAnsi="Times New Roman" w:cs="Times New Roman"/>
          <w:sz w:val="24"/>
          <w:szCs w:val="24"/>
          <w:lang w:eastAsia="pl-PL"/>
        </w:rPr>
        <w:t>ł</w:t>
      </w:r>
      <w:r w:rsidR="00846E64" w:rsidRPr="0083169B">
        <w:rPr>
          <w:rFonts w:ascii="Times New Roman" w:eastAsia="Times New Roman" w:hAnsi="Times New Roman" w:cs="Times New Roman"/>
          <w:sz w:val="24"/>
          <w:szCs w:val="24"/>
          <w:lang w:eastAsia="pl-PL"/>
        </w:rPr>
        <w:t xml:space="preserve"> udostępniony w Biuletynie Informacji Publicznej na stronie podmiotowej Rządowego Centrum Legislacji.</w:t>
      </w:r>
    </w:p>
    <w:p w14:paraId="1CA7B121" w14:textId="77777777" w:rsidR="00846E64" w:rsidRPr="0083169B" w:rsidRDefault="00846E64" w:rsidP="00846E6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3169B">
        <w:rPr>
          <w:rFonts w:ascii="Times New Roman" w:eastAsia="Times New Roman" w:hAnsi="Times New Roman" w:cs="Times New Roman"/>
          <w:sz w:val="24"/>
          <w:szCs w:val="24"/>
          <w:lang w:eastAsia="pl-PL"/>
        </w:rPr>
        <w:t xml:space="preserve">Projekt rozporządzenia nie wymaga przedstawiania jej organom i instytucjom Unii Europejskiej w celu uzyskania opinii, dokonania powiadomienia, konsultacji albo uzgodnienia. W szczególności, zgodnie z art. 2 ust. 1 decyzji Rady 98/415/WE z dnia 29 czerwca 1998 r. w sprawie konsultacji Europejskiego Banku Centralnego udzielanych władzom krajowym w sprawie projektów przepisów prawnych (Dz. Urz. WE L 189 z 03.07.1998, str. 42; Dz. Urz. UE Polskie Wydanie Specjalne rozdz. 1, t. 1, str. 446), projekt rozporządzenia nie podlega konsultacji z Europejskim Bankiem Centralnym. </w:t>
      </w:r>
    </w:p>
    <w:p w14:paraId="730EF787" w14:textId="22EA63F7" w:rsidR="00D75971" w:rsidRPr="0083169B" w:rsidRDefault="00846E64" w:rsidP="002C536A">
      <w:pPr>
        <w:spacing w:after="0" w:line="360" w:lineRule="auto"/>
        <w:jc w:val="both"/>
        <w:rPr>
          <w:rFonts w:ascii="Times New Roman" w:eastAsia="Times New Roman" w:hAnsi="Times New Roman" w:cs="Times New Roman"/>
          <w:sz w:val="24"/>
          <w:szCs w:val="24"/>
        </w:rPr>
      </w:pPr>
      <w:r w:rsidRPr="0083169B">
        <w:rPr>
          <w:rFonts w:ascii="Times New Roman" w:eastAsia="Times New Roman" w:hAnsi="Times New Roman" w:cs="Times New Roman"/>
          <w:sz w:val="24"/>
          <w:szCs w:val="24"/>
          <w:lang w:eastAsia="pl-PL"/>
        </w:rPr>
        <w:t>Projekt rozporządzenia nie zawiera norm technicznych w rozumieniu przepisów rozporządzenia Rady Ministrów z dnia 23 grudnia 2002 r. w sprawie sposobu funkcjonowania krajowego systemu notyfikacji norm i aktów prawnych (Dz. U. poz. 2039</w:t>
      </w:r>
      <w:r w:rsidR="00D75971" w:rsidRPr="0083169B">
        <w:rPr>
          <w:rFonts w:ascii="Times New Roman" w:eastAsia="Times New Roman" w:hAnsi="Times New Roman" w:cs="Times New Roman"/>
          <w:sz w:val="24"/>
          <w:szCs w:val="24"/>
          <w:lang w:eastAsia="pl-PL"/>
        </w:rPr>
        <w:t>, z późn. zm.</w:t>
      </w:r>
      <w:r w:rsidRPr="0083169B">
        <w:rPr>
          <w:rFonts w:ascii="Times New Roman" w:eastAsia="Times New Roman" w:hAnsi="Times New Roman" w:cs="Times New Roman"/>
          <w:sz w:val="24"/>
          <w:szCs w:val="24"/>
          <w:lang w:eastAsia="pl-PL"/>
        </w:rPr>
        <w:t>), w związku z czym nie podlega notyfikacji zgodnie z trybem przewidzianym w tych przepisach.</w:t>
      </w:r>
      <w:r w:rsidR="00F0514C" w:rsidRPr="0083169B">
        <w:rPr>
          <w:rFonts w:ascii="Times New Roman" w:eastAsia="Times New Roman" w:hAnsi="Times New Roman" w:cs="Times New Roman"/>
          <w:sz w:val="24"/>
          <w:szCs w:val="24"/>
        </w:rPr>
        <w:t xml:space="preserve"> </w:t>
      </w:r>
      <w:r w:rsidRPr="0083169B">
        <w:rPr>
          <w:rFonts w:ascii="Times New Roman" w:eastAsia="Times New Roman" w:hAnsi="Times New Roman" w:cs="Times New Roman"/>
          <w:sz w:val="24"/>
          <w:szCs w:val="24"/>
        </w:rPr>
        <w:t xml:space="preserve">Projektowane rozporządzenie </w:t>
      </w:r>
      <w:r w:rsidR="00D75971" w:rsidRPr="0083169B">
        <w:rPr>
          <w:rFonts w:ascii="Times New Roman" w:eastAsia="Times New Roman" w:hAnsi="Times New Roman" w:cs="Times New Roman"/>
          <w:sz w:val="24"/>
          <w:szCs w:val="24"/>
        </w:rPr>
        <w:t>będzie miało niewielki wpływ</w:t>
      </w:r>
      <w:r w:rsidRPr="0083169B">
        <w:rPr>
          <w:rFonts w:ascii="Times New Roman" w:eastAsia="Times New Roman" w:hAnsi="Times New Roman" w:cs="Times New Roman"/>
          <w:sz w:val="24"/>
          <w:szCs w:val="24"/>
        </w:rPr>
        <w:t xml:space="preserve"> na działalność mikroprzedsiębiorców, małych i średnich przedsiębiorców.</w:t>
      </w:r>
      <w:r w:rsidR="00D75971" w:rsidRPr="0083169B">
        <w:rPr>
          <w:rFonts w:ascii="Times New Roman" w:eastAsia="Times New Roman" w:hAnsi="Times New Roman" w:cs="Times New Roman"/>
          <w:sz w:val="24"/>
          <w:szCs w:val="24"/>
        </w:rPr>
        <w:t xml:space="preserve"> </w:t>
      </w:r>
      <w:r w:rsidR="00D75971" w:rsidRPr="0083169B">
        <w:rPr>
          <w:rFonts w:ascii="Times New Roman" w:hAnsi="Times New Roman" w:cs="Times New Roman"/>
          <w:color w:val="000000"/>
          <w:spacing w:val="-2"/>
          <w:sz w:val="24"/>
          <w:szCs w:val="24"/>
        </w:rPr>
        <w:t>Objęcie emitentów obowiązkiem przekazywania określonych informacji zostało przewidziane na poziomie ustawowym. Projektowane rozporządzenie – tak jak rozporządzenie</w:t>
      </w:r>
      <w:r w:rsidR="00200467">
        <w:rPr>
          <w:rFonts w:ascii="Times New Roman" w:hAnsi="Times New Roman" w:cs="Times New Roman"/>
          <w:color w:val="000000"/>
          <w:spacing w:val="-2"/>
          <w:sz w:val="24"/>
          <w:szCs w:val="24"/>
        </w:rPr>
        <w:t xml:space="preserve"> obowiązujące</w:t>
      </w:r>
      <w:r w:rsidR="00D75971" w:rsidRPr="0083169B">
        <w:rPr>
          <w:rFonts w:ascii="Times New Roman" w:hAnsi="Times New Roman" w:cs="Times New Roman"/>
          <w:color w:val="000000"/>
          <w:spacing w:val="-2"/>
          <w:sz w:val="24"/>
          <w:szCs w:val="24"/>
        </w:rPr>
        <w:t xml:space="preserve"> – stanowi jedynie uszczegółowienie </w:t>
      </w:r>
      <w:r w:rsidR="00D75971" w:rsidRPr="0083169B">
        <w:rPr>
          <w:rFonts w:ascii="Times New Roman" w:hAnsi="Times New Roman" w:cs="Times New Roman"/>
          <w:color w:val="333333"/>
          <w:sz w:val="24"/>
          <w:szCs w:val="24"/>
          <w:shd w:val="clear" w:color="auto" w:fill="FFFFFF"/>
        </w:rPr>
        <w:t>rodzaju</w:t>
      </w:r>
      <w:r w:rsidR="00F0514C" w:rsidRPr="0083169B">
        <w:rPr>
          <w:rFonts w:ascii="Times New Roman" w:hAnsi="Times New Roman" w:cs="Times New Roman"/>
          <w:color w:val="333333"/>
          <w:sz w:val="24"/>
          <w:szCs w:val="24"/>
          <w:shd w:val="clear" w:color="auto" w:fill="FFFFFF"/>
        </w:rPr>
        <w:t xml:space="preserve"> i</w:t>
      </w:r>
      <w:r w:rsidR="00D75971" w:rsidRPr="0083169B">
        <w:rPr>
          <w:rFonts w:ascii="Times New Roman" w:hAnsi="Times New Roman" w:cs="Times New Roman"/>
          <w:color w:val="333333"/>
          <w:sz w:val="24"/>
          <w:szCs w:val="24"/>
          <w:shd w:val="clear" w:color="auto" w:fill="FFFFFF"/>
        </w:rPr>
        <w:t xml:space="preserve"> zakresu </w:t>
      </w:r>
      <w:r w:rsidR="00D75971" w:rsidRPr="0083169B">
        <w:rPr>
          <w:rFonts w:ascii="Times New Roman" w:hAnsi="Times New Roman" w:cs="Times New Roman"/>
          <w:color w:val="000000"/>
          <w:spacing w:val="-2"/>
          <w:sz w:val="24"/>
          <w:szCs w:val="24"/>
        </w:rPr>
        <w:t xml:space="preserve">przekazywanych informacji. </w:t>
      </w:r>
      <w:r w:rsidR="00C428EB" w:rsidRPr="0083169B">
        <w:rPr>
          <w:rFonts w:ascii="Times New Roman" w:eastAsia="Times New Roman" w:hAnsi="Times New Roman" w:cs="Times New Roman"/>
          <w:sz w:val="24"/>
          <w:szCs w:val="24"/>
        </w:rPr>
        <w:t>Konieczność przekazywania informacji zgodnie z zakresem określonym w projektowanym rozporządzeniu nie będzie jednak stanowić uciążliwego obowiązku. Z</w:t>
      </w:r>
      <w:r w:rsidR="00D75971" w:rsidRPr="0083169B">
        <w:rPr>
          <w:rFonts w:ascii="Times New Roman" w:hAnsi="Times New Roman" w:cs="Times New Roman"/>
          <w:color w:val="000000"/>
          <w:spacing w:val="-2"/>
          <w:sz w:val="24"/>
          <w:szCs w:val="24"/>
        </w:rPr>
        <w:t>asadniczo tożsame obowiązki informacyjne są wykonywane obecnie.</w:t>
      </w:r>
    </w:p>
    <w:p w14:paraId="5BC8F512" w14:textId="40A509E4" w:rsidR="00E53B94" w:rsidRPr="0083169B" w:rsidRDefault="00846E64" w:rsidP="002C536A">
      <w:pPr>
        <w:spacing w:after="0" w:line="360" w:lineRule="auto"/>
        <w:jc w:val="both"/>
        <w:rPr>
          <w:rFonts w:ascii="Times New Roman" w:hAnsi="Times New Roman" w:cs="Times New Roman"/>
          <w:sz w:val="24"/>
          <w:szCs w:val="24"/>
        </w:rPr>
      </w:pPr>
      <w:r w:rsidRPr="0083169B">
        <w:rPr>
          <w:rFonts w:ascii="Times New Roman" w:hAnsi="Times New Roman" w:cs="Times New Roman"/>
          <w:sz w:val="24"/>
          <w:szCs w:val="24"/>
        </w:rPr>
        <w:t>Projekt rozporządzenia jest zgodny z prawem Unii Europejskiej.</w:t>
      </w:r>
      <w:bookmarkEnd w:id="0"/>
    </w:p>
    <w:sectPr w:rsidR="00E53B94" w:rsidRPr="0083169B" w:rsidSect="00CA110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C678" w14:textId="77777777" w:rsidR="006168FE" w:rsidRDefault="006168FE" w:rsidP="00CA1109">
      <w:pPr>
        <w:spacing w:after="0" w:line="240" w:lineRule="auto"/>
      </w:pPr>
      <w:r>
        <w:separator/>
      </w:r>
    </w:p>
  </w:endnote>
  <w:endnote w:type="continuationSeparator" w:id="0">
    <w:p w14:paraId="75EE1B2D" w14:textId="77777777" w:rsidR="006168FE" w:rsidRDefault="006168FE" w:rsidP="00CA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B540" w14:textId="77777777" w:rsidR="00E124A0" w:rsidRDefault="00E124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64513"/>
      <w:docPartObj>
        <w:docPartGallery w:val="Page Numbers (Bottom of Page)"/>
        <w:docPartUnique/>
      </w:docPartObj>
    </w:sdtPr>
    <w:sdtEndPr/>
    <w:sdtContent>
      <w:p w14:paraId="7A7754D1" w14:textId="7BFDF6DE" w:rsidR="00CA1109" w:rsidRDefault="00CA1109">
        <w:pPr>
          <w:pStyle w:val="Stopka"/>
          <w:jc w:val="center"/>
        </w:pPr>
        <w:r>
          <w:fldChar w:fldCharType="begin"/>
        </w:r>
        <w:r>
          <w:instrText>PAGE   \* MERGEFORMAT</w:instrText>
        </w:r>
        <w:r>
          <w:fldChar w:fldCharType="separate"/>
        </w:r>
        <w:r w:rsidR="00B04FF3">
          <w:rPr>
            <w:noProof/>
          </w:rPr>
          <w:t>5</w:t>
        </w:r>
        <w:r>
          <w:fldChar w:fldCharType="end"/>
        </w:r>
      </w:p>
    </w:sdtContent>
  </w:sdt>
  <w:p w14:paraId="14B991C2" w14:textId="77777777" w:rsidR="00CA1109" w:rsidRDefault="00CA11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60EF" w14:textId="77777777" w:rsidR="00E124A0" w:rsidRDefault="00E124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ECE9" w14:textId="77777777" w:rsidR="006168FE" w:rsidRDefault="006168FE" w:rsidP="00CA1109">
      <w:pPr>
        <w:spacing w:after="0" w:line="240" w:lineRule="auto"/>
      </w:pPr>
      <w:r>
        <w:separator/>
      </w:r>
    </w:p>
  </w:footnote>
  <w:footnote w:type="continuationSeparator" w:id="0">
    <w:p w14:paraId="23404A28" w14:textId="77777777" w:rsidR="006168FE" w:rsidRDefault="006168FE" w:rsidP="00CA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45E9" w14:textId="77777777" w:rsidR="00E124A0" w:rsidRDefault="00E124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2A3C" w14:textId="77777777" w:rsidR="00E124A0" w:rsidRDefault="00E124A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F8C" w14:textId="77777777" w:rsidR="00E124A0" w:rsidRDefault="00E124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28"/>
      <w:numFmt w:val="decimal"/>
      <w:lvlText w:val="%2)"/>
      <w:lvlJc w:val="left"/>
    </w:lvl>
    <w:lvl w:ilvl="2">
      <w:start w:val="28"/>
      <w:numFmt w:val="decimal"/>
      <w:lvlText w:val="%2)"/>
      <w:lvlJc w:val="left"/>
    </w:lvl>
    <w:lvl w:ilvl="3">
      <w:start w:val="28"/>
      <w:numFmt w:val="decimal"/>
      <w:lvlText w:val="%2)"/>
      <w:lvlJc w:val="left"/>
    </w:lvl>
    <w:lvl w:ilvl="4">
      <w:start w:val="28"/>
      <w:numFmt w:val="decimal"/>
      <w:lvlText w:val="%2)"/>
      <w:lvlJc w:val="left"/>
    </w:lvl>
    <w:lvl w:ilvl="5">
      <w:start w:val="28"/>
      <w:numFmt w:val="decimal"/>
      <w:lvlText w:val="%2)"/>
      <w:lvlJc w:val="left"/>
    </w:lvl>
    <w:lvl w:ilvl="6">
      <w:start w:val="28"/>
      <w:numFmt w:val="decimal"/>
      <w:lvlText w:val="%2)"/>
      <w:lvlJc w:val="left"/>
    </w:lvl>
    <w:lvl w:ilvl="7">
      <w:start w:val="28"/>
      <w:numFmt w:val="decimal"/>
      <w:lvlText w:val="%2)"/>
      <w:lvlJc w:val="left"/>
    </w:lvl>
    <w:lvl w:ilvl="8">
      <w:start w:val="28"/>
      <w:numFmt w:val="decimal"/>
      <w:lvlText w:val="%2)"/>
      <w:lvlJc w:val="left"/>
    </w:lvl>
  </w:abstractNum>
  <w:abstractNum w:abstractNumId="1" w15:restartNumberingAfterBreak="0">
    <w:nsid w:val="3F4043FC"/>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28"/>
      <w:numFmt w:val="decimal"/>
      <w:lvlText w:val="%2)"/>
      <w:lvlJc w:val="left"/>
    </w:lvl>
    <w:lvl w:ilvl="2">
      <w:start w:val="28"/>
      <w:numFmt w:val="decimal"/>
      <w:lvlText w:val="%2)"/>
      <w:lvlJc w:val="left"/>
    </w:lvl>
    <w:lvl w:ilvl="3">
      <w:start w:val="28"/>
      <w:numFmt w:val="decimal"/>
      <w:lvlText w:val="%2)"/>
      <w:lvlJc w:val="left"/>
    </w:lvl>
    <w:lvl w:ilvl="4">
      <w:start w:val="28"/>
      <w:numFmt w:val="decimal"/>
      <w:lvlText w:val="%2)"/>
      <w:lvlJc w:val="left"/>
    </w:lvl>
    <w:lvl w:ilvl="5">
      <w:start w:val="28"/>
      <w:numFmt w:val="decimal"/>
      <w:lvlText w:val="%2)"/>
      <w:lvlJc w:val="left"/>
    </w:lvl>
    <w:lvl w:ilvl="6">
      <w:start w:val="28"/>
      <w:numFmt w:val="decimal"/>
      <w:lvlText w:val="%2)"/>
      <w:lvlJc w:val="left"/>
    </w:lvl>
    <w:lvl w:ilvl="7">
      <w:start w:val="28"/>
      <w:numFmt w:val="decimal"/>
      <w:lvlText w:val="%2)"/>
      <w:lvlJc w:val="left"/>
    </w:lvl>
    <w:lvl w:ilvl="8">
      <w:start w:val="28"/>
      <w:numFmt w:val="decimal"/>
      <w:lvlText w:val="%2)"/>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80"/>
    <w:rsid w:val="00000990"/>
    <w:rsid w:val="00007D56"/>
    <w:rsid w:val="00010D31"/>
    <w:rsid w:val="000110CF"/>
    <w:rsid w:val="00011396"/>
    <w:rsid w:val="000133AB"/>
    <w:rsid w:val="00015049"/>
    <w:rsid w:val="00025CB2"/>
    <w:rsid w:val="00025FB0"/>
    <w:rsid w:val="0003481D"/>
    <w:rsid w:val="00040254"/>
    <w:rsid w:val="00040B11"/>
    <w:rsid w:val="00044847"/>
    <w:rsid w:val="00052171"/>
    <w:rsid w:val="00052C90"/>
    <w:rsid w:val="00055475"/>
    <w:rsid w:val="000560C5"/>
    <w:rsid w:val="00056E63"/>
    <w:rsid w:val="00061F5D"/>
    <w:rsid w:val="0007680A"/>
    <w:rsid w:val="00082BD5"/>
    <w:rsid w:val="0008596A"/>
    <w:rsid w:val="00085AA2"/>
    <w:rsid w:val="0009530B"/>
    <w:rsid w:val="000957B2"/>
    <w:rsid w:val="00095A49"/>
    <w:rsid w:val="00097869"/>
    <w:rsid w:val="000B15F8"/>
    <w:rsid w:val="000B27BF"/>
    <w:rsid w:val="000B4529"/>
    <w:rsid w:val="000B662A"/>
    <w:rsid w:val="000B6A8C"/>
    <w:rsid w:val="000B7246"/>
    <w:rsid w:val="000C4D7E"/>
    <w:rsid w:val="000D70B4"/>
    <w:rsid w:val="000E5254"/>
    <w:rsid w:val="000F0A1B"/>
    <w:rsid w:val="000F0B1E"/>
    <w:rsid w:val="000F1DC5"/>
    <w:rsid w:val="000F5CDD"/>
    <w:rsid w:val="000F73B2"/>
    <w:rsid w:val="000F74C0"/>
    <w:rsid w:val="00101D34"/>
    <w:rsid w:val="00105416"/>
    <w:rsid w:val="00105552"/>
    <w:rsid w:val="00105958"/>
    <w:rsid w:val="00113DCF"/>
    <w:rsid w:val="001141F1"/>
    <w:rsid w:val="00115EF9"/>
    <w:rsid w:val="001204D4"/>
    <w:rsid w:val="001208EC"/>
    <w:rsid w:val="00120E5A"/>
    <w:rsid w:val="0012330F"/>
    <w:rsid w:val="00123E89"/>
    <w:rsid w:val="001278F7"/>
    <w:rsid w:val="0014178B"/>
    <w:rsid w:val="001435C0"/>
    <w:rsid w:val="00143812"/>
    <w:rsid w:val="00146F36"/>
    <w:rsid w:val="001508D0"/>
    <w:rsid w:val="00151313"/>
    <w:rsid w:val="001550AA"/>
    <w:rsid w:val="001661D2"/>
    <w:rsid w:val="00166CFD"/>
    <w:rsid w:val="00171534"/>
    <w:rsid w:val="00177673"/>
    <w:rsid w:val="0018154E"/>
    <w:rsid w:val="00184538"/>
    <w:rsid w:val="00195837"/>
    <w:rsid w:val="001A781D"/>
    <w:rsid w:val="001B6AEF"/>
    <w:rsid w:val="001B74B7"/>
    <w:rsid w:val="001C14ED"/>
    <w:rsid w:val="001C1FD9"/>
    <w:rsid w:val="001C255B"/>
    <w:rsid w:val="001C3FDC"/>
    <w:rsid w:val="001D28CA"/>
    <w:rsid w:val="001D3895"/>
    <w:rsid w:val="001D38C3"/>
    <w:rsid w:val="001D45A6"/>
    <w:rsid w:val="001E0F21"/>
    <w:rsid w:val="001F6286"/>
    <w:rsid w:val="00200467"/>
    <w:rsid w:val="00201BB2"/>
    <w:rsid w:val="00205DF2"/>
    <w:rsid w:val="00213915"/>
    <w:rsid w:val="002165EC"/>
    <w:rsid w:val="00220ABE"/>
    <w:rsid w:val="00223593"/>
    <w:rsid w:val="0022618C"/>
    <w:rsid w:val="002322EA"/>
    <w:rsid w:val="00233FD7"/>
    <w:rsid w:val="00234494"/>
    <w:rsid w:val="00240FEF"/>
    <w:rsid w:val="00247147"/>
    <w:rsid w:val="00247332"/>
    <w:rsid w:val="00250694"/>
    <w:rsid w:val="002537F9"/>
    <w:rsid w:val="00256FE2"/>
    <w:rsid w:val="002623DD"/>
    <w:rsid w:val="00264919"/>
    <w:rsid w:val="00267467"/>
    <w:rsid w:val="00267B52"/>
    <w:rsid w:val="00274E72"/>
    <w:rsid w:val="0028429E"/>
    <w:rsid w:val="00284366"/>
    <w:rsid w:val="00284DFF"/>
    <w:rsid w:val="002902BB"/>
    <w:rsid w:val="00290E21"/>
    <w:rsid w:val="0029256D"/>
    <w:rsid w:val="002968EB"/>
    <w:rsid w:val="002A20C6"/>
    <w:rsid w:val="002B39F0"/>
    <w:rsid w:val="002B646C"/>
    <w:rsid w:val="002B73F0"/>
    <w:rsid w:val="002C2B4C"/>
    <w:rsid w:val="002C536A"/>
    <w:rsid w:val="002E5556"/>
    <w:rsid w:val="002F15AD"/>
    <w:rsid w:val="002F63EB"/>
    <w:rsid w:val="0031007A"/>
    <w:rsid w:val="003100CC"/>
    <w:rsid w:val="00323B00"/>
    <w:rsid w:val="00330D61"/>
    <w:rsid w:val="003326F0"/>
    <w:rsid w:val="00335637"/>
    <w:rsid w:val="00336579"/>
    <w:rsid w:val="00336DB3"/>
    <w:rsid w:val="003420A9"/>
    <w:rsid w:val="00343BF7"/>
    <w:rsid w:val="00346588"/>
    <w:rsid w:val="0035235D"/>
    <w:rsid w:val="00353E47"/>
    <w:rsid w:val="0035720C"/>
    <w:rsid w:val="00374B52"/>
    <w:rsid w:val="003807E8"/>
    <w:rsid w:val="00381BBC"/>
    <w:rsid w:val="0038289B"/>
    <w:rsid w:val="00392420"/>
    <w:rsid w:val="003A365B"/>
    <w:rsid w:val="003B3C61"/>
    <w:rsid w:val="003B520E"/>
    <w:rsid w:val="003C1215"/>
    <w:rsid w:val="003C7BB0"/>
    <w:rsid w:val="003D1246"/>
    <w:rsid w:val="003D397E"/>
    <w:rsid w:val="003D62A8"/>
    <w:rsid w:val="003E43EC"/>
    <w:rsid w:val="003E5DA2"/>
    <w:rsid w:val="003F149B"/>
    <w:rsid w:val="003F255C"/>
    <w:rsid w:val="00400F1C"/>
    <w:rsid w:val="00403843"/>
    <w:rsid w:val="004044CF"/>
    <w:rsid w:val="00405D9E"/>
    <w:rsid w:val="0040700A"/>
    <w:rsid w:val="00422165"/>
    <w:rsid w:val="0043310A"/>
    <w:rsid w:val="00434C31"/>
    <w:rsid w:val="004355A0"/>
    <w:rsid w:val="00444818"/>
    <w:rsid w:val="0045492E"/>
    <w:rsid w:val="00454DEF"/>
    <w:rsid w:val="004560C8"/>
    <w:rsid w:val="00470481"/>
    <w:rsid w:val="00483FF2"/>
    <w:rsid w:val="00484003"/>
    <w:rsid w:val="0048411B"/>
    <w:rsid w:val="00484E90"/>
    <w:rsid w:val="004853D6"/>
    <w:rsid w:val="004869FE"/>
    <w:rsid w:val="004B4E8B"/>
    <w:rsid w:val="004B7C73"/>
    <w:rsid w:val="004C3461"/>
    <w:rsid w:val="004C67FB"/>
    <w:rsid w:val="004D1816"/>
    <w:rsid w:val="004E5928"/>
    <w:rsid w:val="004E72C4"/>
    <w:rsid w:val="004F0512"/>
    <w:rsid w:val="004F0C67"/>
    <w:rsid w:val="004F59D4"/>
    <w:rsid w:val="004F6623"/>
    <w:rsid w:val="004F7306"/>
    <w:rsid w:val="005122A5"/>
    <w:rsid w:val="00513915"/>
    <w:rsid w:val="00513C37"/>
    <w:rsid w:val="00515ABF"/>
    <w:rsid w:val="00515ED3"/>
    <w:rsid w:val="0052172F"/>
    <w:rsid w:val="00521B7A"/>
    <w:rsid w:val="00524DC6"/>
    <w:rsid w:val="00525C79"/>
    <w:rsid w:val="00530307"/>
    <w:rsid w:val="005308D3"/>
    <w:rsid w:val="005419FB"/>
    <w:rsid w:val="005574A4"/>
    <w:rsid w:val="005610F5"/>
    <w:rsid w:val="00563356"/>
    <w:rsid w:val="00563470"/>
    <w:rsid w:val="00563BB0"/>
    <w:rsid w:val="0056781E"/>
    <w:rsid w:val="005724E9"/>
    <w:rsid w:val="0057252E"/>
    <w:rsid w:val="005728A1"/>
    <w:rsid w:val="005731E5"/>
    <w:rsid w:val="0058210C"/>
    <w:rsid w:val="0058279C"/>
    <w:rsid w:val="00586325"/>
    <w:rsid w:val="00595C13"/>
    <w:rsid w:val="005A66EC"/>
    <w:rsid w:val="005A69F8"/>
    <w:rsid w:val="005B56CB"/>
    <w:rsid w:val="005C011B"/>
    <w:rsid w:val="005C34C8"/>
    <w:rsid w:val="005D4CD1"/>
    <w:rsid w:val="005E1EC4"/>
    <w:rsid w:val="005E4673"/>
    <w:rsid w:val="005E66F1"/>
    <w:rsid w:val="005E747E"/>
    <w:rsid w:val="005F4C9D"/>
    <w:rsid w:val="005F52BC"/>
    <w:rsid w:val="005F6747"/>
    <w:rsid w:val="005F6B7E"/>
    <w:rsid w:val="006014A0"/>
    <w:rsid w:val="006168FE"/>
    <w:rsid w:val="00622007"/>
    <w:rsid w:val="00625713"/>
    <w:rsid w:val="00630EF0"/>
    <w:rsid w:val="00631FD7"/>
    <w:rsid w:val="0063263C"/>
    <w:rsid w:val="0063609F"/>
    <w:rsid w:val="006373E3"/>
    <w:rsid w:val="006475A5"/>
    <w:rsid w:val="006607B5"/>
    <w:rsid w:val="00661DCD"/>
    <w:rsid w:val="00665E5D"/>
    <w:rsid w:val="00671F41"/>
    <w:rsid w:val="006813C5"/>
    <w:rsid w:val="00685C78"/>
    <w:rsid w:val="006920D1"/>
    <w:rsid w:val="00694CE1"/>
    <w:rsid w:val="00695591"/>
    <w:rsid w:val="00695B9A"/>
    <w:rsid w:val="00696B63"/>
    <w:rsid w:val="006A488C"/>
    <w:rsid w:val="006A5169"/>
    <w:rsid w:val="006A7F6D"/>
    <w:rsid w:val="006B01A1"/>
    <w:rsid w:val="006B28B2"/>
    <w:rsid w:val="006B72D7"/>
    <w:rsid w:val="006C0F7A"/>
    <w:rsid w:val="006D2BFE"/>
    <w:rsid w:val="006E0ED5"/>
    <w:rsid w:val="006E5C13"/>
    <w:rsid w:val="006E6D3E"/>
    <w:rsid w:val="006F1330"/>
    <w:rsid w:val="006F2507"/>
    <w:rsid w:val="006F5603"/>
    <w:rsid w:val="006F5DAB"/>
    <w:rsid w:val="00701CE1"/>
    <w:rsid w:val="0070484F"/>
    <w:rsid w:val="00715C73"/>
    <w:rsid w:val="00721C32"/>
    <w:rsid w:val="00722420"/>
    <w:rsid w:val="00725B30"/>
    <w:rsid w:val="007268EE"/>
    <w:rsid w:val="00733BFD"/>
    <w:rsid w:val="00734570"/>
    <w:rsid w:val="00736E90"/>
    <w:rsid w:val="00740EEC"/>
    <w:rsid w:val="00746A4D"/>
    <w:rsid w:val="00750408"/>
    <w:rsid w:val="00751E90"/>
    <w:rsid w:val="00766692"/>
    <w:rsid w:val="00771863"/>
    <w:rsid w:val="00772FBF"/>
    <w:rsid w:val="007753FD"/>
    <w:rsid w:val="00777245"/>
    <w:rsid w:val="00780737"/>
    <w:rsid w:val="007862AF"/>
    <w:rsid w:val="00787CA4"/>
    <w:rsid w:val="007B098B"/>
    <w:rsid w:val="007C1779"/>
    <w:rsid w:val="007C59D3"/>
    <w:rsid w:val="007D2381"/>
    <w:rsid w:val="007D4DE0"/>
    <w:rsid w:val="007D5280"/>
    <w:rsid w:val="007D53E7"/>
    <w:rsid w:val="007E25EE"/>
    <w:rsid w:val="007F2432"/>
    <w:rsid w:val="0080155E"/>
    <w:rsid w:val="008015D6"/>
    <w:rsid w:val="00814C9A"/>
    <w:rsid w:val="00822D3B"/>
    <w:rsid w:val="0083169B"/>
    <w:rsid w:val="00834E98"/>
    <w:rsid w:val="0084049B"/>
    <w:rsid w:val="00844292"/>
    <w:rsid w:val="00846E64"/>
    <w:rsid w:val="00847638"/>
    <w:rsid w:val="00847875"/>
    <w:rsid w:val="00852729"/>
    <w:rsid w:val="00852ED0"/>
    <w:rsid w:val="00880D85"/>
    <w:rsid w:val="00881EBC"/>
    <w:rsid w:val="00882880"/>
    <w:rsid w:val="00883646"/>
    <w:rsid w:val="0088703F"/>
    <w:rsid w:val="008915C5"/>
    <w:rsid w:val="008968CE"/>
    <w:rsid w:val="008A35D3"/>
    <w:rsid w:val="008B03BC"/>
    <w:rsid w:val="008B1099"/>
    <w:rsid w:val="008B2FBB"/>
    <w:rsid w:val="008B549C"/>
    <w:rsid w:val="008B5786"/>
    <w:rsid w:val="008C63B1"/>
    <w:rsid w:val="008D1C48"/>
    <w:rsid w:val="008D28AF"/>
    <w:rsid w:val="008D747B"/>
    <w:rsid w:val="008E44E1"/>
    <w:rsid w:val="008E5BDA"/>
    <w:rsid w:val="008F387B"/>
    <w:rsid w:val="008F3D6B"/>
    <w:rsid w:val="008F464C"/>
    <w:rsid w:val="009007DE"/>
    <w:rsid w:val="0090107B"/>
    <w:rsid w:val="00907EE3"/>
    <w:rsid w:val="00916611"/>
    <w:rsid w:val="009178C6"/>
    <w:rsid w:val="00920ADF"/>
    <w:rsid w:val="009217B0"/>
    <w:rsid w:val="0093066B"/>
    <w:rsid w:val="00941AED"/>
    <w:rsid w:val="009474C8"/>
    <w:rsid w:val="00953C94"/>
    <w:rsid w:val="009542B6"/>
    <w:rsid w:val="009547BE"/>
    <w:rsid w:val="00955BD3"/>
    <w:rsid w:val="00957124"/>
    <w:rsid w:val="00961FBC"/>
    <w:rsid w:val="0096729F"/>
    <w:rsid w:val="009678B4"/>
    <w:rsid w:val="00973772"/>
    <w:rsid w:val="00976AC7"/>
    <w:rsid w:val="00976C1B"/>
    <w:rsid w:val="00983577"/>
    <w:rsid w:val="009863F0"/>
    <w:rsid w:val="009900DA"/>
    <w:rsid w:val="00994C45"/>
    <w:rsid w:val="009A10E2"/>
    <w:rsid w:val="009B149A"/>
    <w:rsid w:val="009B29A3"/>
    <w:rsid w:val="009B4517"/>
    <w:rsid w:val="009C45B3"/>
    <w:rsid w:val="009C6108"/>
    <w:rsid w:val="009C760B"/>
    <w:rsid w:val="009D57FF"/>
    <w:rsid w:val="009E166D"/>
    <w:rsid w:val="009E73AB"/>
    <w:rsid w:val="009F2D47"/>
    <w:rsid w:val="009F577D"/>
    <w:rsid w:val="00A12F9E"/>
    <w:rsid w:val="00A14DDB"/>
    <w:rsid w:val="00A17F28"/>
    <w:rsid w:val="00A26FCE"/>
    <w:rsid w:val="00A30D46"/>
    <w:rsid w:val="00A32104"/>
    <w:rsid w:val="00A32214"/>
    <w:rsid w:val="00A37BBB"/>
    <w:rsid w:val="00A46125"/>
    <w:rsid w:val="00A47E73"/>
    <w:rsid w:val="00A51CCE"/>
    <w:rsid w:val="00A5260D"/>
    <w:rsid w:val="00A53004"/>
    <w:rsid w:val="00A54034"/>
    <w:rsid w:val="00A54A7C"/>
    <w:rsid w:val="00A55667"/>
    <w:rsid w:val="00A60442"/>
    <w:rsid w:val="00A60BBC"/>
    <w:rsid w:val="00A62475"/>
    <w:rsid w:val="00A724EC"/>
    <w:rsid w:val="00A72596"/>
    <w:rsid w:val="00A730B7"/>
    <w:rsid w:val="00A7486A"/>
    <w:rsid w:val="00A8447F"/>
    <w:rsid w:val="00A91855"/>
    <w:rsid w:val="00A92FEC"/>
    <w:rsid w:val="00AA3F91"/>
    <w:rsid w:val="00AA5C73"/>
    <w:rsid w:val="00AA7EB7"/>
    <w:rsid w:val="00AC0C79"/>
    <w:rsid w:val="00AC1A87"/>
    <w:rsid w:val="00AC6A53"/>
    <w:rsid w:val="00AC7BB5"/>
    <w:rsid w:val="00AD0040"/>
    <w:rsid w:val="00AD02C1"/>
    <w:rsid w:val="00AE052F"/>
    <w:rsid w:val="00AE0ACC"/>
    <w:rsid w:val="00AE32D7"/>
    <w:rsid w:val="00AE38BC"/>
    <w:rsid w:val="00B00339"/>
    <w:rsid w:val="00B014B7"/>
    <w:rsid w:val="00B03DB8"/>
    <w:rsid w:val="00B04FA8"/>
    <w:rsid w:val="00B04FF3"/>
    <w:rsid w:val="00B10494"/>
    <w:rsid w:val="00B10E9A"/>
    <w:rsid w:val="00B123EE"/>
    <w:rsid w:val="00B1340D"/>
    <w:rsid w:val="00B13F4B"/>
    <w:rsid w:val="00B26909"/>
    <w:rsid w:val="00B30402"/>
    <w:rsid w:val="00B33A69"/>
    <w:rsid w:val="00B34840"/>
    <w:rsid w:val="00B504D4"/>
    <w:rsid w:val="00B549FC"/>
    <w:rsid w:val="00B622A6"/>
    <w:rsid w:val="00B73899"/>
    <w:rsid w:val="00B76634"/>
    <w:rsid w:val="00B83BC8"/>
    <w:rsid w:val="00BB6494"/>
    <w:rsid w:val="00BB7E7F"/>
    <w:rsid w:val="00BC1D95"/>
    <w:rsid w:val="00BC1F5B"/>
    <w:rsid w:val="00BC5A20"/>
    <w:rsid w:val="00BC6D3A"/>
    <w:rsid w:val="00BC7880"/>
    <w:rsid w:val="00BD576C"/>
    <w:rsid w:val="00BD7813"/>
    <w:rsid w:val="00BE0F6B"/>
    <w:rsid w:val="00BE1CA1"/>
    <w:rsid w:val="00BF09C3"/>
    <w:rsid w:val="00C0294A"/>
    <w:rsid w:val="00C10371"/>
    <w:rsid w:val="00C10B1E"/>
    <w:rsid w:val="00C11535"/>
    <w:rsid w:val="00C1680C"/>
    <w:rsid w:val="00C16FC0"/>
    <w:rsid w:val="00C21844"/>
    <w:rsid w:val="00C26458"/>
    <w:rsid w:val="00C41F4B"/>
    <w:rsid w:val="00C428EB"/>
    <w:rsid w:val="00C4323C"/>
    <w:rsid w:val="00C436F8"/>
    <w:rsid w:val="00C44671"/>
    <w:rsid w:val="00C457F6"/>
    <w:rsid w:val="00C462C6"/>
    <w:rsid w:val="00C46FD0"/>
    <w:rsid w:val="00C64A4E"/>
    <w:rsid w:val="00C70295"/>
    <w:rsid w:val="00C74F2F"/>
    <w:rsid w:val="00C7761D"/>
    <w:rsid w:val="00C8520F"/>
    <w:rsid w:val="00C9270C"/>
    <w:rsid w:val="00C968A8"/>
    <w:rsid w:val="00CA0D2F"/>
    <w:rsid w:val="00CA1109"/>
    <w:rsid w:val="00CA111A"/>
    <w:rsid w:val="00CB074B"/>
    <w:rsid w:val="00CB18FA"/>
    <w:rsid w:val="00CB1ABF"/>
    <w:rsid w:val="00CB3AF9"/>
    <w:rsid w:val="00CC0B4F"/>
    <w:rsid w:val="00CC76CE"/>
    <w:rsid w:val="00CD7614"/>
    <w:rsid w:val="00CE3FF1"/>
    <w:rsid w:val="00CF366F"/>
    <w:rsid w:val="00CF4F9F"/>
    <w:rsid w:val="00CF5369"/>
    <w:rsid w:val="00CF61E7"/>
    <w:rsid w:val="00CF689A"/>
    <w:rsid w:val="00D01DC7"/>
    <w:rsid w:val="00D07F0C"/>
    <w:rsid w:val="00D104D5"/>
    <w:rsid w:val="00D13385"/>
    <w:rsid w:val="00D168B4"/>
    <w:rsid w:val="00D176A0"/>
    <w:rsid w:val="00D22F12"/>
    <w:rsid w:val="00D23C06"/>
    <w:rsid w:val="00D2596E"/>
    <w:rsid w:val="00D308C4"/>
    <w:rsid w:val="00D323B3"/>
    <w:rsid w:val="00D33886"/>
    <w:rsid w:val="00D33AD6"/>
    <w:rsid w:val="00D34201"/>
    <w:rsid w:val="00D34C42"/>
    <w:rsid w:val="00D3599C"/>
    <w:rsid w:val="00D3636F"/>
    <w:rsid w:val="00D41B3D"/>
    <w:rsid w:val="00D4714F"/>
    <w:rsid w:val="00D54ABD"/>
    <w:rsid w:val="00D61403"/>
    <w:rsid w:val="00D627FE"/>
    <w:rsid w:val="00D66A78"/>
    <w:rsid w:val="00D74D6A"/>
    <w:rsid w:val="00D75971"/>
    <w:rsid w:val="00D765F5"/>
    <w:rsid w:val="00D76BD4"/>
    <w:rsid w:val="00D820BA"/>
    <w:rsid w:val="00D835EE"/>
    <w:rsid w:val="00D905A2"/>
    <w:rsid w:val="00DA0034"/>
    <w:rsid w:val="00DA44B4"/>
    <w:rsid w:val="00DC0039"/>
    <w:rsid w:val="00DC4F75"/>
    <w:rsid w:val="00DD4778"/>
    <w:rsid w:val="00DD7AE6"/>
    <w:rsid w:val="00DE35B0"/>
    <w:rsid w:val="00DE582E"/>
    <w:rsid w:val="00DF59FF"/>
    <w:rsid w:val="00E01708"/>
    <w:rsid w:val="00E02693"/>
    <w:rsid w:val="00E029F3"/>
    <w:rsid w:val="00E02B6A"/>
    <w:rsid w:val="00E11022"/>
    <w:rsid w:val="00E124A0"/>
    <w:rsid w:val="00E1474E"/>
    <w:rsid w:val="00E16C61"/>
    <w:rsid w:val="00E27640"/>
    <w:rsid w:val="00E366F2"/>
    <w:rsid w:val="00E44897"/>
    <w:rsid w:val="00E45A92"/>
    <w:rsid w:val="00E53B94"/>
    <w:rsid w:val="00E546CC"/>
    <w:rsid w:val="00E605D7"/>
    <w:rsid w:val="00E628B8"/>
    <w:rsid w:val="00E70209"/>
    <w:rsid w:val="00E7307E"/>
    <w:rsid w:val="00E753A9"/>
    <w:rsid w:val="00E77D2D"/>
    <w:rsid w:val="00E80F97"/>
    <w:rsid w:val="00E84C29"/>
    <w:rsid w:val="00E91D9A"/>
    <w:rsid w:val="00E929F5"/>
    <w:rsid w:val="00E94423"/>
    <w:rsid w:val="00E96430"/>
    <w:rsid w:val="00EA12A7"/>
    <w:rsid w:val="00EA7B47"/>
    <w:rsid w:val="00EB2577"/>
    <w:rsid w:val="00EB3786"/>
    <w:rsid w:val="00EB3CF5"/>
    <w:rsid w:val="00EB5B03"/>
    <w:rsid w:val="00EC69C4"/>
    <w:rsid w:val="00ED782B"/>
    <w:rsid w:val="00EE1ADE"/>
    <w:rsid w:val="00EE1BA6"/>
    <w:rsid w:val="00EE43C1"/>
    <w:rsid w:val="00EE532D"/>
    <w:rsid w:val="00EE5FC9"/>
    <w:rsid w:val="00EF28E5"/>
    <w:rsid w:val="00EF5B4B"/>
    <w:rsid w:val="00F0514C"/>
    <w:rsid w:val="00F17438"/>
    <w:rsid w:val="00F244AC"/>
    <w:rsid w:val="00F2468E"/>
    <w:rsid w:val="00F30D8F"/>
    <w:rsid w:val="00F316A6"/>
    <w:rsid w:val="00F355E2"/>
    <w:rsid w:val="00F370C0"/>
    <w:rsid w:val="00F43731"/>
    <w:rsid w:val="00F461B8"/>
    <w:rsid w:val="00F476B7"/>
    <w:rsid w:val="00F518A6"/>
    <w:rsid w:val="00F62FB6"/>
    <w:rsid w:val="00F659D1"/>
    <w:rsid w:val="00F71623"/>
    <w:rsid w:val="00F71733"/>
    <w:rsid w:val="00F75A32"/>
    <w:rsid w:val="00F858B6"/>
    <w:rsid w:val="00F85F21"/>
    <w:rsid w:val="00F863C9"/>
    <w:rsid w:val="00F8790A"/>
    <w:rsid w:val="00F93714"/>
    <w:rsid w:val="00F957B1"/>
    <w:rsid w:val="00FB099A"/>
    <w:rsid w:val="00FB4184"/>
    <w:rsid w:val="00FC0BC9"/>
    <w:rsid w:val="00FC4D62"/>
    <w:rsid w:val="00FD22DB"/>
    <w:rsid w:val="00FE0588"/>
    <w:rsid w:val="00FE3668"/>
    <w:rsid w:val="00FE6C47"/>
    <w:rsid w:val="00FF0DE2"/>
    <w:rsid w:val="00FF2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A984"/>
  <w15:docId w15:val="{63B02337-EEFC-40A8-BBB3-54A0072B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E6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846E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semiHidden/>
    <w:unhideWhenUsed/>
    <w:rsid w:val="00846E64"/>
    <w:rPr>
      <w:sz w:val="16"/>
      <w:szCs w:val="16"/>
    </w:rPr>
  </w:style>
  <w:style w:type="paragraph" w:styleId="Tekstkomentarza">
    <w:name w:val="annotation text"/>
    <w:basedOn w:val="Normalny"/>
    <w:link w:val="TekstkomentarzaZnak"/>
    <w:uiPriority w:val="99"/>
    <w:unhideWhenUsed/>
    <w:rsid w:val="00846E64"/>
    <w:pPr>
      <w:spacing w:line="240" w:lineRule="auto"/>
    </w:pPr>
    <w:rPr>
      <w:sz w:val="20"/>
      <w:szCs w:val="20"/>
    </w:rPr>
  </w:style>
  <w:style w:type="character" w:customStyle="1" w:styleId="TekstkomentarzaZnak">
    <w:name w:val="Tekst komentarza Znak"/>
    <w:basedOn w:val="Domylnaczcionkaakapitu"/>
    <w:link w:val="Tekstkomentarza"/>
    <w:uiPriority w:val="99"/>
    <w:rsid w:val="00846E64"/>
    <w:rPr>
      <w:sz w:val="20"/>
      <w:szCs w:val="20"/>
    </w:rPr>
  </w:style>
  <w:style w:type="paragraph" w:styleId="Tekstdymka">
    <w:name w:val="Balloon Text"/>
    <w:basedOn w:val="Normalny"/>
    <w:link w:val="TekstdymkaZnak"/>
    <w:uiPriority w:val="99"/>
    <w:semiHidden/>
    <w:unhideWhenUsed/>
    <w:rsid w:val="00846E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E64"/>
    <w:rPr>
      <w:rFonts w:ascii="Segoe UI" w:hAnsi="Segoe UI" w:cs="Segoe UI"/>
      <w:sz w:val="18"/>
      <w:szCs w:val="18"/>
    </w:rPr>
  </w:style>
  <w:style w:type="paragraph" w:customStyle="1" w:styleId="PKTpunkt">
    <w:name w:val="PKT – punkt"/>
    <w:uiPriority w:val="13"/>
    <w:qFormat/>
    <w:rsid w:val="00E01708"/>
    <w:pPr>
      <w:spacing w:after="0" w:line="360" w:lineRule="auto"/>
      <w:ind w:left="510" w:hanging="510"/>
      <w:jc w:val="both"/>
    </w:pPr>
    <w:rPr>
      <w:rFonts w:ascii="Times" w:eastAsiaTheme="minorEastAsia" w:hAnsi="Times" w:cs="Arial"/>
      <w:bCs/>
      <w:sz w:val="24"/>
      <w:szCs w:val="20"/>
      <w:lang w:eastAsia="pl-PL"/>
    </w:rPr>
  </w:style>
  <w:style w:type="character" w:styleId="Hipercze">
    <w:name w:val="Hyperlink"/>
    <w:basedOn w:val="Domylnaczcionkaakapitu"/>
    <w:uiPriority w:val="99"/>
    <w:semiHidden/>
    <w:unhideWhenUsed/>
    <w:rsid w:val="007E25EE"/>
    <w:rPr>
      <w:color w:val="0000FF"/>
      <w:u w:val="single"/>
    </w:rPr>
  </w:style>
  <w:style w:type="paragraph" w:customStyle="1" w:styleId="tytaktuchyl">
    <w:name w:val="tytaktuchyl"/>
    <w:basedOn w:val="Normalny"/>
    <w:rsid w:val="007E25EE"/>
    <w:pPr>
      <w:spacing w:before="150" w:after="150" w:line="240" w:lineRule="auto"/>
      <w:jc w:val="center"/>
    </w:pPr>
    <w:rPr>
      <w:rFonts w:ascii="Times New Roman" w:eastAsia="Times New Roman" w:hAnsi="Times New Roman" w:cs="Times New Roman"/>
      <w:b/>
      <w:bCs/>
      <w:color w:val="E94B3A"/>
      <w:sz w:val="29"/>
      <w:szCs w:val="29"/>
      <w:lang w:eastAsia="pl-PL"/>
    </w:rPr>
  </w:style>
  <w:style w:type="paragraph" w:customStyle="1" w:styleId="pub">
    <w:name w:val="pub"/>
    <w:basedOn w:val="Normalny"/>
    <w:rsid w:val="007E25EE"/>
    <w:pPr>
      <w:spacing w:before="150" w:after="150" w:line="240" w:lineRule="auto"/>
      <w:jc w:val="center"/>
    </w:pPr>
    <w:rPr>
      <w:rFonts w:ascii="Times New Roman" w:eastAsia="Times New Roman" w:hAnsi="Times New Roman" w:cs="Times New Roman"/>
      <w:b/>
      <w:bCs/>
      <w:sz w:val="24"/>
      <w:szCs w:val="24"/>
      <w:lang w:eastAsia="pl-PL"/>
    </w:rPr>
  </w:style>
  <w:style w:type="paragraph" w:customStyle="1" w:styleId="tytaktniesam">
    <w:name w:val="tytaktniesam"/>
    <w:basedOn w:val="Normalny"/>
    <w:rsid w:val="00EE43C1"/>
    <w:pPr>
      <w:spacing w:before="150" w:after="150" w:line="240" w:lineRule="auto"/>
      <w:jc w:val="center"/>
    </w:pPr>
    <w:rPr>
      <w:rFonts w:ascii="Times New Roman" w:eastAsia="Times New Roman" w:hAnsi="Times New Roman" w:cs="Times New Roman"/>
      <w:b/>
      <w:bCs/>
      <w:color w:val="6E6E6E"/>
      <w:sz w:val="29"/>
      <w:szCs w:val="29"/>
      <w:lang w:eastAsia="pl-PL"/>
    </w:rPr>
  </w:style>
  <w:style w:type="character" w:customStyle="1" w:styleId="Normalny1">
    <w:name w:val="Normalny1"/>
    <w:basedOn w:val="Domylnaczcionkaakapitu"/>
    <w:rsid w:val="00EE43C1"/>
    <w:rPr>
      <w:b w:val="0"/>
      <w:bCs w:val="0"/>
      <w:i w:val="0"/>
      <w:iCs w:val="0"/>
    </w:rPr>
  </w:style>
  <w:style w:type="character" w:styleId="Pogrubienie">
    <w:name w:val="Strong"/>
    <w:basedOn w:val="Domylnaczcionkaakapitu"/>
    <w:uiPriority w:val="22"/>
    <w:qFormat/>
    <w:rsid w:val="0057252E"/>
    <w:rPr>
      <w:b/>
      <w:bCs/>
    </w:rPr>
  </w:style>
  <w:style w:type="paragraph" w:styleId="Tematkomentarza">
    <w:name w:val="annotation subject"/>
    <w:basedOn w:val="Tekstkomentarza"/>
    <w:next w:val="Tekstkomentarza"/>
    <w:link w:val="TematkomentarzaZnak"/>
    <w:uiPriority w:val="99"/>
    <w:semiHidden/>
    <w:unhideWhenUsed/>
    <w:rsid w:val="00335637"/>
    <w:rPr>
      <w:b/>
      <w:bCs/>
    </w:rPr>
  </w:style>
  <w:style w:type="character" w:customStyle="1" w:styleId="TematkomentarzaZnak">
    <w:name w:val="Temat komentarza Znak"/>
    <w:basedOn w:val="TekstkomentarzaZnak"/>
    <w:link w:val="Tematkomentarza"/>
    <w:uiPriority w:val="99"/>
    <w:semiHidden/>
    <w:rsid w:val="00335637"/>
    <w:rPr>
      <w:b/>
      <w:bCs/>
      <w:sz w:val="20"/>
      <w:szCs w:val="20"/>
    </w:rPr>
  </w:style>
  <w:style w:type="paragraph" w:styleId="Nagwek">
    <w:name w:val="header"/>
    <w:basedOn w:val="Normalny"/>
    <w:link w:val="NagwekZnak"/>
    <w:uiPriority w:val="99"/>
    <w:unhideWhenUsed/>
    <w:rsid w:val="00CA11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1109"/>
  </w:style>
  <w:style w:type="paragraph" w:styleId="Stopka">
    <w:name w:val="footer"/>
    <w:basedOn w:val="Normalny"/>
    <w:link w:val="StopkaZnak"/>
    <w:uiPriority w:val="99"/>
    <w:unhideWhenUsed/>
    <w:rsid w:val="00CA11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1109"/>
  </w:style>
  <w:style w:type="paragraph" w:customStyle="1" w:styleId="ODNONIKtreodnonika">
    <w:name w:val="ODNOŚNIK – treść odnośnika"/>
    <w:uiPriority w:val="19"/>
    <w:qFormat/>
    <w:rsid w:val="00F30D8F"/>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PKTODNONIKApunktodnonika">
    <w:name w:val="PKT_ODNOŚNIKA – punkt odnośnika"/>
    <w:basedOn w:val="ODNONIKtreodnonika"/>
    <w:uiPriority w:val="19"/>
    <w:qFormat/>
    <w:rsid w:val="00F30D8F"/>
    <w:pPr>
      <w:ind w:left="568"/>
    </w:pPr>
  </w:style>
  <w:style w:type="paragraph" w:customStyle="1" w:styleId="ZLITwPKTzmlitwpktartykuempunktem">
    <w:name w:val="Z/LIT_w_PKT – zm. lit. w pkt artykułem (punktem)"/>
    <w:basedOn w:val="Normalny"/>
    <w:uiPriority w:val="32"/>
    <w:qFormat/>
    <w:rsid w:val="00AE38BC"/>
    <w:pPr>
      <w:spacing w:after="0" w:line="360" w:lineRule="auto"/>
      <w:ind w:left="1497" w:hanging="476"/>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semiHidden/>
    <w:unhideWhenUsed/>
    <w:rsid w:val="00994C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4C45"/>
    <w:rPr>
      <w:sz w:val="20"/>
      <w:szCs w:val="20"/>
    </w:rPr>
  </w:style>
  <w:style w:type="character" w:styleId="Odwoanieprzypisudolnego">
    <w:name w:val="footnote reference"/>
    <w:basedOn w:val="Domylnaczcionkaakapitu"/>
    <w:uiPriority w:val="99"/>
    <w:semiHidden/>
    <w:unhideWhenUsed/>
    <w:rsid w:val="00994C45"/>
    <w:rPr>
      <w:vertAlign w:val="superscript"/>
    </w:rPr>
  </w:style>
  <w:style w:type="table" w:styleId="Tabela-Siatka">
    <w:name w:val="Table Grid"/>
    <w:basedOn w:val="Standardowy"/>
    <w:uiPriority w:val="39"/>
    <w:rsid w:val="0012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3169B"/>
    <w:pPr>
      <w:spacing w:after="0" w:line="240" w:lineRule="auto"/>
    </w:pPr>
  </w:style>
  <w:style w:type="character" w:styleId="Uwydatnienie">
    <w:name w:val="Emphasis"/>
    <w:basedOn w:val="Domylnaczcionkaakapitu"/>
    <w:uiPriority w:val="20"/>
    <w:qFormat/>
    <w:rsid w:val="000110CF"/>
    <w:rPr>
      <w:i/>
      <w:iCs/>
    </w:rPr>
  </w:style>
  <w:style w:type="character" w:customStyle="1" w:styleId="IGindeksgrny">
    <w:name w:val="_IG_ – indeks górny"/>
    <w:basedOn w:val="Domylnaczcionkaakapitu"/>
    <w:uiPriority w:val="2"/>
    <w:qFormat/>
    <w:rsid w:val="00E605D7"/>
    <w:rPr>
      <w:b w:val="0"/>
      <w:i w:val="0"/>
      <w:vanish w:val="0"/>
      <w:spacing w:val="0"/>
      <w:vertAlign w:val="superscript"/>
    </w:rPr>
  </w:style>
  <w:style w:type="paragraph" w:customStyle="1" w:styleId="USTustnpkodeksu">
    <w:name w:val="UST(§) – ust. (§ np. kodeksu)"/>
    <w:basedOn w:val="ARTartustawynprozporzdzenia"/>
    <w:uiPriority w:val="12"/>
    <w:qFormat/>
    <w:rsid w:val="00F85F21"/>
    <w:pPr>
      <w:spacing w:before="0"/>
    </w:pPr>
    <w:rPr>
      <w:bCs/>
    </w:rPr>
  </w:style>
  <w:style w:type="paragraph" w:styleId="Tekstprzypisukocowego">
    <w:name w:val="endnote text"/>
    <w:basedOn w:val="Normalny"/>
    <w:link w:val="TekstprzypisukocowegoZnak"/>
    <w:uiPriority w:val="99"/>
    <w:semiHidden/>
    <w:unhideWhenUsed/>
    <w:rsid w:val="00CA11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A111A"/>
    <w:rPr>
      <w:sz w:val="20"/>
      <w:szCs w:val="20"/>
    </w:rPr>
  </w:style>
  <w:style w:type="character" w:styleId="Odwoanieprzypisukocowego">
    <w:name w:val="endnote reference"/>
    <w:basedOn w:val="Domylnaczcionkaakapitu"/>
    <w:uiPriority w:val="99"/>
    <w:semiHidden/>
    <w:unhideWhenUsed/>
    <w:rsid w:val="00CA1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879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251849">
          <w:marLeft w:val="0"/>
          <w:marRight w:val="0"/>
          <w:marTop w:val="0"/>
          <w:marBottom w:val="0"/>
          <w:divBdr>
            <w:top w:val="none" w:sz="0" w:space="0" w:color="auto"/>
            <w:left w:val="none" w:sz="0" w:space="0" w:color="auto"/>
            <w:bottom w:val="none" w:sz="0" w:space="0" w:color="auto"/>
            <w:right w:val="none" w:sz="0" w:space="0" w:color="auto"/>
          </w:divBdr>
        </w:div>
      </w:divsChild>
    </w:div>
    <w:div w:id="118555244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21154812">
          <w:marLeft w:val="0"/>
          <w:marRight w:val="0"/>
          <w:marTop w:val="0"/>
          <w:marBottom w:val="0"/>
          <w:divBdr>
            <w:top w:val="none" w:sz="0" w:space="0" w:color="auto"/>
            <w:left w:val="none" w:sz="0" w:space="0" w:color="auto"/>
            <w:bottom w:val="none" w:sz="0" w:space="0" w:color="auto"/>
            <w:right w:val="none" w:sz="0" w:space="0" w:color="auto"/>
          </w:divBdr>
        </w:div>
      </w:divsChild>
    </w:div>
    <w:div w:id="1269970353">
      <w:bodyDiv w:val="1"/>
      <w:marLeft w:val="0"/>
      <w:marRight w:val="0"/>
      <w:marTop w:val="0"/>
      <w:marBottom w:val="0"/>
      <w:divBdr>
        <w:top w:val="none" w:sz="0" w:space="0" w:color="auto"/>
        <w:left w:val="none" w:sz="0" w:space="0" w:color="auto"/>
        <w:bottom w:val="none" w:sz="0" w:space="0" w:color="auto"/>
        <w:right w:val="none" w:sz="0" w:space="0" w:color="auto"/>
      </w:divBdr>
      <w:divsChild>
        <w:div w:id="948044008">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is.mf.gov.pl/akt.do?link=AKT%5b%5d3711838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01B4-4358-4C5D-8623-D8E7F674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7090</Words>
  <Characters>42546</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Borysewicz Krzysztof</dc:creator>
  <cp:lastModifiedBy>Borysewicz Krzysztof</cp:lastModifiedBy>
  <cp:revision>2</cp:revision>
  <cp:lastPrinted>2024-10-28T09:09:00Z</cp:lastPrinted>
  <dcterms:created xsi:type="dcterms:W3CDTF">2025-01-17T09:33:00Z</dcterms:created>
  <dcterms:modified xsi:type="dcterms:W3CDTF">2025-01-17T09:33:00Z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UxC4dwLulzfINJ8nQH+xvX5LNGipWa4BRSZhPgxsCvmzJSi4mStY2b/uiFs1Qz1PcFMtcpU5tGsfmRcXsSdtbA==</vt:lpwstr>
  </property>
  <property fmtid="{D5CDD505-2E9C-101B-9397-08002B2CF9AE}" pid="4" name="MFClassificationDate">
    <vt:lpwstr>2024-06-13T14:03:43.9014445+02:00</vt:lpwstr>
  </property>
  <property fmtid="{D5CDD505-2E9C-101B-9397-08002B2CF9AE}" pid="5" name="MFClassifiedBySID">
    <vt:lpwstr>UxC4dwLulzfINJ8nQH+xvX5LNGipWa4BRSZhPgxsCvm42mrIC/DSDv0ggS+FjUN/2v1BBotkLlY5aAiEhoi6uWEiZ3uGUMiRY4qbNc400Y20q0worX96UaAGWNvb1xZu</vt:lpwstr>
  </property>
  <property fmtid="{D5CDD505-2E9C-101B-9397-08002B2CF9AE}" pid="6" name="MFGRNItemId">
    <vt:lpwstr>GRN-63db46f6-bf57-4fc3-bf5b-fe56c0728b30</vt:lpwstr>
  </property>
  <property fmtid="{D5CDD505-2E9C-101B-9397-08002B2CF9AE}" pid="7" name="MFHash">
    <vt:lpwstr>jsoFueWqBBGoj42AfNZowO353DD0Z6HhRu1uAwSBx00=</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