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67BF" w14:textId="71165C12" w:rsidR="00A130E2" w:rsidRPr="00293DF6" w:rsidRDefault="00A130E2" w:rsidP="00394126">
      <w:pPr>
        <w:spacing w:after="120"/>
        <w:jc w:val="center"/>
        <w:rPr>
          <w:b/>
          <w:bCs/>
        </w:rPr>
      </w:pPr>
      <w:r w:rsidRPr="00293DF6">
        <w:rPr>
          <w:b/>
          <w:bCs/>
        </w:rPr>
        <w:t>UZASADNIENIE</w:t>
      </w:r>
    </w:p>
    <w:p w14:paraId="442CAB92" w14:textId="56743352" w:rsidR="00C84406" w:rsidRPr="00293DF6" w:rsidRDefault="00621A04" w:rsidP="00F21FA8">
      <w:pPr>
        <w:spacing w:after="120"/>
      </w:pPr>
      <w:r w:rsidRPr="00293DF6">
        <w:t xml:space="preserve">Projektowane rozporządzenie </w:t>
      </w:r>
      <w:r w:rsidR="00A31CD2" w:rsidRPr="00293DF6">
        <w:t>zmienia</w:t>
      </w:r>
      <w:r w:rsidRPr="00293DF6">
        <w:t xml:space="preserve"> obowiązujące rozporządzenie Ministra Finansów z dnia </w:t>
      </w:r>
      <w:r w:rsidR="00A31CD2" w:rsidRPr="00293DF6">
        <w:t>1</w:t>
      </w:r>
      <w:r w:rsidR="00113251" w:rsidRPr="00293DF6">
        <w:t>2</w:t>
      </w:r>
      <w:r w:rsidR="00A31CD2" w:rsidRPr="00293DF6">
        <w:t xml:space="preserve"> kwietnia 2019 r. w sprawie szczegółowych warunków, jakie musi spełniać rynek regulowany oraz platforma aukcyjna (Dz. U. poz. 726), zwane dalej „zmienianym rozporządzeniem”</w:t>
      </w:r>
      <w:r w:rsidRPr="00293DF6">
        <w:t>.</w:t>
      </w:r>
      <w:r w:rsidR="000174D7">
        <w:t xml:space="preserve"> </w:t>
      </w:r>
      <w:r w:rsidR="00D97B42">
        <w:t xml:space="preserve">Zmieniane rozporządzenie </w:t>
      </w:r>
      <w:r w:rsidR="00D97B42" w:rsidRPr="00293DF6">
        <w:t>stanowi wykonanie zawartego w art. 17 ust. 1 pkt 1 ustawy z dnia 29 lipca 2005 r. o obrocie instrumentami finansowymi (Dz. U. z 2024 r. poz. 722 i 1863</w:t>
      </w:r>
      <w:r w:rsidR="00232C88" w:rsidRPr="00232C88">
        <w:rPr>
          <w:rFonts w:eastAsiaTheme="minorEastAsia" w:cs="Arial"/>
          <w:szCs w:val="20"/>
          <w:lang w:eastAsia="pl-PL"/>
        </w:rPr>
        <w:t xml:space="preserve"> </w:t>
      </w:r>
      <w:r w:rsidR="00232C88" w:rsidRPr="00232C88">
        <w:t>oraz z 2025 r. poz. 146</w:t>
      </w:r>
      <w:r w:rsidR="00D97B42" w:rsidRPr="00293DF6">
        <w:t>), zwanej dalej „ustawą”, upoważnienia do wydania przez ministra właściwego do spraw instytucji finansowych rozporządzenia określającego szczegółowe warunki, jakie musi spełniać rynek regulowany oraz platforma aukcyjna, przy uwzględnieniu konieczności zapewnienia bezpieczeństwa oraz ochrony interesów inwestorów uczestniczących w obrocie na tym rynku, w zakresie nieuregulowanym bezpośrednio stosowanymi przepisami prawa Unii Europejskiej mającymi zastosowanie do tego rynku, a w odniesieniu do platformy aukcyjnej - również zapewnienia bezpieczeństwa przebiegu aukcji na prowadzonej platformie aukcyjnej oraz ochrony interesów uczestników aukcji, z uwzględnieniem zagwarantowania warunków prowadzenia aukcji analogicznych do przewidzianych dla rynku regulowanego.</w:t>
      </w:r>
    </w:p>
    <w:p w14:paraId="4DE584AD" w14:textId="15BF50DA" w:rsidR="00C0117C" w:rsidRPr="00293DF6" w:rsidRDefault="00F21FA8" w:rsidP="00F21FA8">
      <w:pPr>
        <w:spacing w:after="120"/>
      </w:pPr>
      <w:r w:rsidRPr="00293DF6">
        <w:t xml:space="preserve">Projekt w zakresie swoje regulacji służy wdrożeniu dyrektywy Parlamentu Europejskiego i Rady </w:t>
      </w:r>
      <w:r w:rsidR="00CA0A57">
        <w:t xml:space="preserve">(UE) </w:t>
      </w:r>
      <w:r w:rsidRPr="00293DF6">
        <w:t>2022/2556 z dnia 14 grudnia 2022 r. w sprawie zmiany dyrektyw 2009/65/WE, 2009/138/WE, 2011/61/UE, 2013/36/UE, 2014/59/UE, 2014/65/UE, (UE) 2015/2366 oraz (UE) 2016/2341 w odniesieniu do operacyjnej odporności cyfrowej sektora finansowego (Dz. Urz. UE L 333 z 27.12.2022, str. 153), dalej „dyrektywa 2022/2556”</w:t>
      </w:r>
      <w:r w:rsidR="00B65538" w:rsidRPr="00293DF6">
        <w:t xml:space="preserve">, która </w:t>
      </w:r>
      <w:r w:rsidRPr="00293DF6">
        <w:t xml:space="preserve">w art. 6 pkt </w:t>
      </w:r>
      <w:r w:rsidR="00C84406" w:rsidRPr="00293DF6">
        <w:t xml:space="preserve">3 i </w:t>
      </w:r>
      <w:r w:rsidRPr="00293DF6">
        <w:t xml:space="preserve">4 zmienia </w:t>
      </w:r>
      <w:r w:rsidR="00C84406" w:rsidRPr="00293DF6">
        <w:t xml:space="preserve">odpowiednio </w:t>
      </w:r>
      <w:r w:rsidRPr="00293DF6">
        <w:t>art. 4</w:t>
      </w:r>
      <w:r w:rsidR="00C84406" w:rsidRPr="00293DF6">
        <w:t>7 i 48</w:t>
      </w:r>
      <w:r w:rsidRPr="00293DF6">
        <w:t xml:space="preserve"> dyrektywy Parlamentu Europejskiego i Rady 2014/65/UE z dnia 15 maja 2014 r. w sprawie rynków instrumentów finansowych oraz zmieniającej dyrektywę 2002/92/WE i dyrektywę 2011/61/UE (Dz.U. L 173 z 12.6.2014, s. 349, z </w:t>
      </w:r>
      <w:proofErr w:type="spellStart"/>
      <w:r w:rsidRPr="00293DF6">
        <w:t>późn</w:t>
      </w:r>
      <w:proofErr w:type="spellEnd"/>
      <w:r w:rsidRPr="00293DF6">
        <w:t>. zm.), dalej „dyrektywa 2014/65/UE”.</w:t>
      </w:r>
      <w:r w:rsidR="00B65538" w:rsidRPr="00293DF6">
        <w:t xml:space="preserve"> </w:t>
      </w:r>
      <w:r w:rsidR="00817B38" w:rsidRPr="00293DF6">
        <w:t xml:space="preserve">Jednocześnie </w:t>
      </w:r>
      <w:r w:rsidR="00B65538" w:rsidRPr="00293DF6">
        <w:t>p</w:t>
      </w:r>
      <w:r w:rsidR="00C0117C" w:rsidRPr="00293DF6">
        <w:t xml:space="preserve">rojekt w zakresie swojej regulacji </w:t>
      </w:r>
      <w:r w:rsidR="008C2543" w:rsidRPr="00293DF6">
        <w:t>służy wdrożeniu</w:t>
      </w:r>
      <w:r w:rsidR="00C0117C" w:rsidRPr="00293DF6">
        <w:t xml:space="preserve"> dyrektywy Parlamentu Europejskiego i Rady (UE) 2024/790 z dnia 28 lutego 2024 r. zmieniającej dyrektywę 2014/65/UE w sprawie rynków instrumentów finansowych (Dz. Urz. UE L 2024/790 z 08.03.2024), dalej „dyrektywa 2024/790”</w:t>
      </w:r>
      <w:r w:rsidR="00B65538" w:rsidRPr="00293DF6">
        <w:t xml:space="preserve">, która </w:t>
      </w:r>
      <w:r w:rsidR="008C2543" w:rsidRPr="00293DF6">
        <w:t xml:space="preserve">w art. 1 pkt 6 i </w:t>
      </w:r>
      <w:r w:rsidR="00613A3D" w:rsidRPr="00293DF6">
        <w:t>9</w:t>
      </w:r>
      <w:r w:rsidR="008C2543" w:rsidRPr="00293DF6">
        <w:t xml:space="preserve"> </w:t>
      </w:r>
      <w:r w:rsidR="00B65538" w:rsidRPr="00293DF6">
        <w:t xml:space="preserve">odpowiednio </w:t>
      </w:r>
      <w:r w:rsidR="008C2543" w:rsidRPr="00293DF6">
        <w:t xml:space="preserve">zmienia art. 47 i </w:t>
      </w:r>
      <w:r w:rsidR="00613A3D" w:rsidRPr="00293DF6">
        <w:t>uchyla art. 50</w:t>
      </w:r>
      <w:r w:rsidR="008C2543" w:rsidRPr="00293DF6">
        <w:t xml:space="preserve"> dyrektywy 2014/65/UE.</w:t>
      </w:r>
    </w:p>
    <w:p w14:paraId="4859EF46" w14:textId="3C57417C" w:rsidR="00FF491C" w:rsidRPr="00293DF6" w:rsidRDefault="00817B38" w:rsidP="00F21FA8">
      <w:pPr>
        <w:spacing w:after="120"/>
      </w:pPr>
      <w:r w:rsidRPr="00293DF6">
        <w:t xml:space="preserve">Poza zmianami stanowiącymi implementację dyrektyw unijnych </w:t>
      </w:r>
      <w:r w:rsidR="00613A3D" w:rsidRPr="00293DF6">
        <w:t>p</w:t>
      </w:r>
      <w:r w:rsidR="00FF491C" w:rsidRPr="00293DF6">
        <w:t>rojekt</w:t>
      </w:r>
      <w:r w:rsidR="008C2543" w:rsidRPr="00293DF6">
        <w:t xml:space="preserve"> </w:t>
      </w:r>
      <w:r w:rsidR="00FF491C" w:rsidRPr="00293DF6">
        <w:t>poszerz</w:t>
      </w:r>
      <w:r w:rsidR="00613A3D" w:rsidRPr="00293DF6">
        <w:t>a</w:t>
      </w:r>
      <w:r w:rsidR="008C2543" w:rsidRPr="00293DF6">
        <w:t xml:space="preserve"> </w:t>
      </w:r>
      <w:r w:rsidR="00FF491C" w:rsidRPr="00293DF6">
        <w:t>zakres podmiotow</w:t>
      </w:r>
      <w:r w:rsidR="00613A3D" w:rsidRPr="00293DF6">
        <w:t>y</w:t>
      </w:r>
      <w:r w:rsidR="008C2543" w:rsidRPr="00293DF6">
        <w:t xml:space="preserve"> zmienianego rozporządzenia</w:t>
      </w:r>
      <w:r w:rsidR="00613A3D" w:rsidRPr="00293DF6">
        <w:t xml:space="preserve"> </w:t>
      </w:r>
      <w:r w:rsidR="00FF491C" w:rsidRPr="00293DF6">
        <w:t>o banki państwowe prowadzące działalność maklerską</w:t>
      </w:r>
      <w:r w:rsidRPr="00293DF6">
        <w:t xml:space="preserve">, co </w:t>
      </w:r>
      <w:r w:rsidR="001E1193" w:rsidRPr="00293DF6">
        <w:t xml:space="preserve">stanowi konsekwencję nowego statusu prawnego banków, umożliwiającego im wykonywanie czynności zarezerwowanych dotychczas dla firm inwestycyjnych na podstawie </w:t>
      </w:r>
      <w:r w:rsidR="001E1193" w:rsidRPr="00293DF6">
        <w:lastRenderedPageBreak/>
        <w:t>jednolitej licencji bankowej</w:t>
      </w:r>
      <w:r w:rsidR="00DD4EAB" w:rsidRPr="00293DF6">
        <w:t xml:space="preserve">, oraz </w:t>
      </w:r>
      <w:r w:rsidRPr="00293DF6">
        <w:t>zakłada pewne modyfikacje mające charakter redakcyjny. D</w:t>
      </w:r>
      <w:r w:rsidR="00FF491C" w:rsidRPr="00293DF6">
        <w:t xml:space="preserve">otychczasowe doświadczenia związane ze stosowaniem </w:t>
      </w:r>
      <w:r w:rsidR="008C2543" w:rsidRPr="00293DF6">
        <w:t>zmienianego</w:t>
      </w:r>
      <w:r w:rsidR="00FF491C" w:rsidRPr="00293DF6">
        <w:t xml:space="preserve"> rozporządzenia nie wskazują na potrzebę doprecyzowania oraz uzupełnienia </w:t>
      </w:r>
      <w:r w:rsidR="00836D6E" w:rsidRPr="00293DF6">
        <w:t xml:space="preserve">jego </w:t>
      </w:r>
      <w:r w:rsidR="00DD44EC" w:rsidRPr="00293DF6">
        <w:t xml:space="preserve">pozostałych </w:t>
      </w:r>
      <w:r w:rsidR="00FF491C" w:rsidRPr="00293DF6">
        <w:t>przepisów.</w:t>
      </w:r>
    </w:p>
    <w:p w14:paraId="48FC7CE9" w14:textId="5F8E0C86" w:rsidR="008D42F9" w:rsidRPr="00293DF6" w:rsidRDefault="008308CA" w:rsidP="00394126">
      <w:pPr>
        <w:spacing w:after="120"/>
      </w:pPr>
      <w:r w:rsidRPr="00293DF6">
        <w:rPr>
          <w:b/>
          <w:bCs/>
        </w:rPr>
        <w:t xml:space="preserve">§ 1 pkt 1 lit. a </w:t>
      </w:r>
      <w:r w:rsidRPr="00293DF6">
        <w:t>zakłada zmianę</w:t>
      </w:r>
      <w:r w:rsidRPr="00293DF6">
        <w:rPr>
          <w:b/>
          <w:bCs/>
        </w:rPr>
        <w:t xml:space="preserve"> </w:t>
      </w:r>
      <w:r w:rsidR="00A45F9E" w:rsidRPr="00293DF6">
        <w:t>w</w:t>
      </w:r>
      <w:r w:rsidR="00A45F9E" w:rsidRPr="00293DF6">
        <w:rPr>
          <w:b/>
          <w:bCs/>
        </w:rPr>
        <w:t xml:space="preserve"> </w:t>
      </w:r>
      <w:r w:rsidR="008D42F9" w:rsidRPr="00293DF6">
        <w:rPr>
          <w:b/>
          <w:bCs/>
        </w:rPr>
        <w:t>§ 4 ust. 1</w:t>
      </w:r>
      <w:r w:rsidR="00A45F9E" w:rsidRPr="00293DF6">
        <w:rPr>
          <w:b/>
          <w:bCs/>
        </w:rPr>
        <w:t xml:space="preserve"> </w:t>
      </w:r>
      <w:r w:rsidR="00A45F9E" w:rsidRPr="00293DF6">
        <w:t>w</w:t>
      </w:r>
      <w:r w:rsidR="008D42F9" w:rsidRPr="00293DF6">
        <w:t xml:space="preserve">e wprowadzeniu do wyliczenia </w:t>
      </w:r>
      <w:r w:rsidR="00D02F68">
        <w:t>zmienianego</w:t>
      </w:r>
      <w:r w:rsidR="008D42F9" w:rsidRPr="00293DF6">
        <w:t xml:space="preserve"> rozporządzenia</w:t>
      </w:r>
      <w:r w:rsidRPr="00293DF6">
        <w:t>.</w:t>
      </w:r>
      <w:r w:rsidR="008D42F9" w:rsidRPr="00293DF6">
        <w:t xml:space="preserve"> </w:t>
      </w:r>
      <w:r w:rsidRPr="00293DF6">
        <w:t>M</w:t>
      </w:r>
      <w:r w:rsidR="008D42F9" w:rsidRPr="00293DF6">
        <w:t xml:space="preserve">a </w:t>
      </w:r>
      <w:r w:rsidRPr="00293DF6">
        <w:t xml:space="preserve">ona </w:t>
      </w:r>
      <w:r w:rsidR="008D42F9" w:rsidRPr="00293DF6">
        <w:t xml:space="preserve">na celu implementację art. 6 pkt 3 lit. a dyrektywy 2022/2556, który nadaje nowe brzmienie art. 47 ust. 1 dyrektywy 2014/65/UE. Zgodnie z tym przepisem państwa członkowskie wymagają od rynku regulowanego odpowiednich zdolności do zarządzania ryzykiem, na które jest narażony, w tym do zarządzania ryzykiem związanym z technologią informacyjno-komunikacyjną (ICT) zgodnie z wymogami określonymi w rozdziale II rozporządzenia </w:t>
      </w:r>
      <w:r w:rsidR="00836D6E" w:rsidRPr="00293DF6">
        <w:t xml:space="preserve">Parlamentu Europejskiego i Rady (UE) 2022/2554 z dnia 14 grudnia 2022 r. w sprawie operacyjnej odporności cyfrowej sektora finansowego i zmieniającego rozporządzenia (WE) nr 1060/2009, (UE) nr 648/2012, (UE) nr 600/2014, (UE) nr 909/2014 oraz (UE) 2016/1011 (Dz. Urz. UE L 333 z 27.12.2022, str. 1, z </w:t>
      </w:r>
      <w:proofErr w:type="spellStart"/>
      <w:r w:rsidR="00836D6E" w:rsidRPr="00293DF6">
        <w:t>późn</w:t>
      </w:r>
      <w:proofErr w:type="spellEnd"/>
      <w:r w:rsidR="00836D6E" w:rsidRPr="00293DF6">
        <w:t>. zm.), dalej „rozporządzenie 2022/2554”</w:t>
      </w:r>
      <w:r w:rsidR="008D42F9" w:rsidRPr="00293DF6">
        <w:t>.</w:t>
      </w:r>
    </w:p>
    <w:p w14:paraId="7970D7F4" w14:textId="70C983A8" w:rsidR="008D42F9" w:rsidRPr="00293DF6" w:rsidRDefault="00A45F9E" w:rsidP="00394126">
      <w:pPr>
        <w:spacing w:after="120"/>
      </w:pPr>
      <w:r w:rsidRPr="00293DF6">
        <w:rPr>
          <w:b/>
          <w:bCs/>
        </w:rPr>
        <w:t xml:space="preserve">§ 1 pkt 1 lit. b </w:t>
      </w:r>
      <w:r w:rsidRPr="00293DF6">
        <w:t>uchyla</w:t>
      </w:r>
      <w:r w:rsidR="008D42F9" w:rsidRPr="00293DF6">
        <w:t xml:space="preserve"> </w:t>
      </w:r>
      <w:r w:rsidR="00895F94">
        <w:t xml:space="preserve">w </w:t>
      </w:r>
      <w:r w:rsidR="008D42F9" w:rsidRPr="00293DF6">
        <w:rPr>
          <w:b/>
          <w:bCs/>
        </w:rPr>
        <w:t xml:space="preserve">§ 4 </w:t>
      </w:r>
      <w:r w:rsidR="00252A08" w:rsidRPr="00252A08">
        <w:t>w</w:t>
      </w:r>
      <w:r w:rsidR="00252A08">
        <w:rPr>
          <w:b/>
          <w:bCs/>
        </w:rPr>
        <w:t xml:space="preserve"> </w:t>
      </w:r>
      <w:r w:rsidR="008D42F9" w:rsidRPr="00293DF6">
        <w:rPr>
          <w:b/>
          <w:bCs/>
        </w:rPr>
        <w:t>ust. 2 pkt 1</w:t>
      </w:r>
      <w:r w:rsidRPr="00293DF6">
        <w:t xml:space="preserve"> co służy </w:t>
      </w:r>
      <w:r w:rsidR="008D42F9" w:rsidRPr="00293DF6">
        <w:t>implementacj</w:t>
      </w:r>
      <w:r w:rsidRPr="00293DF6">
        <w:t>i</w:t>
      </w:r>
      <w:r w:rsidR="008D42F9" w:rsidRPr="00293DF6">
        <w:t xml:space="preserve"> art. 6 pkt 3 lit. b dyrektywy 2022/2556, który uchyla lit. c w art. 47 ust. 1 dyrektywy 2014/65/UE. Mając na uwadze, że rozporządzenie 2022/2554 reguluje również kwestie związane z technicznym funkcjonowaniem systemów informatycznych, w ślad za implementowaną dyrektywą, należy uchylić przedmiotowy przepis.</w:t>
      </w:r>
    </w:p>
    <w:p w14:paraId="3DED09DB" w14:textId="5290A4A1" w:rsidR="008D42F9" w:rsidRPr="00293DF6" w:rsidRDefault="00A45F9E" w:rsidP="00C960FC">
      <w:pPr>
        <w:spacing w:after="120"/>
      </w:pPr>
      <w:r w:rsidRPr="00293DF6">
        <w:rPr>
          <w:b/>
          <w:bCs/>
        </w:rPr>
        <w:t xml:space="preserve">§ 1 pkt 2 </w:t>
      </w:r>
      <w:r w:rsidRPr="00293DF6">
        <w:t>d</w:t>
      </w:r>
      <w:r w:rsidR="008D42F9" w:rsidRPr="00293DF6">
        <w:t>oda</w:t>
      </w:r>
      <w:r w:rsidR="0015560E" w:rsidRPr="00293DF6">
        <w:t>je</w:t>
      </w:r>
      <w:r w:rsidRPr="00293DF6">
        <w:t xml:space="preserve"> </w:t>
      </w:r>
      <w:r w:rsidR="008D42F9" w:rsidRPr="00293DF6">
        <w:rPr>
          <w:b/>
          <w:bCs/>
        </w:rPr>
        <w:t>§ 4a</w:t>
      </w:r>
      <w:r w:rsidR="008D42F9" w:rsidRPr="00293DF6">
        <w:t xml:space="preserve"> </w:t>
      </w:r>
      <w:r w:rsidRPr="00293DF6">
        <w:t xml:space="preserve">co </w:t>
      </w:r>
      <w:r w:rsidR="008D42F9" w:rsidRPr="00293DF6">
        <w:t>służy implementacji art. 6 pkt 4 lit. a dyrektywy 2022/2556. Dyrektywa ta nadaje nowe brzmienie art. 48 ust. 1 dyrektywy 2014/65/UE, który ma zastosowanie do rynku regulowanego. Nowe brzmienie art. 48 ust. 1 dyrektywy 2014/65/UE nakłada na państwa członkowskie obowiązek, aby rynek regulowany posiadał odporność operacyjną, zgodnie z wymogami określonymi w rozdziale II rozporządzenia 2022/2554</w:t>
      </w:r>
      <w:r w:rsidR="00836D6E" w:rsidRPr="00293DF6">
        <w:t>,</w:t>
      </w:r>
      <w:r w:rsidR="008D42F9" w:rsidRPr="00293DF6">
        <w:t xml:space="preserve"> zapewniającą odporność jego systemów transakcyjnych, a także skuteczne rozwiązania zapewniające ciągłość działania tych systemów poprzez objęcie ich strategią i planami na rzecz ciągłości działania w zakresie </w:t>
      </w:r>
      <w:r w:rsidR="00836D6E" w:rsidRPr="00293DF6">
        <w:t>ICT</w:t>
      </w:r>
      <w:r w:rsidR="008D42F9" w:rsidRPr="00293DF6">
        <w:t xml:space="preserve"> oraz planami reagowania i przywracania sprawności tej technologii, o których mowa w art. 11 rozporządzenia 2022/2554. Dotychczas wskazane wymagania wywodzone były z bezpośredniego stosowania art. 3 oraz art. 11</w:t>
      </w:r>
      <w:r w:rsidR="00F05178">
        <w:t>-</w:t>
      </w:r>
      <w:r w:rsidR="008D42F9" w:rsidRPr="00293DF6">
        <w:t xml:space="preserve">17 rozporządzenia delegowanego Komisji (UE) 2017/584 z dnia 14 lipca 2016 r. uzupełniającego dyrektywę Parlamentu Europejskiego i Rady 2014/65/UE w odniesieniu do regulacyjnych standardów technicznych określających wymogi organizacyjne w zakresie systemów obrotu (Dz. Urz. UE L 87 z 31.03.2017, s. 350), dalej „rozporządzenie 2017/584”, niemniej prawidłowa transpozycja art. 6 pkt 4 lit. a dyrektywy </w:t>
      </w:r>
      <w:r w:rsidR="008D42F9" w:rsidRPr="00293DF6">
        <w:lastRenderedPageBreak/>
        <w:t xml:space="preserve">2022/2556 wymaga wskazania tych wymagań wprost w projektowanym rozporządzeniu. </w:t>
      </w:r>
      <w:r w:rsidR="008308CA" w:rsidRPr="00293DF6">
        <w:t>Ponadto d</w:t>
      </w:r>
      <w:r w:rsidR="008D42F9" w:rsidRPr="00293DF6">
        <w:t xml:space="preserve">odanie nowego paragrafu, wynika z faktu, że przepisy określone w paragrafie 4 </w:t>
      </w:r>
      <w:r w:rsidR="008308CA" w:rsidRPr="00293DF6">
        <w:t>nowelizowanego</w:t>
      </w:r>
      <w:r w:rsidR="008D42F9" w:rsidRPr="00293DF6">
        <w:t xml:space="preserve"> rozporządzenia odnoszą się ogólnie do systemów informatycznych rynku regulowanego</w:t>
      </w:r>
      <w:r w:rsidR="008308CA" w:rsidRPr="00293DF6">
        <w:t>,</w:t>
      </w:r>
      <w:r w:rsidR="008D42F9" w:rsidRPr="00293DF6">
        <w:t xml:space="preserve"> podczas gdy wdrażany przepis dotyczy w szczególności systemów transakcyjnych rynku regulowanego, co jest pojęciem węższym.</w:t>
      </w:r>
    </w:p>
    <w:p w14:paraId="5B2492D5" w14:textId="48C3EA4C" w:rsidR="00C0117C" w:rsidRPr="00293DF6" w:rsidRDefault="00C0117C" w:rsidP="00C960FC">
      <w:pPr>
        <w:spacing w:after="120"/>
      </w:pPr>
      <w:r w:rsidRPr="00293DF6">
        <w:rPr>
          <w:b/>
          <w:bCs/>
        </w:rPr>
        <w:t>§ 1 pkt 3</w:t>
      </w:r>
      <w:r w:rsidR="006436CB" w:rsidRPr="00293DF6">
        <w:t xml:space="preserve"> </w:t>
      </w:r>
      <w:r w:rsidR="0015560E" w:rsidRPr="00293DF6">
        <w:t xml:space="preserve">dodaje </w:t>
      </w:r>
      <w:r w:rsidRPr="00293DF6">
        <w:rPr>
          <w:b/>
          <w:bCs/>
        </w:rPr>
        <w:t>§ 5a</w:t>
      </w:r>
      <w:r w:rsidR="0015560E" w:rsidRPr="00293DF6">
        <w:t xml:space="preserve"> co</w:t>
      </w:r>
      <w:r w:rsidRPr="00293DF6">
        <w:t xml:space="preserve"> służy implementacji art. 1 pkt 6 dyrektywy 2024/790, któr</w:t>
      </w:r>
      <w:r w:rsidR="00EA1293" w:rsidRPr="00293DF6">
        <w:t xml:space="preserve">y </w:t>
      </w:r>
      <w:r w:rsidRPr="00293DF6">
        <w:t xml:space="preserve">dodaje art. 47 ust. 1 lit. g w dyrektywie 2014/65/EU. </w:t>
      </w:r>
      <w:r w:rsidR="00DD20D4" w:rsidRPr="00293DF6">
        <w:t>Jak wskazano w recitalu 10 dyrektywy 2024/790 w</w:t>
      </w:r>
      <w:r w:rsidRPr="00293DF6">
        <w:t>drażany przepis</w:t>
      </w:r>
      <w:r w:rsidR="00DD20D4" w:rsidRPr="00293DF6">
        <w:t xml:space="preserve"> </w:t>
      </w:r>
      <w:r w:rsidRPr="00293DF6">
        <w:t>ma zapewnić prawidłowe funkcjonowanie systemu publikacji informacji skonsolidowanych, które otrzymuj</w:t>
      </w:r>
      <w:r w:rsidR="00EA1293" w:rsidRPr="00293DF6">
        <w:t>e</w:t>
      </w:r>
      <w:r w:rsidRPr="00293DF6">
        <w:t xml:space="preserve"> dostawca informacji skonsolidowanych</w:t>
      </w:r>
      <w:r w:rsidR="00021C76" w:rsidRPr="00293DF6">
        <w:t xml:space="preserve"> – podmiot odpowiedzialny za pozyskiwanie z systemów obrotu i od zatwierdzonych podmiotów publikujących zgłoszeń transakcji na instrumentach finansowych oraz za konsolidację tych informacji w formie ciągłego elektronicznego strumienia danych bieżących, który dostarcza podstawowe dane rynkowe i dane regulacyjne</w:t>
      </w:r>
      <w:r w:rsidRPr="00293DF6">
        <w:t>. W rozporządzeni</w:t>
      </w:r>
      <w:r w:rsidR="00DD20D4" w:rsidRPr="00293DF6">
        <w:t>u</w:t>
      </w:r>
      <w:r w:rsidRPr="00293DF6">
        <w:t xml:space="preserve"> </w:t>
      </w:r>
      <w:r w:rsidR="003E3297" w:rsidRPr="00293DF6">
        <w:t xml:space="preserve">Parlamentu Europejskiego i Rady (UE) nr 600/2014 z dnia 15 maja 2014 r. w sprawie rynków instrumentów finansowych oraz zmieniające rozporządzenie (UE) nr 648/2012 (Dz. Urz. UE L 173 z 12.06.2014, str. 84, z </w:t>
      </w:r>
      <w:proofErr w:type="spellStart"/>
      <w:r w:rsidR="003E3297" w:rsidRPr="00293DF6">
        <w:t>późn</w:t>
      </w:r>
      <w:proofErr w:type="spellEnd"/>
      <w:r w:rsidR="003E3297" w:rsidRPr="00293DF6">
        <w:t>. zm.), dalej „rozporządzenie 600/2014”,</w:t>
      </w:r>
      <w:r w:rsidRPr="00293DF6">
        <w:t xml:space="preserve"> określono wymogi dotyczące jakości danych, których powinny przestrzegać podmioty przekazujące informacje skonsolidowane. Aby zapewnić skuteczne spełnianie tych wymogów przez rynki regulowane, państwa członkowskie powinny wymagać, aby takie rynki regulowane dysponowały niezbędnymi do tego celu mechanizmami. W odniesieniu do przyjętego sposobu implementacji wyjaśnienia wymaga, że obowiązek ustanowienia przez spółkę prowadzącą rynek regulowany mechanizmów zapewniających spełnianie przez </w:t>
      </w:r>
      <w:r w:rsidR="00EA02DA" w:rsidRPr="00293DF6">
        <w:t xml:space="preserve">podmioty przekazujące informacje skonsolidowane </w:t>
      </w:r>
      <w:r w:rsidRPr="00293DF6">
        <w:t>standardów jakości danych będzie miał zastosowanie wyłącznie w przypadku</w:t>
      </w:r>
      <w:r w:rsidR="0031341A" w:rsidRPr="00293DF6">
        <w:t>,</w:t>
      </w:r>
      <w:r w:rsidRPr="00293DF6">
        <w:t xml:space="preserve"> gdy spółka prowadząca rynek regulowany </w:t>
      </w:r>
      <w:r w:rsidR="009C3C53" w:rsidRPr="00293DF6">
        <w:t>zechce przekazać</w:t>
      </w:r>
      <w:r w:rsidRPr="00293DF6">
        <w:t xml:space="preserve"> dane do centrum danych dostawcy informacji skonsolidowanych. Zauważenia bowiem wymaga, że zgodnie z art. 22a ust. 2 rozporządzenia 600/2014 obowiązkowi takiego przekazywania nie podlegają rynki regulowane, których roczny wolumen obrotu akcjami nie przekracza 1% wolumenu obrotu akcjami w UE z uwzględnieniem dodatkowych warunków określonych w tym przepisie. Przy czym na podstawie ust. 3 tego przepisu spółka prowadząca rynek regulowany</w:t>
      </w:r>
      <w:r w:rsidR="0031341A" w:rsidRPr="00293DF6">
        <w:t xml:space="preserve">, </w:t>
      </w:r>
      <w:r w:rsidRPr="00293DF6">
        <w:t>podlegający wskazanemu wyłączeniu</w:t>
      </w:r>
      <w:r w:rsidR="0031341A" w:rsidRPr="00293DF6">
        <w:t>,</w:t>
      </w:r>
      <w:r w:rsidRPr="00293DF6">
        <w:t xml:space="preserve"> </w:t>
      </w:r>
      <w:r w:rsidR="0031341A" w:rsidRPr="00293DF6">
        <w:t>może</w:t>
      </w:r>
      <w:r w:rsidRPr="00293DF6">
        <w:t xml:space="preserve"> podjąć decyzję o przekazywaniu danych dostawcy informacji skonsolidowanych. Należy zatem przyjąć, że nie wszystkie spółki prowadzące rynek regulowany obowiązane są do przekazywania danych do dostawcy informacji skonsolidowanych, a co za tym idzie nie wszystkie takie spółki powinny być obowiązane do ustanowienia mechanizmów </w:t>
      </w:r>
      <w:r w:rsidRPr="00293DF6">
        <w:lastRenderedPageBreak/>
        <w:t>zapewniających spełnianie standardów jakości danych, zgodnie z art. 22b rozporządzenia 600/2014.</w:t>
      </w:r>
    </w:p>
    <w:p w14:paraId="697BEA40" w14:textId="67835E5F" w:rsidR="006436CB" w:rsidRPr="00293DF6" w:rsidRDefault="006436CB" w:rsidP="00C960FC">
      <w:pPr>
        <w:spacing w:after="120"/>
      </w:pPr>
      <w:r w:rsidRPr="00293DF6">
        <w:rPr>
          <w:b/>
          <w:bCs/>
        </w:rPr>
        <w:t>§ 1 pkt 4</w:t>
      </w:r>
      <w:r w:rsidRPr="00293DF6">
        <w:t xml:space="preserve"> </w:t>
      </w:r>
      <w:r w:rsidR="00CD4C03" w:rsidRPr="00293DF6">
        <w:t xml:space="preserve">zmienia </w:t>
      </w:r>
      <w:r w:rsidRPr="00293DF6">
        <w:rPr>
          <w:b/>
          <w:bCs/>
        </w:rPr>
        <w:t>§ 8</w:t>
      </w:r>
      <w:r w:rsidRPr="00293DF6">
        <w:t xml:space="preserve"> </w:t>
      </w:r>
      <w:r w:rsidR="00CD4C03" w:rsidRPr="00293DF6">
        <w:t xml:space="preserve">co ma </w:t>
      </w:r>
      <w:r w:rsidRPr="00293DF6">
        <w:t>na celu umożliwienie spółkom prowadzącym rynek regulowany przyznani</w:t>
      </w:r>
      <w:r w:rsidR="00CD4C03" w:rsidRPr="00293DF6">
        <w:t>e</w:t>
      </w:r>
      <w:r w:rsidRPr="00293DF6">
        <w:t xml:space="preserve"> statusu członka rynku regulowanego</w:t>
      </w:r>
      <w:r w:rsidR="005121FA">
        <w:t xml:space="preserve"> także </w:t>
      </w:r>
      <w:r w:rsidR="005121FA" w:rsidRPr="005121FA">
        <w:t>bank</w:t>
      </w:r>
      <w:r w:rsidR="005121FA">
        <w:t>om</w:t>
      </w:r>
      <w:r w:rsidR="005121FA" w:rsidRPr="005121FA">
        <w:t xml:space="preserve"> państwowym prowadzącym działalność maklerską</w:t>
      </w:r>
      <w:r w:rsidRPr="00293DF6">
        <w:t xml:space="preserve">. Ustawa z dnia </w:t>
      </w:r>
      <w:r w:rsidR="00C23A6C" w:rsidRPr="00293DF6">
        <w:t xml:space="preserve">16 sierpnia 2023 r. o zmianie niektórych ustaw w związku z zapewnieniem rozwoju rynku finansowego oraz ochrony inwestorów na tym rynku (Dz. U. poz. 1723), </w:t>
      </w:r>
      <w:r w:rsidRPr="00293DF6">
        <w:t>umożliwiła bankom państwowym, za zezwoleniem Komisji Nadzoru Finansowego, prowadzenie działalności maklerskiej na zasadach analogicznych jak prowadzą t</w:t>
      </w:r>
      <w:r w:rsidR="00587347">
        <w:t>ę</w:t>
      </w:r>
      <w:r w:rsidRPr="00293DF6">
        <w:t xml:space="preserve"> działalność firmy inwestycyjne. Banki takie powinn</w:t>
      </w:r>
      <w:r w:rsidR="00CD4C03" w:rsidRPr="00293DF6">
        <w:t>y</w:t>
      </w:r>
      <w:r w:rsidRPr="00293DF6">
        <w:t xml:space="preserve"> zatem posiadać również możliwość bezpośredniego zawierania transakcji na rynku regulowanym.</w:t>
      </w:r>
    </w:p>
    <w:p w14:paraId="10FE75E0" w14:textId="35C85FB8" w:rsidR="006436CB" w:rsidRPr="00293DF6" w:rsidRDefault="006436CB" w:rsidP="00C960FC">
      <w:pPr>
        <w:spacing w:after="120"/>
      </w:pPr>
      <w:r w:rsidRPr="00293DF6">
        <w:rPr>
          <w:b/>
          <w:bCs/>
        </w:rPr>
        <w:t xml:space="preserve">§ 1 pkt </w:t>
      </w:r>
      <w:r w:rsidR="002260EA">
        <w:rPr>
          <w:b/>
          <w:bCs/>
        </w:rPr>
        <w:t>4 lit. b</w:t>
      </w:r>
      <w:r w:rsidRPr="00293DF6">
        <w:t xml:space="preserve"> </w:t>
      </w:r>
      <w:r w:rsidR="00CD4C03" w:rsidRPr="00293DF6">
        <w:t xml:space="preserve">dodaje </w:t>
      </w:r>
      <w:r w:rsidRPr="00293DF6">
        <w:t>w</w:t>
      </w:r>
      <w:r w:rsidR="00CD4C03" w:rsidRPr="00293DF6">
        <w:t xml:space="preserve"> </w:t>
      </w:r>
      <w:r w:rsidRPr="00293DF6">
        <w:rPr>
          <w:b/>
          <w:bCs/>
        </w:rPr>
        <w:t>§ 8 ust. 2a</w:t>
      </w:r>
      <w:r w:rsidRPr="00293DF6">
        <w:t xml:space="preserve"> </w:t>
      </w:r>
      <w:r w:rsidR="00CD4C03" w:rsidRPr="00293DF6">
        <w:t xml:space="preserve">co </w:t>
      </w:r>
      <w:r w:rsidRPr="00293DF6">
        <w:t>służy implementacji art. 1 pkt 6 dyrektywy 2024/790, któr</w:t>
      </w:r>
      <w:r w:rsidR="00CD4C03" w:rsidRPr="00293DF6">
        <w:t>y</w:t>
      </w:r>
      <w:r w:rsidRPr="00293DF6">
        <w:t xml:space="preserve"> dodaje art. 47 ust. 1 lit. h </w:t>
      </w:r>
      <w:r w:rsidR="00CD4C03" w:rsidRPr="00293DF6">
        <w:t xml:space="preserve">w </w:t>
      </w:r>
      <w:r w:rsidRPr="00293DF6">
        <w:t>dyrektywie 2014/65/EU. Jak zauważono w recitalu 6 dyrektywy 2024/790, zgodnie z art. 18 ust. 7 dyrektywy 2014/65/UE, wielostronne platformy obrotu i zorganizowane platformy obrotu muszą mieć co najmniej trzech członków lub użytkowników wykazujących się znacznym stopniem aktywności. Wymóg ten powinien mieć zastosowanie do wszystkich systemów wielostronnych. Dlatego należy go rozszerzyć na rynki regulowane. Implementacja art. 18 ust. 7 dyrektywy 2014/65/UE wraz z wdrożeniem tej dyrektywy została dokonana w art. 78 ust. 1b ustawy.</w:t>
      </w:r>
    </w:p>
    <w:p w14:paraId="304E1E1D" w14:textId="6BE56431" w:rsidR="006436CB" w:rsidRPr="00293DF6" w:rsidRDefault="006436CB" w:rsidP="00C960FC">
      <w:pPr>
        <w:spacing w:after="120"/>
      </w:pPr>
      <w:r w:rsidRPr="00293DF6">
        <w:rPr>
          <w:b/>
          <w:bCs/>
        </w:rPr>
        <w:t xml:space="preserve">§ 1 pkt </w:t>
      </w:r>
      <w:r w:rsidR="00B77BB8">
        <w:rPr>
          <w:b/>
          <w:bCs/>
        </w:rPr>
        <w:t>5</w:t>
      </w:r>
      <w:r w:rsidRPr="00293DF6">
        <w:t xml:space="preserve"> </w:t>
      </w:r>
      <w:r w:rsidR="00F22142" w:rsidRPr="00293DF6">
        <w:t xml:space="preserve">zmienia </w:t>
      </w:r>
      <w:r w:rsidRPr="00293DF6">
        <w:rPr>
          <w:b/>
          <w:bCs/>
        </w:rPr>
        <w:t>§ 10</w:t>
      </w:r>
      <w:r w:rsidRPr="00293DF6">
        <w:t xml:space="preserve"> </w:t>
      </w:r>
      <w:r w:rsidR="00F22142" w:rsidRPr="00293DF6">
        <w:t xml:space="preserve">co jest </w:t>
      </w:r>
      <w:r w:rsidRPr="00293DF6">
        <w:t xml:space="preserve">konsekwencją umożliwienia przyznania przez spółki prowadzące rynek regulowany bankowi </w:t>
      </w:r>
      <w:r w:rsidR="001C191F">
        <w:t xml:space="preserve">państwowemu </w:t>
      </w:r>
      <w:r w:rsidRPr="00293DF6">
        <w:t>prowadzącemu działalność maklerską statusu członka rynku regulowanego. Bank taki będąc członkiem rynku regulowanego, podobnie jak firmy inwestycyjne, może umożliwić swoim klientom bezpośredni dostęp elektroniczny do tego rynku, co wymaga uwzględnienia w przepisach § 10 nowelizowanego rozporządzenia.</w:t>
      </w:r>
      <w:r w:rsidR="00F22142" w:rsidRPr="00293DF6">
        <w:t xml:space="preserve"> </w:t>
      </w:r>
      <w:r w:rsidRPr="00293DF6">
        <w:t xml:space="preserve">Jednocześnie w § 10 ust. 2 </w:t>
      </w:r>
      <w:r w:rsidR="00613A3D" w:rsidRPr="00293DF6">
        <w:t>dokonano modyfikacji o charakterze redakcyjnym.</w:t>
      </w:r>
    </w:p>
    <w:p w14:paraId="39249BC6" w14:textId="5A41A8DB" w:rsidR="008F3BF9" w:rsidRPr="00293DF6" w:rsidRDefault="00A45F9E" w:rsidP="00C960FC">
      <w:pPr>
        <w:spacing w:after="120"/>
      </w:pPr>
      <w:r w:rsidRPr="00293DF6">
        <w:rPr>
          <w:b/>
          <w:bCs/>
        </w:rPr>
        <w:t xml:space="preserve">§ 1 pkt </w:t>
      </w:r>
      <w:r w:rsidR="00B77BB8">
        <w:rPr>
          <w:b/>
          <w:bCs/>
        </w:rPr>
        <w:t>6</w:t>
      </w:r>
      <w:r w:rsidRPr="00293DF6">
        <w:rPr>
          <w:b/>
          <w:bCs/>
        </w:rPr>
        <w:t xml:space="preserve"> </w:t>
      </w:r>
      <w:r w:rsidR="00F22142" w:rsidRPr="00293DF6">
        <w:t>dodaje</w:t>
      </w:r>
      <w:r w:rsidR="008F3BF9" w:rsidRPr="00293DF6">
        <w:t xml:space="preserve"> </w:t>
      </w:r>
      <w:r w:rsidR="008F3BF9" w:rsidRPr="00293DF6">
        <w:rPr>
          <w:b/>
          <w:bCs/>
        </w:rPr>
        <w:t>§ 10a</w:t>
      </w:r>
      <w:r w:rsidR="008308CA" w:rsidRPr="00293DF6">
        <w:rPr>
          <w:b/>
          <w:bCs/>
        </w:rPr>
        <w:t xml:space="preserve"> </w:t>
      </w:r>
      <w:r w:rsidRPr="00293DF6">
        <w:t>co</w:t>
      </w:r>
      <w:r w:rsidRPr="00293DF6">
        <w:rPr>
          <w:b/>
          <w:bCs/>
        </w:rPr>
        <w:t xml:space="preserve"> </w:t>
      </w:r>
      <w:r w:rsidR="008F3BF9" w:rsidRPr="00293DF6">
        <w:t xml:space="preserve">służy wdrożeniu art. 6 pkt 4 lit. b dyrektywy 2022/2556, który zmienia art. 48 ust. 6 dyrektywy 2014/65/UE. Nowelizowany art. 48 ust. 6 dyrektywy 2014/65/UE przewiduje wymogi związane z umożliwianiem przez spółki prowadzące rynek regulowany handlu algorytmicznego, tak aby nie prowadził on lub nie przyczyniał się do powstawania na tym rynku zakłóceń. Zmiana przewidziana art. 6 pkt 4 lit. b dyrektywy 2022/2556 nakłada na państwa członkowskie obowiązek, aby rynek regulowany posiadał skuteczne systemy, procedury i mechanizmy, w tym nakładające na członków lub uczestników obowiązek przeprowadzania odpowiednich testów algorytmów i zapewnienia warunków ułatwiających prowadzenie takich testów – zgodnie z wymogami określonymi w rozdziałach II i IV </w:t>
      </w:r>
      <w:r w:rsidR="008F3BF9" w:rsidRPr="00293DF6">
        <w:lastRenderedPageBreak/>
        <w:t>rozporządzenia 2022/2554. Dotychczas wskazane wymagania wywodzone były z bezpośredniego stosowania art. 9, 10 i 18 rozporządzenia 2017/584, niemniej prawidłowa transpozycja art. 6 pkt 4 lit. b dyrektywy 2022/2556 wymaga wskazania tych wymagań wprost w projektowanym rozporządzeniu.</w:t>
      </w:r>
    </w:p>
    <w:p w14:paraId="62ACFC2A" w14:textId="23F7B98B" w:rsidR="006436CB" w:rsidRPr="00293DF6" w:rsidRDefault="006436CB" w:rsidP="00C960FC">
      <w:pPr>
        <w:spacing w:after="120"/>
      </w:pPr>
      <w:r w:rsidRPr="00293DF6">
        <w:rPr>
          <w:b/>
          <w:bCs/>
        </w:rPr>
        <w:t xml:space="preserve">§ 1 pkt </w:t>
      </w:r>
      <w:r w:rsidR="00DC0AA6">
        <w:rPr>
          <w:b/>
          <w:bCs/>
        </w:rPr>
        <w:t>7</w:t>
      </w:r>
      <w:r w:rsidR="00F22142" w:rsidRPr="00293DF6">
        <w:t xml:space="preserve"> uchyla </w:t>
      </w:r>
      <w:r w:rsidRPr="00293DF6">
        <w:rPr>
          <w:b/>
          <w:bCs/>
        </w:rPr>
        <w:t>§ 12</w:t>
      </w:r>
      <w:r w:rsidRPr="00293DF6">
        <w:t xml:space="preserve"> </w:t>
      </w:r>
      <w:r w:rsidR="00F22142" w:rsidRPr="00293DF6">
        <w:t xml:space="preserve">co </w:t>
      </w:r>
      <w:r w:rsidRPr="00293DF6">
        <w:t xml:space="preserve">jest związane z implementacją art. 1 pkt 9 dyrektywy 2024/790, który </w:t>
      </w:r>
      <w:r w:rsidR="00F22142" w:rsidRPr="00293DF6">
        <w:t xml:space="preserve">z kolei </w:t>
      </w:r>
      <w:r w:rsidRPr="00293DF6">
        <w:t xml:space="preserve">uchyla art. 50 w dyrektywie 2014/65/EU. Przepis ten nakładał na spółki prowadzące rynek regulowany obowiązek synchronizacji zegarów </w:t>
      </w:r>
      <w:r w:rsidR="00F22142" w:rsidRPr="00293DF6">
        <w:t>służbowych</w:t>
      </w:r>
      <w:r w:rsidRPr="00293DF6">
        <w:t>, których używa do rejestrowania daty i godziny wszystkich zdarzeń podlegających sprawozdawczości, oraz zapewnienia, aby synchronizację taką przeprowadzali uczestnicy tego rynku. Obowiązek ten został przewidziany w art. 22c rozporządzenia 600/2014, dlatego został on usunięty z dyrektywy 2014/65, a co za tym idzie wymaga uchylenia w zmienianym rozporządzeniu.</w:t>
      </w:r>
    </w:p>
    <w:p w14:paraId="067C571A" w14:textId="630CDD53" w:rsidR="006436CB" w:rsidRPr="00293DF6" w:rsidRDefault="006436CB" w:rsidP="00C752BD">
      <w:pPr>
        <w:spacing w:after="120"/>
      </w:pPr>
      <w:r w:rsidRPr="00293DF6">
        <w:t xml:space="preserve">W </w:t>
      </w:r>
      <w:r w:rsidRPr="00293DF6">
        <w:rPr>
          <w:b/>
          <w:bCs/>
        </w:rPr>
        <w:t>§ 2</w:t>
      </w:r>
      <w:r w:rsidRPr="00293DF6">
        <w:t xml:space="preserve"> przyjęto, że rozporządzenie wejdzie w życie po upływie 14 dni od dnia ogłoszenia, z wyjątkiem § 1 pkt 3 i </w:t>
      </w:r>
      <w:r w:rsidR="004F02BA">
        <w:t xml:space="preserve">pkt </w:t>
      </w:r>
      <w:r w:rsidRPr="00293DF6">
        <w:t>4</w:t>
      </w:r>
      <w:r w:rsidR="00DC0AA6">
        <w:t xml:space="preserve"> lit. b</w:t>
      </w:r>
      <w:r w:rsidRPr="00293DF6">
        <w:t xml:space="preserve">, które wejdą w życie z dniem 29 września 2025 r. Odstąpienie od zasady określonej w § 1 ust. 1 uchwały nr 20 Rady Ministrów z dnia 18 lutego 2014 r. w sprawie zaleceń ujednolicenia terminów wejścia w życie niektórych aktów normatywnych (M.P. poz. 205) </w:t>
      </w:r>
      <w:r w:rsidR="00DB1A11" w:rsidRPr="00293DF6">
        <w:t xml:space="preserve">podyktowane </w:t>
      </w:r>
      <w:r w:rsidRPr="00293DF6">
        <w:t xml:space="preserve">jest </w:t>
      </w:r>
      <w:r w:rsidR="00982892" w:rsidRPr="00293DF6">
        <w:t xml:space="preserve">obowiązkiem </w:t>
      </w:r>
      <w:r w:rsidR="00E845AF" w:rsidRPr="00293DF6">
        <w:t>terminow</w:t>
      </w:r>
      <w:r w:rsidR="00982892" w:rsidRPr="00293DF6">
        <w:t>ej</w:t>
      </w:r>
      <w:r w:rsidR="00E845AF" w:rsidRPr="00293DF6">
        <w:t xml:space="preserve"> implementacj</w:t>
      </w:r>
      <w:r w:rsidR="00982892" w:rsidRPr="00293DF6">
        <w:t>i</w:t>
      </w:r>
      <w:r w:rsidR="00E845AF" w:rsidRPr="00293DF6">
        <w:t xml:space="preserve"> dyrektyw unijnych.</w:t>
      </w:r>
      <w:r w:rsidR="00982892" w:rsidRPr="00293DF6">
        <w:t xml:space="preserve"> </w:t>
      </w:r>
      <w:r w:rsidRPr="00293DF6">
        <w:t xml:space="preserve">Zmiany przewidziane w § 1 pkt 1, 2 i </w:t>
      </w:r>
      <w:r w:rsidR="004F7FE5">
        <w:t xml:space="preserve">6 </w:t>
      </w:r>
      <w:r w:rsidRPr="00293DF6">
        <w:t xml:space="preserve">wiążą się z implementacją dyrektywy 2022/2556, której termin wdrożenia upływa 17 stycznia 2025 r. Zasadne jest zatem określenie stosunkowo krótkiego </w:t>
      </w:r>
      <w:r w:rsidRPr="00293DF6">
        <w:rPr>
          <w:i/>
          <w:iCs/>
        </w:rPr>
        <w:t>vacatio legis</w:t>
      </w:r>
      <w:r w:rsidRPr="00293DF6">
        <w:t xml:space="preserve">. Z kolei zmiany przewidziane w § 1 pkt 3 i </w:t>
      </w:r>
      <w:r w:rsidR="00221C37">
        <w:t xml:space="preserve">pkt </w:t>
      </w:r>
      <w:r w:rsidRPr="00293DF6">
        <w:t xml:space="preserve">4 </w:t>
      </w:r>
      <w:r w:rsidR="00221C37">
        <w:t xml:space="preserve">lit. </w:t>
      </w:r>
      <w:r w:rsidR="004F7FE5">
        <w:t xml:space="preserve">b </w:t>
      </w:r>
      <w:r w:rsidRPr="00293DF6">
        <w:t>wiążą się z implementacją dyrektywy 2024/790, której termin wdrożenia zgodnie z art. 2 tej dyrektywy przypada na dzień 29 września 2025 r. Dlatego w projekcie przyjęto, że wskazane przepisy wejdą w życie z dniem, na który przypada termin implementacji wdrażan</w:t>
      </w:r>
      <w:r w:rsidR="00221C37">
        <w:t>ej</w:t>
      </w:r>
      <w:r w:rsidRPr="00293DF6">
        <w:t xml:space="preserve"> tymi przepisami dyrektywy. Zastrzec przy tym należy, że przepisy zawarte w uchylanym § 12 znajdują już swoje odzwierciedlenie w art. 22c rozporządzenia 600/2014, które wiąże w całości i jest bezpośrednio stosowane we wszystkich państwach członkowskich, nie ma zatem potrzeby utrzymywania w mocy § 12 do terminu implementacji dyrektywy 2024/790.</w:t>
      </w:r>
      <w:r w:rsidR="00DB1A11" w:rsidRPr="00293DF6">
        <w:t xml:space="preserve"> Mając na uwadze, że w pozostałym zakresie projekt rozporządzenia doprecyzowuje obowiązujące regulacje, nie zachodzi potrzeba wprowadzenia innych przepisów przejściowych.</w:t>
      </w:r>
    </w:p>
    <w:p w14:paraId="6D4ABD51" w14:textId="5D1E9910" w:rsidR="005A1C7C" w:rsidRPr="00293DF6" w:rsidRDefault="005A1C7C" w:rsidP="00C752BD">
      <w:pPr>
        <w:spacing w:after="120"/>
      </w:pPr>
      <w:r w:rsidRPr="00293DF6">
        <w:t>W związku z art. 50 ustawy z dnia 27 sierpnia 2009 r. o finansach publicznych (Dz. U. z 202</w:t>
      </w:r>
      <w:r w:rsidR="00C824C5" w:rsidRPr="00293DF6">
        <w:t>4</w:t>
      </w:r>
      <w:r w:rsidR="0066665A" w:rsidRPr="00293DF6">
        <w:t> </w:t>
      </w:r>
      <w:r w:rsidRPr="00293DF6">
        <w:t xml:space="preserve">r. poz. </w:t>
      </w:r>
      <w:r w:rsidR="00C824C5" w:rsidRPr="00293DF6">
        <w:t>1530</w:t>
      </w:r>
      <w:r w:rsidRPr="00293DF6">
        <w:t xml:space="preserve">, z </w:t>
      </w:r>
      <w:proofErr w:type="spellStart"/>
      <w:r w:rsidRPr="00293DF6">
        <w:t>późn</w:t>
      </w:r>
      <w:proofErr w:type="spellEnd"/>
      <w:r w:rsidRPr="00293DF6">
        <w:t xml:space="preserve">. zm.), projektodawca nie przewiduje, aby rozporządzenie miało wpływ na sektor finansów publicznych, w tym na zwiększenie wydatków lub zmniejszenie dochodów jednostek sektora finansów publicznych. Zawarte w projekcie regulacje nie będą miały wpływu </w:t>
      </w:r>
      <w:r w:rsidRPr="00293DF6">
        <w:lastRenderedPageBreak/>
        <w:t>na działalność mikro, małych i średnich przedsiębiorców, zgodnie z ustaw</w:t>
      </w:r>
      <w:r w:rsidR="004F02BA">
        <w:t>ą</w:t>
      </w:r>
      <w:r w:rsidRPr="00293DF6">
        <w:t xml:space="preserve"> z dnia 6 marca 2018 r. – Prawo przedsiębiorców (Dz. U. z 202</w:t>
      </w:r>
      <w:r w:rsidR="00545B47" w:rsidRPr="00293DF6">
        <w:t>4</w:t>
      </w:r>
      <w:r w:rsidRPr="00293DF6">
        <w:t xml:space="preserve"> r. poz. 2</w:t>
      </w:r>
      <w:r w:rsidR="00545B47" w:rsidRPr="00293DF6">
        <w:t>36</w:t>
      </w:r>
      <w:r w:rsidRPr="00293DF6">
        <w:t xml:space="preserve">, </w:t>
      </w:r>
      <w:r w:rsidR="00E914AD" w:rsidRPr="00293DF6">
        <w:t xml:space="preserve">z </w:t>
      </w:r>
      <w:proofErr w:type="spellStart"/>
      <w:r w:rsidR="00E914AD" w:rsidRPr="00293DF6">
        <w:t>późn</w:t>
      </w:r>
      <w:proofErr w:type="spellEnd"/>
      <w:r w:rsidR="00E914AD" w:rsidRPr="00293DF6">
        <w:t>. zm.</w:t>
      </w:r>
      <w:r w:rsidRPr="00293DF6">
        <w:t>).</w:t>
      </w:r>
    </w:p>
    <w:p w14:paraId="25D4746B" w14:textId="081A823D" w:rsidR="0084273C" w:rsidRPr="00293DF6" w:rsidRDefault="00C752BD" w:rsidP="00C752BD">
      <w:pPr>
        <w:spacing w:after="120"/>
      </w:pPr>
      <w:r w:rsidRPr="00293DF6">
        <w:t>Zawarte w projekcie regulacje nie stanowią przepisów technicznych w rozumieniu rozporządzenia Rady Ministrów z dnia 23 grudnia 2002 r. w sprawie sposobu funkcjonowania krajowego systemu notyfikacji norm i aktów prawnych (Dz. U. poz. 2</w:t>
      </w:r>
      <w:r w:rsidR="008C3FF7" w:rsidRPr="00293DF6">
        <w:t>0</w:t>
      </w:r>
      <w:r w:rsidRPr="00293DF6">
        <w:t xml:space="preserve">39, z </w:t>
      </w:r>
      <w:proofErr w:type="spellStart"/>
      <w:r w:rsidRPr="00293DF6">
        <w:t>późn</w:t>
      </w:r>
      <w:proofErr w:type="spellEnd"/>
      <w:r w:rsidRPr="00293DF6">
        <w:t>. zm.), dlatego też projekt rozporządzenia nie podlega procedurze notyfikacji.</w:t>
      </w:r>
    </w:p>
    <w:p w14:paraId="2FE0977D" w14:textId="0FC5482B" w:rsidR="005A1C7C" w:rsidRPr="00293DF6" w:rsidRDefault="005A1C7C" w:rsidP="00C752BD">
      <w:pPr>
        <w:spacing w:after="120"/>
      </w:pPr>
      <w:r w:rsidRPr="00293DF6">
        <w:t>Zgodnie z art. 4 ustawy z dnia 7 lipca 2005 r. o działalności lobbingowej w procesie stanowienia prawa (Dz. U. z 2017 r. poz. 248</w:t>
      </w:r>
      <w:r w:rsidR="004F02BA">
        <w:t>,</w:t>
      </w:r>
      <w:r w:rsidR="00A37043">
        <w:t xml:space="preserve"> z </w:t>
      </w:r>
      <w:proofErr w:type="spellStart"/>
      <w:r w:rsidR="00A37043">
        <w:t>późn</w:t>
      </w:r>
      <w:proofErr w:type="spellEnd"/>
      <w:r w:rsidR="00A37043">
        <w:t>. zm.</w:t>
      </w:r>
      <w:r w:rsidRPr="00293DF6">
        <w:t>) projekt zosta</w:t>
      </w:r>
      <w:r w:rsidR="004F02BA">
        <w:t>ł</w:t>
      </w:r>
      <w:r w:rsidRPr="00293DF6">
        <w:t xml:space="preserve"> zamieszczony w wykazie prac legislacyjnych Ministra Finansów. </w:t>
      </w:r>
    </w:p>
    <w:p w14:paraId="16EB0B1D" w14:textId="1E6E5617" w:rsidR="00C752BD" w:rsidRPr="00293DF6" w:rsidRDefault="005B5180" w:rsidP="00C752BD">
      <w:pPr>
        <w:spacing w:after="120"/>
      </w:pPr>
      <w:r w:rsidRPr="00293DF6">
        <w:t xml:space="preserve">Zgodnie z art. 5 ustawy z dnia 7 lipca 2005 r. o działalności lobbingowej w procesie stanowienia prawa </w:t>
      </w:r>
      <w:r w:rsidR="005A1C7C" w:rsidRPr="00293DF6">
        <w:t xml:space="preserve">oraz </w:t>
      </w:r>
      <w:r w:rsidRPr="00293DF6">
        <w:t xml:space="preserve">w związku z </w:t>
      </w:r>
      <w:r w:rsidR="005A1C7C" w:rsidRPr="00293DF6">
        <w:t>art.</w:t>
      </w:r>
      <w:r w:rsidRPr="00293DF6">
        <w:t xml:space="preserve"> 4</w:t>
      </w:r>
      <w:r w:rsidR="00DD6379">
        <w:t xml:space="preserve"> tej ustawy</w:t>
      </w:r>
      <w:r w:rsidRPr="00293DF6">
        <w:t xml:space="preserve"> i </w:t>
      </w:r>
      <w:r w:rsidR="00DD6379" w:rsidRPr="00DD6379">
        <w:rPr>
          <w:b/>
          <w:bCs/>
        </w:rPr>
        <w:t>§</w:t>
      </w:r>
      <w:r w:rsidRPr="00293DF6">
        <w:t xml:space="preserve"> 52 uchwały nr 190 Rady Ministrów z dnia 29 października 2013 r. Regulamin pracy Rady Ministrów (M. P. z 202</w:t>
      </w:r>
      <w:r w:rsidR="00C824C5" w:rsidRPr="00293DF6">
        <w:t>4</w:t>
      </w:r>
      <w:r w:rsidRPr="00293DF6">
        <w:t xml:space="preserve"> r. poz. </w:t>
      </w:r>
      <w:r w:rsidR="00C824C5" w:rsidRPr="00293DF6">
        <w:t>806</w:t>
      </w:r>
      <w:r w:rsidRPr="00293DF6">
        <w:t xml:space="preserve">), z chwilą przekazania do uzgodnień z członkami Rady Ministrów projekt rozporządzenia </w:t>
      </w:r>
      <w:r w:rsidR="0066665A" w:rsidRPr="00293DF6">
        <w:t>zosta</w:t>
      </w:r>
      <w:r w:rsidR="004F02BA">
        <w:t>ł</w:t>
      </w:r>
      <w:r w:rsidR="0066665A" w:rsidRPr="00293DF6">
        <w:t xml:space="preserve"> </w:t>
      </w:r>
      <w:r w:rsidRPr="00293DF6">
        <w:t xml:space="preserve">udostępniony w Biuletynie Informacji Publicznej na stronie </w:t>
      </w:r>
      <w:r w:rsidR="00C752BD" w:rsidRPr="00293DF6">
        <w:t>internetowej</w:t>
      </w:r>
      <w:r w:rsidRPr="00293DF6">
        <w:t xml:space="preserve"> Rządowego Centrum Legislacji, w serwisie Rządowy Proces Legislacyjny.</w:t>
      </w:r>
    </w:p>
    <w:p w14:paraId="1569DB0C" w14:textId="77777777" w:rsidR="005A1C7C" w:rsidRPr="00293DF6" w:rsidRDefault="005A1C7C" w:rsidP="00C752BD">
      <w:pPr>
        <w:spacing w:after="120"/>
      </w:pPr>
      <w:r w:rsidRPr="00293DF6">
        <w:t xml:space="preserve">Projektowane rozporządzenie nie wymaga przedstawiania organom i instytucjom Unii Europejskiej w celu uzyskania opinii, dokonania powiadomienia, konsultacji albo uzgodnienia. Projekt rozporządzenia nie podlega konsultacji z Europejskim Bankiem Centralnym. </w:t>
      </w:r>
    </w:p>
    <w:p w14:paraId="366ADF0D" w14:textId="285664E8" w:rsidR="00C752BD" w:rsidRPr="00293DF6" w:rsidRDefault="00C752BD" w:rsidP="00C752BD">
      <w:pPr>
        <w:spacing w:after="120"/>
      </w:pPr>
      <w:r w:rsidRPr="00293DF6">
        <w:t>Projekt rozporządzenia jest zgodny z prawem Unii Europejskiej.</w:t>
      </w:r>
    </w:p>
    <w:sectPr w:rsidR="00C752BD" w:rsidRPr="00293DF6" w:rsidSect="00B674F2">
      <w:headerReference w:type="default" r:id="rId7"/>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CA700" w14:textId="77777777" w:rsidR="004F3C7D" w:rsidRDefault="004F3C7D" w:rsidP="00A130E2">
      <w:pPr>
        <w:spacing w:line="240" w:lineRule="auto"/>
      </w:pPr>
      <w:r>
        <w:separator/>
      </w:r>
    </w:p>
  </w:endnote>
  <w:endnote w:type="continuationSeparator" w:id="0">
    <w:p w14:paraId="237957F6" w14:textId="77777777" w:rsidR="004F3C7D" w:rsidRDefault="004F3C7D" w:rsidP="00A130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312DD" w14:textId="77777777" w:rsidR="004F3C7D" w:rsidRDefault="004F3C7D" w:rsidP="00A130E2">
      <w:pPr>
        <w:spacing w:line="240" w:lineRule="auto"/>
      </w:pPr>
      <w:r>
        <w:separator/>
      </w:r>
    </w:p>
  </w:footnote>
  <w:footnote w:type="continuationSeparator" w:id="0">
    <w:p w14:paraId="71266C8F" w14:textId="77777777" w:rsidR="004F3C7D" w:rsidRDefault="004F3C7D" w:rsidP="00A130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F8B8" w14:textId="3E1447F8" w:rsidR="00B674F2" w:rsidRDefault="004F3C7D">
    <w:pPr>
      <w:pStyle w:val="Nagwek"/>
      <w:jc w:val="center"/>
    </w:pPr>
    <w:sdt>
      <w:sdtPr>
        <w:id w:val="392628940"/>
        <w:docPartObj>
          <w:docPartGallery w:val="Page Numbers (Top of Page)"/>
          <w:docPartUnique/>
        </w:docPartObj>
      </w:sdtPr>
      <w:sdtEndPr/>
      <w:sdtContent>
        <w:r w:rsidR="00B674F2">
          <w:fldChar w:fldCharType="begin"/>
        </w:r>
        <w:r w:rsidR="00B674F2">
          <w:instrText>PAGE   \* MERGEFORMAT</w:instrText>
        </w:r>
        <w:r w:rsidR="00B674F2">
          <w:fldChar w:fldCharType="separate"/>
        </w:r>
        <w:r w:rsidR="000409D4">
          <w:rPr>
            <w:noProof/>
          </w:rPr>
          <w:t>- 4 -</w:t>
        </w:r>
        <w:r w:rsidR="00B674F2">
          <w:fldChar w:fldCharType="end"/>
        </w:r>
      </w:sdtContent>
    </w:sdt>
  </w:p>
  <w:p w14:paraId="31851117" w14:textId="77777777" w:rsidR="00B674F2" w:rsidRDefault="00B674F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E2"/>
    <w:rsid w:val="00015F6D"/>
    <w:rsid w:val="00016636"/>
    <w:rsid w:val="000174D7"/>
    <w:rsid w:val="00021C76"/>
    <w:rsid w:val="000244CA"/>
    <w:rsid w:val="0002648E"/>
    <w:rsid w:val="000409D4"/>
    <w:rsid w:val="0004288E"/>
    <w:rsid w:val="000509D5"/>
    <w:rsid w:val="00061FC5"/>
    <w:rsid w:val="00073F7E"/>
    <w:rsid w:val="00080EAD"/>
    <w:rsid w:val="000A4067"/>
    <w:rsid w:val="000A5E64"/>
    <w:rsid w:val="00113251"/>
    <w:rsid w:val="0013269A"/>
    <w:rsid w:val="00136957"/>
    <w:rsid w:val="0015560E"/>
    <w:rsid w:val="001939DB"/>
    <w:rsid w:val="001A0185"/>
    <w:rsid w:val="001C191F"/>
    <w:rsid w:val="001E1193"/>
    <w:rsid w:val="001F2B92"/>
    <w:rsid w:val="001F6972"/>
    <w:rsid w:val="00201B8D"/>
    <w:rsid w:val="00221C37"/>
    <w:rsid w:val="002260EA"/>
    <w:rsid w:val="00227910"/>
    <w:rsid w:val="00230D8F"/>
    <w:rsid w:val="002326E2"/>
    <w:rsid w:val="00232C88"/>
    <w:rsid w:val="00235F8A"/>
    <w:rsid w:val="00252A08"/>
    <w:rsid w:val="002641FA"/>
    <w:rsid w:val="00264537"/>
    <w:rsid w:val="00277799"/>
    <w:rsid w:val="00293DF6"/>
    <w:rsid w:val="002A1F3B"/>
    <w:rsid w:val="002A505A"/>
    <w:rsid w:val="002B4888"/>
    <w:rsid w:val="002C281B"/>
    <w:rsid w:val="002E237C"/>
    <w:rsid w:val="002E5B19"/>
    <w:rsid w:val="00301A89"/>
    <w:rsid w:val="0031341A"/>
    <w:rsid w:val="00317258"/>
    <w:rsid w:val="00326BDB"/>
    <w:rsid w:val="00326F3A"/>
    <w:rsid w:val="0033168B"/>
    <w:rsid w:val="003447A3"/>
    <w:rsid w:val="00350C17"/>
    <w:rsid w:val="00367DED"/>
    <w:rsid w:val="0037740D"/>
    <w:rsid w:val="00394126"/>
    <w:rsid w:val="003B1DE1"/>
    <w:rsid w:val="003D14AB"/>
    <w:rsid w:val="003E3297"/>
    <w:rsid w:val="003E40D4"/>
    <w:rsid w:val="00410C86"/>
    <w:rsid w:val="004635E5"/>
    <w:rsid w:val="00471289"/>
    <w:rsid w:val="00493B27"/>
    <w:rsid w:val="004E7936"/>
    <w:rsid w:val="004F02BA"/>
    <w:rsid w:val="004F3C7D"/>
    <w:rsid w:val="004F7FE5"/>
    <w:rsid w:val="00511661"/>
    <w:rsid w:val="005121FA"/>
    <w:rsid w:val="00521B87"/>
    <w:rsid w:val="00545B47"/>
    <w:rsid w:val="005766A0"/>
    <w:rsid w:val="00584111"/>
    <w:rsid w:val="00587347"/>
    <w:rsid w:val="00591B7F"/>
    <w:rsid w:val="005A1C7C"/>
    <w:rsid w:val="005B5180"/>
    <w:rsid w:val="005F36CD"/>
    <w:rsid w:val="00613A3D"/>
    <w:rsid w:val="00621A04"/>
    <w:rsid w:val="006436CB"/>
    <w:rsid w:val="00650647"/>
    <w:rsid w:val="0065261B"/>
    <w:rsid w:val="0066665A"/>
    <w:rsid w:val="006A112B"/>
    <w:rsid w:val="0077146D"/>
    <w:rsid w:val="00774CB4"/>
    <w:rsid w:val="00780DFE"/>
    <w:rsid w:val="00791DA4"/>
    <w:rsid w:val="00796DF9"/>
    <w:rsid w:val="007A1BA3"/>
    <w:rsid w:val="007F6909"/>
    <w:rsid w:val="00817B38"/>
    <w:rsid w:val="008216BE"/>
    <w:rsid w:val="00821924"/>
    <w:rsid w:val="00822FA3"/>
    <w:rsid w:val="008308CA"/>
    <w:rsid w:val="00836D6E"/>
    <w:rsid w:val="0084273C"/>
    <w:rsid w:val="008544CE"/>
    <w:rsid w:val="00874AD9"/>
    <w:rsid w:val="00880EBB"/>
    <w:rsid w:val="00886423"/>
    <w:rsid w:val="00895F94"/>
    <w:rsid w:val="008A4071"/>
    <w:rsid w:val="008C2543"/>
    <w:rsid w:val="008C3FF7"/>
    <w:rsid w:val="008D42F9"/>
    <w:rsid w:val="008F3BF9"/>
    <w:rsid w:val="008F47D7"/>
    <w:rsid w:val="009603CA"/>
    <w:rsid w:val="00982892"/>
    <w:rsid w:val="00992CAF"/>
    <w:rsid w:val="009B6B53"/>
    <w:rsid w:val="009B6CAD"/>
    <w:rsid w:val="009C3C53"/>
    <w:rsid w:val="009C4241"/>
    <w:rsid w:val="009C741F"/>
    <w:rsid w:val="009E4DD2"/>
    <w:rsid w:val="009F0C8E"/>
    <w:rsid w:val="009F23A9"/>
    <w:rsid w:val="009F357F"/>
    <w:rsid w:val="009F4961"/>
    <w:rsid w:val="00A130E2"/>
    <w:rsid w:val="00A265B6"/>
    <w:rsid w:val="00A302AF"/>
    <w:rsid w:val="00A31CD2"/>
    <w:rsid w:val="00A37043"/>
    <w:rsid w:val="00A4322E"/>
    <w:rsid w:val="00A45F9E"/>
    <w:rsid w:val="00A80142"/>
    <w:rsid w:val="00A84403"/>
    <w:rsid w:val="00A86278"/>
    <w:rsid w:val="00A9459A"/>
    <w:rsid w:val="00AB24B9"/>
    <w:rsid w:val="00AC7386"/>
    <w:rsid w:val="00B02D7E"/>
    <w:rsid w:val="00B07973"/>
    <w:rsid w:val="00B51C93"/>
    <w:rsid w:val="00B65538"/>
    <w:rsid w:val="00B674F2"/>
    <w:rsid w:val="00B71B4B"/>
    <w:rsid w:val="00B77BB8"/>
    <w:rsid w:val="00B86FF2"/>
    <w:rsid w:val="00B90A7E"/>
    <w:rsid w:val="00B92502"/>
    <w:rsid w:val="00BC1ECB"/>
    <w:rsid w:val="00BD0982"/>
    <w:rsid w:val="00BD44B1"/>
    <w:rsid w:val="00BE0B99"/>
    <w:rsid w:val="00BF2835"/>
    <w:rsid w:val="00C0117C"/>
    <w:rsid w:val="00C23A6C"/>
    <w:rsid w:val="00C44E12"/>
    <w:rsid w:val="00C66F9B"/>
    <w:rsid w:val="00C752BD"/>
    <w:rsid w:val="00C824C5"/>
    <w:rsid w:val="00C84406"/>
    <w:rsid w:val="00C927D5"/>
    <w:rsid w:val="00C954DE"/>
    <w:rsid w:val="00C960FC"/>
    <w:rsid w:val="00CA0A57"/>
    <w:rsid w:val="00CD4C03"/>
    <w:rsid w:val="00CD5C1F"/>
    <w:rsid w:val="00D02F68"/>
    <w:rsid w:val="00D10839"/>
    <w:rsid w:val="00D27834"/>
    <w:rsid w:val="00D33F24"/>
    <w:rsid w:val="00D84BE6"/>
    <w:rsid w:val="00D92983"/>
    <w:rsid w:val="00D93F02"/>
    <w:rsid w:val="00D97B42"/>
    <w:rsid w:val="00DB1A11"/>
    <w:rsid w:val="00DC0AA6"/>
    <w:rsid w:val="00DD20D4"/>
    <w:rsid w:val="00DD44EC"/>
    <w:rsid w:val="00DD4EAB"/>
    <w:rsid w:val="00DD6379"/>
    <w:rsid w:val="00DF33FB"/>
    <w:rsid w:val="00E37F09"/>
    <w:rsid w:val="00E47FD8"/>
    <w:rsid w:val="00E57B27"/>
    <w:rsid w:val="00E64584"/>
    <w:rsid w:val="00E845AF"/>
    <w:rsid w:val="00E914AD"/>
    <w:rsid w:val="00EA02DA"/>
    <w:rsid w:val="00EA1293"/>
    <w:rsid w:val="00EF0DB0"/>
    <w:rsid w:val="00EF3C82"/>
    <w:rsid w:val="00F0345B"/>
    <w:rsid w:val="00F05178"/>
    <w:rsid w:val="00F21FA8"/>
    <w:rsid w:val="00F22142"/>
    <w:rsid w:val="00F24D78"/>
    <w:rsid w:val="00F3038A"/>
    <w:rsid w:val="00F81B0D"/>
    <w:rsid w:val="00FD3D8B"/>
    <w:rsid w:val="00FF2113"/>
    <w:rsid w:val="00FF2783"/>
    <w:rsid w:val="00FF49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3A0AC"/>
  <w15:chartTrackingRefBased/>
  <w15:docId w15:val="{00D711C3-8E31-49FB-9F1D-F74EFBBD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30E2"/>
    <w:pPr>
      <w:spacing w:after="0" w:line="360" w:lineRule="auto"/>
      <w:jc w:val="both"/>
    </w:pPr>
    <w:rPr>
      <w:rFonts w:ascii="Times New Roman" w:eastAsia="Calibri"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674F2"/>
    <w:pPr>
      <w:tabs>
        <w:tab w:val="center" w:pos="4536"/>
        <w:tab w:val="right" w:pos="9072"/>
      </w:tabs>
      <w:spacing w:line="240" w:lineRule="auto"/>
    </w:pPr>
  </w:style>
  <w:style w:type="character" w:customStyle="1" w:styleId="NagwekZnak">
    <w:name w:val="Nagłówek Znak"/>
    <w:basedOn w:val="Domylnaczcionkaakapitu"/>
    <w:link w:val="Nagwek"/>
    <w:uiPriority w:val="99"/>
    <w:rsid w:val="00B674F2"/>
    <w:rPr>
      <w:rFonts w:ascii="Times New Roman" w:eastAsia="Calibri" w:hAnsi="Times New Roman" w:cs="Times New Roman"/>
      <w:sz w:val="24"/>
      <w:szCs w:val="24"/>
    </w:rPr>
  </w:style>
  <w:style w:type="paragraph" w:styleId="Stopka">
    <w:name w:val="footer"/>
    <w:basedOn w:val="Normalny"/>
    <w:link w:val="StopkaZnak"/>
    <w:uiPriority w:val="99"/>
    <w:unhideWhenUsed/>
    <w:rsid w:val="00B674F2"/>
    <w:pPr>
      <w:tabs>
        <w:tab w:val="center" w:pos="4536"/>
        <w:tab w:val="right" w:pos="9072"/>
      </w:tabs>
      <w:spacing w:line="240" w:lineRule="auto"/>
    </w:pPr>
  </w:style>
  <w:style w:type="character" w:customStyle="1" w:styleId="StopkaZnak">
    <w:name w:val="Stopka Znak"/>
    <w:basedOn w:val="Domylnaczcionkaakapitu"/>
    <w:link w:val="Stopka"/>
    <w:uiPriority w:val="99"/>
    <w:rsid w:val="00B674F2"/>
    <w:rPr>
      <w:rFonts w:ascii="Times New Roman" w:eastAsia="Calibri" w:hAnsi="Times New Roman" w:cs="Times New Roman"/>
      <w:sz w:val="24"/>
      <w:szCs w:val="24"/>
    </w:rPr>
  </w:style>
  <w:style w:type="paragraph" w:customStyle="1" w:styleId="oj-normal">
    <w:name w:val="oj-normal"/>
    <w:basedOn w:val="Normalny"/>
    <w:rsid w:val="00D93F02"/>
    <w:pPr>
      <w:spacing w:before="100" w:beforeAutospacing="1" w:after="100" w:afterAutospacing="1" w:line="240" w:lineRule="auto"/>
      <w:jc w:val="left"/>
    </w:pPr>
    <w:rPr>
      <w:rFonts w:eastAsia="Times New Roman"/>
      <w:lang w:eastAsia="pl-PL"/>
    </w:rPr>
  </w:style>
  <w:style w:type="character" w:styleId="Odwoaniedokomentarza">
    <w:name w:val="annotation reference"/>
    <w:basedOn w:val="Domylnaczcionkaakapitu"/>
    <w:uiPriority w:val="99"/>
    <w:semiHidden/>
    <w:unhideWhenUsed/>
    <w:rsid w:val="00E914AD"/>
    <w:rPr>
      <w:sz w:val="16"/>
      <w:szCs w:val="16"/>
    </w:rPr>
  </w:style>
  <w:style w:type="paragraph" w:styleId="Tekstkomentarza">
    <w:name w:val="annotation text"/>
    <w:basedOn w:val="Normalny"/>
    <w:link w:val="TekstkomentarzaZnak"/>
    <w:uiPriority w:val="99"/>
    <w:semiHidden/>
    <w:unhideWhenUsed/>
    <w:rsid w:val="00E914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14AD"/>
    <w:rPr>
      <w:rFonts w:ascii="Times New Roman" w:eastAsia="Calibri"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E914AD"/>
    <w:rPr>
      <w:b/>
      <w:bCs/>
    </w:rPr>
  </w:style>
  <w:style w:type="character" w:customStyle="1" w:styleId="TematkomentarzaZnak">
    <w:name w:val="Temat komentarza Znak"/>
    <w:basedOn w:val="TekstkomentarzaZnak"/>
    <w:link w:val="Tematkomentarza"/>
    <w:uiPriority w:val="99"/>
    <w:semiHidden/>
    <w:rsid w:val="00E914AD"/>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18E57-DD27-4837-8174-CE7B9D01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Pages>
  <Words>2168</Words>
  <Characters>13011</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Kopciewski Jakub</dc:creator>
  <cp:keywords/>
  <dc:description/>
  <cp:lastModifiedBy>MoF_FN3_JK</cp:lastModifiedBy>
  <cp:revision>11</cp:revision>
  <dcterms:created xsi:type="dcterms:W3CDTF">2025-02-12T11:45:00Z</dcterms:created>
  <dcterms:modified xsi:type="dcterms:W3CDTF">2025-02-14T14:35:00Z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UxC4dwLulzfINJ8nQH+xvX5LNGipWa4BRSZhPgxsCvlw+iMwHp30c7j4Tmh9BS8vkvgLmUtEBOua5lE/jtwWVg==</vt:lpwstr>
  </property>
  <property fmtid="{D5CDD505-2E9C-101B-9397-08002B2CF9AE}" pid="4" name="MFClassificationDate">
    <vt:lpwstr>2023-11-29T08:29:11.1868006+01:00</vt:lpwstr>
  </property>
  <property fmtid="{D5CDD505-2E9C-101B-9397-08002B2CF9AE}" pid="5" name="MFClassifiedBySID">
    <vt:lpwstr>UxC4dwLulzfINJ8nQH+xvX5LNGipWa4BRSZhPgxsCvm42mrIC/DSDv0ggS+FjUN/2v1BBotkLlY5aAiEhoi6uZidQqjqC2ZaLyl+C8V9ZJYtvWuqmDVj7wrwhyyA/dgi</vt:lpwstr>
  </property>
  <property fmtid="{D5CDD505-2E9C-101B-9397-08002B2CF9AE}" pid="6" name="MFGRNItemId">
    <vt:lpwstr>GRN-1cb864b8-e144-4076-82c2-cf64e38f160a</vt:lpwstr>
  </property>
  <property fmtid="{D5CDD505-2E9C-101B-9397-08002B2CF9AE}" pid="7" name="MFHash">
    <vt:lpwstr>ugWLwGwt/h4nC1ob+7UJHa9OvdHoDOzIk63HZLvdeLc=</vt:lpwstr>
  </property>
  <property fmtid="{D5CDD505-2E9C-101B-9397-08002B2CF9AE}" pid="8" name="MFVisualMarkingsSettings">
    <vt:lpwstr>HeaderAlignment=1;FooterAlignment=1</vt:lpwstr>
  </property>
  <property fmtid="{D5CDD505-2E9C-101B-9397-08002B2CF9AE}" pid="9" name="DLPManualFileClassification">
    <vt:lpwstr>{5fdfc941-3fcf-4a5b-87be-4848800d39d0}</vt:lpwstr>
  </property>
  <property fmtid="{D5CDD505-2E9C-101B-9397-08002B2CF9AE}" pid="10" name="MFRefresh">
    <vt:lpwstr>False</vt:lpwstr>
  </property>
</Properties>
</file>