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2ECD3" w14:textId="77777777" w:rsidR="00950E6C" w:rsidRDefault="00950E6C" w:rsidP="00BA0321">
      <w:pPr>
        <w:spacing w:before="240" w:after="0" w:line="360" w:lineRule="auto"/>
        <w:jc w:val="center"/>
        <w:rPr>
          <w:rFonts w:ascii="Verdana" w:hAnsi="Verdana"/>
          <w:sz w:val="20"/>
          <w:szCs w:val="20"/>
        </w:rPr>
      </w:pPr>
      <w:bookmarkStart w:id="0" w:name="_Hlk62757404"/>
    </w:p>
    <w:p w14:paraId="65B4FC1E" w14:textId="2B1B1618" w:rsidR="00391BFB" w:rsidRPr="00920145" w:rsidRDefault="00391BFB" w:rsidP="00BA0321">
      <w:pPr>
        <w:spacing w:before="240" w:after="0" w:line="360" w:lineRule="auto"/>
        <w:jc w:val="center"/>
        <w:rPr>
          <w:rFonts w:ascii="Verdana" w:hAnsi="Verdana"/>
          <w:sz w:val="20"/>
          <w:szCs w:val="20"/>
        </w:rPr>
      </w:pPr>
      <w:r w:rsidRPr="00920145">
        <w:rPr>
          <w:rFonts w:ascii="Verdana" w:hAnsi="Verdana"/>
          <w:sz w:val="20"/>
          <w:szCs w:val="20"/>
        </w:rPr>
        <w:t xml:space="preserve">Uchwała Nr </w:t>
      </w:r>
      <w:r w:rsidR="006137CE">
        <w:rPr>
          <w:rFonts w:ascii="Verdana" w:hAnsi="Verdana"/>
          <w:sz w:val="20"/>
          <w:szCs w:val="20"/>
        </w:rPr>
        <w:t>731</w:t>
      </w:r>
      <w:r w:rsidR="003D5D8D" w:rsidRPr="00920145">
        <w:rPr>
          <w:rFonts w:ascii="Verdana" w:hAnsi="Verdana"/>
          <w:sz w:val="20"/>
          <w:szCs w:val="20"/>
        </w:rPr>
        <w:t>/</w:t>
      </w:r>
      <w:r w:rsidRPr="00920145">
        <w:rPr>
          <w:rFonts w:ascii="Verdana" w:hAnsi="Verdana"/>
          <w:sz w:val="20"/>
          <w:szCs w:val="20"/>
        </w:rPr>
        <w:t>202</w:t>
      </w:r>
      <w:r w:rsidR="00E93215" w:rsidRPr="00920145">
        <w:rPr>
          <w:rFonts w:ascii="Verdana" w:hAnsi="Verdana"/>
          <w:sz w:val="20"/>
          <w:szCs w:val="20"/>
        </w:rPr>
        <w:t>5</w:t>
      </w:r>
    </w:p>
    <w:p w14:paraId="6B38F3A5" w14:textId="77777777" w:rsidR="00391BFB" w:rsidRPr="00920145" w:rsidRDefault="00391BFB" w:rsidP="00A23201">
      <w:pPr>
        <w:spacing w:after="0" w:line="360" w:lineRule="auto"/>
        <w:jc w:val="center"/>
        <w:rPr>
          <w:rFonts w:ascii="Verdana" w:hAnsi="Verdana"/>
          <w:sz w:val="20"/>
          <w:szCs w:val="20"/>
        </w:rPr>
      </w:pPr>
      <w:r w:rsidRPr="00920145">
        <w:rPr>
          <w:rFonts w:ascii="Verdana" w:hAnsi="Verdana"/>
          <w:sz w:val="20"/>
          <w:szCs w:val="20"/>
        </w:rPr>
        <w:t>Zarządu Giełdy Papierów Wartościowych w Warszawie S.A.</w:t>
      </w:r>
    </w:p>
    <w:p w14:paraId="02E7FE9A" w14:textId="34D76EC1" w:rsidR="00391BFB" w:rsidRPr="00920145" w:rsidRDefault="00391BFB" w:rsidP="00A23201">
      <w:pPr>
        <w:spacing w:after="120" w:line="360" w:lineRule="auto"/>
        <w:jc w:val="center"/>
        <w:rPr>
          <w:rFonts w:ascii="Verdana" w:hAnsi="Verdana"/>
          <w:sz w:val="20"/>
          <w:szCs w:val="20"/>
        </w:rPr>
      </w:pPr>
      <w:r w:rsidRPr="00920145">
        <w:rPr>
          <w:rFonts w:ascii="Verdana" w:hAnsi="Verdana"/>
          <w:sz w:val="20"/>
          <w:szCs w:val="20"/>
        </w:rPr>
        <w:t>z dnia</w:t>
      </w:r>
      <w:r w:rsidR="00C03953" w:rsidRPr="00920145">
        <w:rPr>
          <w:rFonts w:ascii="Verdana" w:hAnsi="Verdana"/>
          <w:sz w:val="20"/>
          <w:szCs w:val="20"/>
        </w:rPr>
        <w:t xml:space="preserve"> </w:t>
      </w:r>
      <w:r w:rsidR="006137CE">
        <w:rPr>
          <w:rFonts w:ascii="Verdana" w:hAnsi="Verdana"/>
          <w:sz w:val="20"/>
          <w:szCs w:val="20"/>
        </w:rPr>
        <w:t xml:space="preserve">5 </w:t>
      </w:r>
      <w:r w:rsidR="00F32A4C" w:rsidRPr="00920145">
        <w:rPr>
          <w:rFonts w:ascii="Verdana" w:hAnsi="Verdana"/>
          <w:sz w:val="20"/>
          <w:szCs w:val="20"/>
        </w:rPr>
        <w:t xml:space="preserve">czerwca </w:t>
      </w:r>
      <w:r w:rsidRPr="00920145">
        <w:rPr>
          <w:rFonts w:ascii="Verdana" w:hAnsi="Verdana"/>
          <w:sz w:val="20"/>
          <w:szCs w:val="20"/>
        </w:rPr>
        <w:t>202</w:t>
      </w:r>
      <w:r w:rsidR="00DD3653" w:rsidRPr="00920145">
        <w:rPr>
          <w:rFonts w:ascii="Verdana" w:hAnsi="Verdana"/>
          <w:sz w:val="20"/>
          <w:szCs w:val="20"/>
        </w:rPr>
        <w:t>5</w:t>
      </w:r>
      <w:r w:rsidRPr="00920145">
        <w:rPr>
          <w:rFonts w:ascii="Verdana" w:hAnsi="Verdana"/>
          <w:sz w:val="20"/>
          <w:szCs w:val="20"/>
        </w:rPr>
        <w:t xml:space="preserve"> r. </w:t>
      </w:r>
    </w:p>
    <w:p w14:paraId="739154D7" w14:textId="77777777" w:rsidR="00ED2F4D" w:rsidRPr="00920145" w:rsidRDefault="00ED2F4D" w:rsidP="007B70F1">
      <w:pPr>
        <w:spacing w:after="480" w:line="360" w:lineRule="auto"/>
        <w:jc w:val="center"/>
        <w:rPr>
          <w:rFonts w:ascii="Verdana" w:hAnsi="Verdana"/>
          <w:sz w:val="20"/>
          <w:szCs w:val="20"/>
        </w:rPr>
      </w:pPr>
      <w:bookmarkStart w:id="1" w:name="_Toc343687355"/>
      <w:r w:rsidRPr="00920145">
        <w:rPr>
          <w:rFonts w:ascii="Verdana" w:hAnsi="Verdana"/>
          <w:sz w:val="20"/>
          <w:szCs w:val="20"/>
        </w:rPr>
        <w:t xml:space="preserve">w sprawie dostosowania Szczegółowych Zasad Obrotu Giełdowego </w:t>
      </w:r>
      <w:r w:rsidRPr="00920145">
        <w:rPr>
          <w:rFonts w:ascii="Verdana" w:hAnsi="Verdana"/>
          <w:sz w:val="20"/>
          <w:szCs w:val="20"/>
        </w:rPr>
        <w:br/>
        <w:t>do działania w systemie GPW WATS</w:t>
      </w:r>
    </w:p>
    <w:p w14:paraId="2CB54EDC" w14:textId="47C7FB74" w:rsidR="00391BFB" w:rsidRPr="00920145" w:rsidRDefault="00391BFB" w:rsidP="00BA0321">
      <w:pPr>
        <w:spacing w:after="120" w:line="360" w:lineRule="auto"/>
        <w:jc w:val="center"/>
        <w:rPr>
          <w:rFonts w:ascii="Verdana" w:hAnsi="Verdana"/>
          <w:sz w:val="20"/>
          <w:szCs w:val="20"/>
        </w:rPr>
      </w:pPr>
      <w:r w:rsidRPr="00920145">
        <w:rPr>
          <w:rFonts w:ascii="Verdana" w:hAnsi="Verdana"/>
          <w:sz w:val="20"/>
          <w:szCs w:val="20"/>
        </w:rPr>
        <w:t>§ 1</w:t>
      </w:r>
    </w:p>
    <w:p w14:paraId="392EA686" w14:textId="02AFA4C9" w:rsidR="00241C19" w:rsidRPr="00920145" w:rsidRDefault="00391BFB" w:rsidP="00BA0321">
      <w:pPr>
        <w:spacing w:after="240" w:line="360" w:lineRule="auto"/>
        <w:jc w:val="both"/>
        <w:rPr>
          <w:rFonts w:ascii="Verdana" w:hAnsi="Verdana"/>
          <w:sz w:val="20"/>
          <w:szCs w:val="20"/>
        </w:rPr>
      </w:pPr>
      <w:r w:rsidRPr="00920145">
        <w:rPr>
          <w:rFonts w:ascii="Verdana" w:hAnsi="Verdana"/>
          <w:sz w:val="20"/>
          <w:szCs w:val="20"/>
        </w:rPr>
        <w:t>Zarząd Giełdy, działając na podstawie § 20 ust. 5 Statutu Giełdy</w:t>
      </w:r>
      <w:r w:rsidR="003E462E" w:rsidRPr="00920145">
        <w:rPr>
          <w:rFonts w:ascii="Verdana" w:hAnsi="Verdana"/>
          <w:sz w:val="20"/>
          <w:szCs w:val="20"/>
        </w:rPr>
        <w:t xml:space="preserve"> </w:t>
      </w:r>
      <w:r w:rsidRPr="00920145">
        <w:rPr>
          <w:rFonts w:ascii="Verdana" w:hAnsi="Verdana"/>
          <w:sz w:val="20"/>
          <w:szCs w:val="20"/>
        </w:rPr>
        <w:t xml:space="preserve">oraz § </w:t>
      </w:r>
      <w:r w:rsidR="00D37944" w:rsidRPr="00920145">
        <w:rPr>
          <w:rFonts w:ascii="Verdana" w:hAnsi="Verdana"/>
          <w:sz w:val="20"/>
          <w:szCs w:val="20"/>
        </w:rPr>
        <w:t xml:space="preserve">190 ust. 1 </w:t>
      </w:r>
      <w:r w:rsidR="003E462E" w:rsidRPr="00920145">
        <w:rPr>
          <w:rFonts w:ascii="Verdana" w:hAnsi="Verdana"/>
          <w:sz w:val="20"/>
          <w:szCs w:val="20"/>
        </w:rPr>
        <w:br/>
      </w:r>
      <w:r w:rsidRPr="00920145">
        <w:rPr>
          <w:rFonts w:ascii="Verdana" w:hAnsi="Verdana"/>
          <w:sz w:val="20"/>
          <w:szCs w:val="20"/>
        </w:rPr>
        <w:t>i 2 Regulaminu Giełdy, postanawia wprowadzić następując</w:t>
      </w:r>
      <w:r w:rsidR="00611B97" w:rsidRPr="00920145">
        <w:rPr>
          <w:rFonts w:ascii="Verdana" w:hAnsi="Verdana"/>
          <w:sz w:val="20"/>
          <w:szCs w:val="20"/>
        </w:rPr>
        <w:t>e</w:t>
      </w:r>
      <w:r w:rsidRPr="00920145">
        <w:rPr>
          <w:rFonts w:ascii="Verdana" w:hAnsi="Verdana"/>
          <w:sz w:val="20"/>
          <w:szCs w:val="20"/>
        </w:rPr>
        <w:t xml:space="preserve"> zmian</w:t>
      </w:r>
      <w:r w:rsidR="00611B97" w:rsidRPr="00920145">
        <w:rPr>
          <w:rFonts w:ascii="Verdana" w:hAnsi="Verdana"/>
          <w:sz w:val="20"/>
          <w:szCs w:val="20"/>
        </w:rPr>
        <w:t>y</w:t>
      </w:r>
      <w:r w:rsidRPr="00920145">
        <w:rPr>
          <w:rFonts w:ascii="Verdana" w:hAnsi="Verdana"/>
          <w:sz w:val="20"/>
          <w:szCs w:val="20"/>
        </w:rPr>
        <w:t xml:space="preserve"> w</w:t>
      </w:r>
      <w:r w:rsidR="00B82F8C" w:rsidRPr="00920145">
        <w:rPr>
          <w:rFonts w:ascii="Verdana" w:hAnsi="Verdana"/>
          <w:sz w:val="20"/>
          <w:szCs w:val="20"/>
        </w:rPr>
        <w:t xml:space="preserve"> </w:t>
      </w:r>
      <w:r w:rsidRPr="00920145">
        <w:rPr>
          <w:rFonts w:ascii="Verdana" w:hAnsi="Verdana"/>
          <w:sz w:val="20"/>
          <w:szCs w:val="20"/>
        </w:rPr>
        <w:t>Szczegółowych Zasad</w:t>
      </w:r>
      <w:r w:rsidR="00C03953" w:rsidRPr="00920145">
        <w:rPr>
          <w:rFonts w:ascii="Verdana" w:hAnsi="Verdana"/>
          <w:sz w:val="20"/>
          <w:szCs w:val="20"/>
        </w:rPr>
        <w:t>ach</w:t>
      </w:r>
      <w:r w:rsidRPr="00920145">
        <w:rPr>
          <w:rFonts w:ascii="Verdana" w:hAnsi="Verdana"/>
          <w:sz w:val="20"/>
          <w:szCs w:val="20"/>
        </w:rPr>
        <w:t xml:space="preserve"> Obrotu Giełdowego w systemie UTP</w:t>
      </w:r>
      <w:r w:rsidR="00BA0321" w:rsidRPr="00920145">
        <w:rPr>
          <w:rFonts w:ascii="Verdana" w:hAnsi="Verdana"/>
          <w:sz w:val="20"/>
          <w:szCs w:val="20"/>
        </w:rPr>
        <w:t>,</w:t>
      </w:r>
      <w:r w:rsidR="00AF7B23" w:rsidRPr="00920145">
        <w:rPr>
          <w:rFonts w:ascii="Verdana" w:hAnsi="Verdana"/>
          <w:sz w:val="20"/>
          <w:szCs w:val="20"/>
        </w:rPr>
        <w:t xml:space="preserve"> uchwalonych Uchwałą Nr 1038/2012 Zarządu Giełdy z dnia 17 października 2012 r. (z późn. zm.)</w:t>
      </w:r>
      <w:r w:rsidR="008C1030" w:rsidRPr="00920145">
        <w:rPr>
          <w:rFonts w:ascii="Verdana" w:hAnsi="Verdana"/>
          <w:sz w:val="20"/>
          <w:szCs w:val="20"/>
        </w:rPr>
        <w:t>:</w:t>
      </w:r>
    </w:p>
    <w:p w14:paraId="6D639E29" w14:textId="7915E9B9" w:rsidR="009802CD" w:rsidRPr="00920145" w:rsidRDefault="00D5769D" w:rsidP="00BA0321">
      <w:pPr>
        <w:pStyle w:val="Akapitzlist"/>
        <w:numPr>
          <w:ilvl w:val="0"/>
          <w:numId w:val="1"/>
        </w:numPr>
        <w:tabs>
          <w:tab w:val="clear" w:pos="567"/>
          <w:tab w:val="num" w:pos="284"/>
        </w:tabs>
        <w:spacing w:after="240" w:line="360" w:lineRule="auto"/>
        <w:ind w:left="284" w:hanging="284"/>
        <w:contextualSpacing w:val="0"/>
        <w:jc w:val="both"/>
        <w:rPr>
          <w:rFonts w:ascii="Verdana" w:hAnsi="Verdana"/>
          <w:sz w:val="20"/>
          <w:szCs w:val="20"/>
        </w:rPr>
      </w:pPr>
      <w:r w:rsidRPr="00920145">
        <w:rPr>
          <w:rFonts w:ascii="Verdana" w:hAnsi="Verdana"/>
          <w:sz w:val="20"/>
          <w:szCs w:val="20"/>
        </w:rPr>
        <w:t>W</w:t>
      </w:r>
      <w:r w:rsidR="006112D3" w:rsidRPr="00920145">
        <w:rPr>
          <w:rFonts w:ascii="Verdana" w:hAnsi="Verdana"/>
          <w:sz w:val="20"/>
          <w:szCs w:val="20"/>
        </w:rPr>
        <w:t xml:space="preserve"> tytule oraz </w:t>
      </w:r>
      <w:r w:rsidR="009B21DB" w:rsidRPr="00920145">
        <w:rPr>
          <w:rFonts w:ascii="Verdana" w:hAnsi="Verdana"/>
          <w:sz w:val="20"/>
          <w:szCs w:val="20"/>
        </w:rPr>
        <w:t xml:space="preserve">w treści </w:t>
      </w:r>
      <w:r w:rsidR="006112D3" w:rsidRPr="00920145">
        <w:rPr>
          <w:rFonts w:ascii="Verdana" w:hAnsi="Verdana"/>
          <w:sz w:val="20"/>
          <w:szCs w:val="20"/>
        </w:rPr>
        <w:t xml:space="preserve">całego dokumentu </w:t>
      </w:r>
      <w:r w:rsidR="009B21DB" w:rsidRPr="00920145">
        <w:rPr>
          <w:rFonts w:ascii="Verdana" w:hAnsi="Verdana"/>
          <w:sz w:val="20"/>
          <w:szCs w:val="20"/>
        </w:rPr>
        <w:t xml:space="preserve">wyrazy „Szczegółowe Zasady Obrotu Giełdowego w systemie UTP” zastępuje się wyrazami „Szczegółowe Zasady Obrotu Giełdowego”, z zachowaniem odpowiedniej formy </w:t>
      </w:r>
      <w:r w:rsidR="00D17AD8" w:rsidRPr="00920145">
        <w:rPr>
          <w:rFonts w:ascii="Verdana" w:hAnsi="Verdana"/>
          <w:sz w:val="20"/>
          <w:szCs w:val="20"/>
        </w:rPr>
        <w:t xml:space="preserve">i </w:t>
      </w:r>
      <w:r w:rsidR="009B21DB" w:rsidRPr="00920145">
        <w:rPr>
          <w:rFonts w:ascii="Verdana" w:hAnsi="Verdana"/>
          <w:sz w:val="20"/>
          <w:szCs w:val="20"/>
        </w:rPr>
        <w:t>odmiany</w:t>
      </w:r>
      <w:r w:rsidR="003E462E" w:rsidRPr="00920145">
        <w:rPr>
          <w:rFonts w:ascii="Verdana" w:hAnsi="Verdana"/>
          <w:sz w:val="20"/>
          <w:szCs w:val="20"/>
        </w:rPr>
        <w:t>.</w:t>
      </w:r>
    </w:p>
    <w:p w14:paraId="2E85B679" w14:textId="1918652B" w:rsidR="009B21DB" w:rsidRPr="00920145" w:rsidRDefault="00D5769D" w:rsidP="000A208B">
      <w:pPr>
        <w:pStyle w:val="Akapitzlist"/>
        <w:numPr>
          <w:ilvl w:val="0"/>
          <w:numId w:val="1"/>
        </w:numPr>
        <w:tabs>
          <w:tab w:val="clear" w:pos="567"/>
          <w:tab w:val="num" w:pos="284"/>
        </w:tabs>
        <w:spacing w:after="240" w:line="360" w:lineRule="auto"/>
        <w:contextualSpacing w:val="0"/>
        <w:jc w:val="both"/>
        <w:rPr>
          <w:rFonts w:ascii="Verdana" w:hAnsi="Verdana"/>
          <w:sz w:val="20"/>
          <w:szCs w:val="20"/>
        </w:rPr>
      </w:pPr>
      <w:r w:rsidRPr="00920145">
        <w:rPr>
          <w:rFonts w:ascii="Verdana" w:hAnsi="Verdana"/>
          <w:sz w:val="20"/>
          <w:szCs w:val="20"/>
        </w:rPr>
        <w:t>W</w:t>
      </w:r>
      <w:r w:rsidR="00172852" w:rsidRPr="00920145">
        <w:rPr>
          <w:rFonts w:ascii="Verdana" w:hAnsi="Verdana"/>
          <w:sz w:val="20"/>
          <w:szCs w:val="20"/>
        </w:rPr>
        <w:t xml:space="preserve"> Dziale I:</w:t>
      </w:r>
    </w:p>
    <w:p w14:paraId="0AECE022" w14:textId="4B852950" w:rsidR="00172852" w:rsidRPr="00920145" w:rsidRDefault="00172852" w:rsidP="00BA0321">
      <w:pPr>
        <w:pStyle w:val="Akapitzlist"/>
        <w:numPr>
          <w:ilvl w:val="0"/>
          <w:numId w:val="2"/>
        </w:numPr>
        <w:spacing w:after="240" w:line="360" w:lineRule="auto"/>
        <w:ind w:left="709" w:hanging="425"/>
        <w:contextualSpacing w:val="0"/>
        <w:jc w:val="both"/>
        <w:rPr>
          <w:rFonts w:ascii="Verdana" w:hAnsi="Verdana"/>
          <w:sz w:val="20"/>
          <w:szCs w:val="20"/>
        </w:rPr>
      </w:pPr>
      <w:r w:rsidRPr="00920145">
        <w:rPr>
          <w:rFonts w:ascii="Verdana" w:hAnsi="Verdana"/>
          <w:sz w:val="20"/>
          <w:szCs w:val="20"/>
        </w:rPr>
        <w:t>w § 2 w lit. d) wyraz „</w:t>
      </w:r>
      <w:r w:rsidR="008F0E18" w:rsidRPr="00920145">
        <w:rPr>
          <w:rFonts w:ascii="Verdana" w:hAnsi="Verdana"/>
          <w:sz w:val="20"/>
          <w:szCs w:val="20"/>
        </w:rPr>
        <w:t>oraz</w:t>
      </w:r>
      <w:r w:rsidRPr="00920145">
        <w:rPr>
          <w:rFonts w:ascii="Verdana" w:hAnsi="Verdana"/>
          <w:sz w:val="20"/>
          <w:szCs w:val="20"/>
        </w:rPr>
        <w:t>” zastępuje się wyrazem „lub”;</w:t>
      </w:r>
    </w:p>
    <w:p w14:paraId="37AD97F9" w14:textId="423ECB71" w:rsidR="00172852" w:rsidRPr="00920145" w:rsidRDefault="00880DAA" w:rsidP="00F8716B">
      <w:pPr>
        <w:pStyle w:val="Akapitzlist"/>
        <w:numPr>
          <w:ilvl w:val="0"/>
          <w:numId w:val="2"/>
        </w:numPr>
        <w:spacing w:after="120" w:line="360" w:lineRule="auto"/>
        <w:ind w:left="709" w:hanging="425"/>
        <w:contextualSpacing w:val="0"/>
        <w:jc w:val="both"/>
        <w:rPr>
          <w:rFonts w:ascii="Verdana" w:hAnsi="Verdana"/>
          <w:sz w:val="20"/>
          <w:szCs w:val="20"/>
        </w:rPr>
      </w:pPr>
      <w:r w:rsidRPr="00920145">
        <w:rPr>
          <w:rFonts w:ascii="Verdana" w:hAnsi="Verdana"/>
          <w:sz w:val="20"/>
          <w:szCs w:val="20"/>
        </w:rPr>
        <w:t xml:space="preserve">w </w:t>
      </w:r>
      <w:r w:rsidR="00F95543" w:rsidRPr="00920145">
        <w:rPr>
          <w:rFonts w:ascii="Verdana" w:hAnsi="Verdana"/>
          <w:sz w:val="20"/>
          <w:szCs w:val="20"/>
        </w:rPr>
        <w:t xml:space="preserve">§ </w:t>
      </w:r>
      <w:r w:rsidRPr="00920145">
        <w:rPr>
          <w:rFonts w:ascii="Verdana" w:hAnsi="Verdana"/>
          <w:sz w:val="20"/>
          <w:szCs w:val="20"/>
        </w:rPr>
        <w:t>3a:</w:t>
      </w:r>
    </w:p>
    <w:p w14:paraId="7FB9ED05" w14:textId="606DFB4C" w:rsidR="00880DAA" w:rsidRPr="00920145" w:rsidRDefault="00C06788" w:rsidP="00A23201">
      <w:pPr>
        <w:pStyle w:val="Akapitzlist"/>
        <w:spacing w:after="120" w:line="360" w:lineRule="auto"/>
        <w:ind w:left="709"/>
        <w:contextualSpacing w:val="0"/>
        <w:jc w:val="both"/>
        <w:rPr>
          <w:rFonts w:ascii="Verdana" w:hAnsi="Verdana"/>
          <w:sz w:val="20"/>
          <w:szCs w:val="20"/>
        </w:rPr>
      </w:pPr>
      <w:r w:rsidRPr="00920145">
        <w:rPr>
          <w:rFonts w:ascii="Verdana" w:hAnsi="Verdana"/>
          <w:sz w:val="20"/>
          <w:szCs w:val="20"/>
        </w:rPr>
        <w:t xml:space="preserve">a) </w:t>
      </w:r>
      <w:r w:rsidR="00880DAA" w:rsidRPr="00920145">
        <w:rPr>
          <w:rFonts w:ascii="Verdana" w:hAnsi="Verdana"/>
          <w:sz w:val="20"/>
          <w:szCs w:val="20"/>
        </w:rPr>
        <w:t>w ust. 1 w lit. b) wyrazy „do klasy notowań, o której mowa” zastępuje się wyrazami „do segmentu notowań, o którym mowa”;</w:t>
      </w:r>
    </w:p>
    <w:p w14:paraId="4D043140" w14:textId="53A93336" w:rsidR="00880DAA" w:rsidRPr="00920145" w:rsidRDefault="00C06788" w:rsidP="000A208B">
      <w:pPr>
        <w:pStyle w:val="Akapitzlist"/>
        <w:spacing w:after="240" w:line="360" w:lineRule="auto"/>
        <w:ind w:left="709"/>
        <w:contextualSpacing w:val="0"/>
        <w:jc w:val="both"/>
        <w:rPr>
          <w:rFonts w:ascii="Verdana" w:hAnsi="Verdana"/>
          <w:sz w:val="20"/>
          <w:szCs w:val="20"/>
        </w:rPr>
      </w:pPr>
      <w:r w:rsidRPr="00920145">
        <w:rPr>
          <w:rFonts w:ascii="Verdana" w:hAnsi="Verdana"/>
          <w:sz w:val="20"/>
          <w:szCs w:val="20"/>
        </w:rPr>
        <w:t xml:space="preserve">b) </w:t>
      </w:r>
      <w:r w:rsidR="00880DAA" w:rsidRPr="00920145">
        <w:rPr>
          <w:rFonts w:ascii="Verdana" w:hAnsi="Verdana"/>
          <w:sz w:val="20"/>
          <w:szCs w:val="20"/>
        </w:rPr>
        <w:t>w ust. 3 w lit. d) wyrazy „do klasy notowań, o której mowa” zastępuje się wyrazami „do segmentu notowań, o którym mowa”;</w:t>
      </w:r>
    </w:p>
    <w:p w14:paraId="231921D4" w14:textId="4E8EBCBA" w:rsidR="00880DAA" w:rsidRPr="00920145" w:rsidRDefault="00F95543" w:rsidP="00F8716B">
      <w:pPr>
        <w:pStyle w:val="Akapitzlist"/>
        <w:numPr>
          <w:ilvl w:val="0"/>
          <w:numId w:val="2"/>
        </w:numPr>
        <w:spacing w:after="240" w:line="360" w:lineRule="auto"/>
        <w:ind w:left="709" w:hanging="425"/>
        <w:contextualSpacing w:val="0"/>
        <w:jc w:val="both"/>
        <w:rPr>
          <w:rFonts w:ascii="Verdana" w:hAnsi="Verdana"/>
          <w:sz w:val="20"/>
          <w:szCs w:val="20"/>
        </w:rPr>
      </w:pPr>
      <w:r w:rsidRPr="00920145">
        <w:rPr>
          <w:rFonts w:ascii="Verdana" w:hAnsi="Verdana"/>
          <w:sz w:val="20"/>
          <w:szCs w:val="20"/>
        </w:rPr>
        <w:t>w § 12</w:t>
      </w:r>
      <w:r w:rsidR="008F0E18" w:rsidRPr="00920145">
        <w:rPr>
          <w:rFonts w:ascii="Verdana" w:hAnsi="Verdana"/>
          <w:sz w:val="20"/>
          <w:szCs w:val="20"/>
        </w:rPr>
        <w:t xml:space="preserve"> w ust. 1 w lit. d) wyraz „oraz” zastępuje się wyrazem „lub”;</w:t>
      </w:r>
    </w:p>
    <w:p w14:paraId="54EAFD2B" w14:textId="7F5A77DD" w:rsidR="008F0E18" w:rsidRPr="00920145" w:rsidRDefault="008F0E18" w:rsidP="00F8716B">
      <w:pPr>
        <w:pStyle w:val="Akapitzlist"/>
        <w:numPr>
          <w:ilvl w:val="0"/>
          <w:numId w:val="2"/>
        </w:numPr>
        <w:spacing w:after="120" w:line="360" w:lineRule="auto"/>
        <w:ind w:left="709" w:hanging="425"/>
        <w:contextualSpacing w:val="0"/>
        <w:jc w:val="both"/>
        <w:rPr>
          <w:rFonts w:ascii="Verdana" w:hAnsi="Verdana"/>
          <w:sz w:val="20"/>
          <w:szCs w:val="20"/>
        </w:rPr>
      </w:pPr>
      <w:r w:rsidRPr="00920145">
        <w:rPr>
          <w:rFonts w:ascii="Verdana" w:hAnsi="Verdana"/>
          <w:sz w:val="20"/>
          <w:szCs w:val="20"/>
        </w:rPr>
        <w:t>w § 14a:</w:t>
      </w:r>
    </w:p>
    <w:p w14:paraId="0BE06007" w14:textId="10BA94EF" w:rsidR="008F0E18" w:rsidRPr="00920145" w:rsidRDefault="00C06788" w:rsidP="00A23201">
      <w:pPr>
        <w:pStyle w:val="Akapitzlist"/>
        <w:spacing w:after="120" w:line="360" w:lineRule="auto"/>
        <w:ind w:left="709"/>
        <w:contextualSpacing w:val="0"/>
        <w:jc w:val="both"/>
        <w:rPr>
          <w:rFonts w:ascii="Verdana" w:hAnsi="Verdana"/>
          <w:sz w:val="20"/>
          <w:szCs w:val="20"/>
        </w:rPr>
      </w:pPr>
      <w:r w:rsidRPr="00920145">
        <w:rPr>
          <w:rFonts w:ascii="Verdana" w:hAnsi="Verdana"/>
          <w:sz w:val="20"/>
          <w:szCs w:val="20"/>
        </w:rPr>
        <w:t>a)</w:t>
      </w:r>
      <w:r w:rsidR="00ED2F4D" w:rsidRPr="00920145">
        <w:rPr>
          <w:rFonts w:ascii="Verdana" w:hAnsi="Verdana"/>
          <w:sz w:val="20"/>
          <w:szCs w:val="20"/>
        </w:rPr>
        <w:t xml:space="preserve"> </w:t>
      </w:r>
      <w:r w:rsidR="008F0E18" w:rsidRPr="00920145">
        <w:rPr>
          <w:rFonts w:ascii="Verdana" w:hAnsi="Verdana"/>
          <w:sz w:val="20"/>
          <w:szCs w:val="20"/>
        </w:rPr>
        <w:t>w ust. 1 w lit. b) wyrazy „do klasy notowań, o której mowa” zastępuje się wyrazami „do segmentu notowań, o którym mowa”;</w:t>
      </w:r>
    </w:p>
    <w:p w14:paraId="39D09B60" w14:textId="77543D68" w:rsidR="008F0E18" w:rsidRPr="00920145" w:rsidRDefault="00C06788" w:rsidP="00632842">
      <w:pPr>
        <w:pStyle w:val="Akapitzlist"/>
        <w:spacing w:after="240" w:line="360" w:lineRule="auto"/>
        <w:ind w:left="709"/>
        <w:contextualSpacing w:val="0"/>
        <w:jc w:val="both"/>
        <w:rPr>
          <w:rFonts w:ascii="Verdana" w:hAnsi="Verdana"/>
          <w:sz w:val="20"/>
          <w:szCs w:val="20"/>
        </w:rPr>
      </w:pPr>
      <w:r w:rsidRPr="00920145">
        <w:rPr>
          <w:rFonts w:ascii="Verdana" w:hAnsi="Verdana"/>
          <w:sz w:val="20"/>
          <w:szCs w:val="20"/>
        </w:rPr>
        <w:t xml:space="preserve">b) </w:t>
      </w:r>
      <w:r w:rsidR="008F0E18" w:rsidRPr="00920145">
        <w:rPr>
          <w:rFonts w:ascii="Verdana" w:hAnsi="Verdana"/>
          <w:sz w:val="20"/>
          <w:szCs w:val="20"/>
        </w:rPr>
        <w:t>w ust. 3 w lit. d) wyrazy „do klasy notowań, o której mowa” zastępuje się wyrazami „do segmentu notowań, o którym mowa”;</w:t>
      </w:r>
    </w:p>
    <w:p w14:paraId="75C4A80D" w14:textId="77777777" w:rsidR="00950E6C" w:rsidRPr="00920145" w:rsidRDefault="00950E6C" w:rsidP="00632842">
      <w:pPr>
        <w:pStyle w:val="Akapitzlist"/>
        <w:spacing w:after="240" w:line="360" w:lineRule="auto"/>
        <w:ind w:left="709"/>
        <w:contextualSpacing w:val="0"/>
        <w:jc w:val="both"/>
        <w:rPr>
          <w:rFonts w:ascii="Verdana" w:hAnsi="Verdana"/>
          <w:sz w:val="20"/>
          <w:szCs w:val="20"/>
        </w:rPr>
      </w:pPr>
    </w:p>
    <w:p w14:paraId="3E6F4201" w14:textId="13CB7BC0" w:rsidR="00C81B22" w:rsidRPr="00920145" w:rsidRDefault="00C81B22" w:rsidP="00F8716B">
      <w:pPr>
        <w:pStyle w:val="Akapitzlist"/>
        <w:numPr>
          <w:ilvl w:val="0"/>
          <w:numId w:val="2"/>
        </w:numPr>
        <w:spacing w:after="120" w:line="360" w:lineRule="auto"/>
        <w:ind w:left="709" w:hanging="425"/>
        <w:contextualSpacing w:val="0"/>
        <w:jc w:val="both"/>
        <w:rPr>
          <w:rFonts w:ascii="Verdana" w:hAnsi="Verdana"/>
          <w:sz w:val="20"/>
          <w:szCs w:val="20"/>
        </w:rPr>
      </w:pPr>
      <w:r w:rsidRPr="00920145">
        <w:rPr>
          <w:rFonts w:ascii="Verdana" w:hAnsi="Verdana"/>
          <w:sz w:val="20"/>
          <w:szCs w:val="20"/>
        </w:rPr>
        <w:lastRenderedPageBreak/>
        <w:t>w § 27 w ust. 3 lit. a) otrzymuje brzmienie:</w:t>
      </w:r>
    </w:p>
    <w:p w14:paraId="5D3CC4EF" w14:textId="7E5CEB50" w:rsidR="00C81B22" w:rsidRPr="00920145" w:rsidRDefault="00C81B22" w:rsidP="00A23201">
      <w:pPr>
        <w:pStyle w:val="Akapitzlist"/>
        <w:spacing w:after="240" w:line="360" w:lineRule="auto"/>
        <w:ind w:left="709"/>
        <w:contextualSpacing w:val="0"/>
        <w:jc w:val="both"/>
        <w:rPr>
          <w:rFonts w:cs="Arial"/>
          <w:sz w:val="20"/>
          <w:szCs w:val="18"/>
        </w:rPr>
      </w:pPr>
      <w:r w:rsidRPr="00920145">
        <w:rPr>
          <w:rFonts w:ascii="Verdana" w:hAnsi="Verdana"/>
          <w:sz w:val="20"/>
          <w:szCs w:val="20"/>
        </w:rPr>
        <w:t xml:space="preserve">„a) </w:t>
      </w:r>
      <w:r w:rsidRPr="00920145">
        <w:rPr>
          <w:rFonts w:ascii="Verdana" w:hAnsi="Verdana" w:cs="Arial"/>
          <w:sz w:val="20"/>
          <w:szCs w:val="18"/>
        </w:rPr>
        <w:t>dokument stanowiący podstawę prawną emisji danych obligacji lub link do strony internetowej, na której dokument ten został opublikowany i jest dostępny,”;</w:t>
      </w:r>
      <w:r w:rsidRPr="00920145">
        <w:rPr>
          <w:rFonts w:cs="Arial"/>
          <w:sz w:val="20"/>
          <w:szCs w:val="18"/>
        </w:rPr>
        <w:t xml:space="preserve"> </w:t>
      </w:r>
    </w:p>
    <w:p w14:paraId="20318462" w14:textId="60480BCB" w:rsidR="00C81B22" w:rsidRPr="00920145" w:rsidRDefault="00C81B22" w:rsidP="00F8716B">
      <w:pPr>
        <w:pStyle w:val="Akapitzlist"/>
        <w:numPr>
          <w:ilvl w:val="0"/>
          <w:numId w:val="2"/>
        </w:numPr>
        <w:spacing w:after="240" w:line="360" w:lineRule="auto"/>
        <w:ind w:left="709" w:hanging="425"/>
        <w:contextualSpacing w:val="0"/>
        <w:jc w:val="both"/>
        <w:rPr>
          <w:rFonts w:ascii="Verdana" w:hAnsi="Verdana"/>
          <w:sz w:val="20"/>
          <w:szCs w:val="20"/>
        </w:rPr>
      </w:pPr>
      <w:r w:rsidRPr="00920145">
        <w:rPr>
          <w:rFonts w:ascii="Verdana" w:hAnsi="Verdana"/>
          <w:sz w:val="20"/>
          <w:szCs w:val="20"/>
        </w:rPr>
        <w:t>tytuł Oddziału 8 otrzymuje brzmienie „Tytuły uczestnictwa funduszy typu ETF („ETF”);</w:t>
      </w:r>
    </w:p>
    <w:p w14:paraId="46F941D0" w14:textId="630F275E" w:rsidR="00C81B22" w:rsidRPr="00920145" w:rsidRDefault="003B54ED" w:rsidP="00414CC9">
      <w:pPr>
        <w:pStyle w:val="Akapitzlist"/>
        <w:numPr>
          <w:ilvl w:val="0"/>
          <w:numId w:val="2"/>
        </w:numPr>
        <w:spacing w:after="360" w:line="360" w:lineRule="auto"/>
        <w:ind w:left="709" w:hanging="425"/>
        <w:contextualSpacing w:val="0"/>
        <w:jc w:val="both"/>
        <w:rPr>
          <w:rFonts w:ascii="Verdana" w:hAnsi="Verdana"/>
          <w:sz w:val="20"/>
          <w:szCs w:val="20"/>
        </w:rPr>
      </w:pPr>
      <w:r w:rsidRPr="00920145">
        <w:rPr>
          <w:rFonts w:ascii="Verdana" w:hAnsi="Verdana"/>
          <w:sz w:val="20"/>
          <w:szCs w:val="20"/>
        </w:rPr>
        <w:t>w § 38 w ust. 4 w lit. j) wyrazy „segment notowań dla danych instrumentów” zastępuje się wyrazami „segment dla danych instrumentów”</w:t>
      </w:r>
      <w:r w:rsidR="006E0D43" w:rsidRPr="00920145">
        <w:rPr>
          <w:rFonts w:ascii="Verdana" w:hAnsi="Verdana"/>
          <w:sz w:val="20"/>
          <w:szCs w:val="20"/>
        </w:rPr>
        <w:t>.</w:t>
      </w:r>
    </w:p>
    <w:p w14:paraId="41095426" w14:textId="284936A5" w:rsidR="003B54ED" w:rsidRPr="00920145" w:rsidRDefault="00871204" w:rsidP="00ED2F4D">
      <w:pPr>
        <w:pStyle w:val="Akapitzlist"/>
        <w:numPr>
          <w:ilvl w:val="0"/>
          <w:numId w:val="1"/>
        </w:numPr>
        <w:tabs>
          <w:tab w:val="clear" w:pos="567"/>
          <w:tab w:val="num" w:pos="284"/>
        </w:tabs>
        <w:spacing w:after="240" w:line="360" w:lineRule="auto"/>
        <w:contextualSpacing w:val="0"/>
        <w:jc w:val="both"/>
        <w:rPr>
          <w:rFonts w:ascii="Verdana" w:hAnsi="Verdana"/>
          <w:sz w:val="20"/>
          <w:szCs w:val="20"/>
        </w:rPr>
      </w:pPr>
      <w:r w:rsidRPr="00920145">
        <w:rPr>
          <w:rFonts w:ascii="Verdana" w:hAnsi="Verdana"/>
          <w:sz w:val="20"/>
          <w:szCs w:val="20"/>
        </w:rPr>
        <w:t>W</w:t>
      </w:r>
      <w:r w:rsidR="005F68AF" w:rsidRPr="00920145">
        <w:rPr>
          <w:rFonts w:ascii="Verdana" w:hAnsi="Verdana"/>
          <w:sz w:val="20"/>
          <w:szCs w:val="20"/>
        </w:rPr>
        <w:t xml:space="preserve"> Dziale II:</w:t>
      </w:r>
    </w:p>
    <w:p w14:paraId="1587F7CB" w14:textId="22B28645" w:rsidR="005F68AF" w:rsidRPr="00920145" w:rsidRDefault="005F68AF" w:rsidP="00F8716B">
      <w:pPr>
        <w:pStyle w:val="Akapitzlist"/>
        <w:numPr>
          <w:ilvl w:val="0"/>
          <w:numId w:val="3"/>
        </w:numPr>
        <w:spacing w:after="120" w:line="360" w:lineRule="auto"/>
        <w:ind w:left="709" w:hanging="425"/>
        <w:contextualSpacing w:val="0"/>
        <w:jc w:val="both"/>
        <w:rPr>
          <w:rFonts w:ascii="Verdana" w:hAnsi="Verdana"/>
          <w:sz w:val="20"/>
          <w:szCs w:val="20"/>
        </w:rPr>
      </w:pPr>
      <w:r w:rsidRPr="00920145">
        <w:rPr>
          <w:rFonts w:ascii="Verdana" w:hAnsi="Verdana"/>
          <w:sz w:val="20"/>
          <w:szCs w:val="20"/>
        </w:rPr>
        <w:t>w § 1b</w:t>
      </w:r>
      <w:r w:rsidRPr="00920145">
        <w:rPr>
          <w:rFonts w:ascii="Verdana" w:hAnsi="Verdana"/>
          <w:sz w:val="20"/>
          <w:szCs w:val="20"/>
          <w:vertAlign w:val="superscript"/>
        </w:rPr>
        <w:t>1</w:t>
      </w:r>
      <w:r w:rsidRPr="00920145">
        <w:rPr>
          <w:rFonts w:ascii="Verdana" w:hAnsi="Verdana"/>
          <w:sz w:val="20"/>
          <w:szCs w:val="20"/>
        </w:rPr>
        <w:t>:</w:t>
      </w:r>
    </w:p>
    <w:p w14:paraId="74BA5CAB" w14:textId="580DF3CF" w:rsidR="005F68AF" w:rsidRPr="00920145" w:rsidRDefault="005F68AF" w:rsidP="00ED2F4D">
      <w:pPr>
        <w:pStyle w:val="Akapitzlist"/>
        <w:numPr>
          <w:ilvl w:val="1"/>
          <w:numId w:val="89"/>
        </w:numPr>
        <w:spacing w:after="120" w:line="360" w:lineRule="auto"/>
        <w:ind w:left="1134" w:hanging="357"/>
        <w:contextualSpacing w:val="0"/>
        <w:jc w:val="both"/>
        <w:rPr>
          <w:rFonts w:ascii="Verdana" w:hAnsi="Verdana"/>
          <w:sz w:val="20"/>
          <w:szCs w:val="20"/>
        </w:rPr>
      </w:pPr>
      <w:r w:rsidRPr="00920145">
        <w:rPr>
          <w:rFonts w:ascii="Verdana" w:hAnsi="Verdana"/>
          <w:sz w:val="20"/>
          <w:szCs w:val="20"/>
        </w:rPr>
        <w:t>w ust. 1 wyrazy „do klasy notowań, o której mowa” zastępuje się wyrazami „do segmentu notowań, o którym mowa”;</w:t>
      </w:r>
    </w:p>
    <w:p w14:paraId="35D5DAB6" w14:textId="3FC51EF5" w:rsidR="005F68AF" w:rsidRPr="00920145" w:rsidRDefault="005F68AF" w:rsidP="00ED2F4D">
      <w:pPr>
        <w:pStyle w:val="Akapitzlist"/>
        <w:numPr>
          <w:ilvl w:val="1"/>
          <w:numId w:val="89"/>
        </w:numPr>
        <w:spacing w:after="120" w:line="360" w:lineRule="auto"/>
        <w:ind w:left="1134" w:hanging="357"/>
        <w:contextualSpacing w:val="0"/>
        <w:jc w:val="both"/>
        <w:rPr>
          <w:rFonts w:ascii="Verdana" w:hAnsi="Verdana"/>
          <w:sz w:val="20"/>
          <w:szCs w:val="20"/>
        </w:rPr>
      </w:pPr>
      <w:r w:rsidRPr="00920145">
        <w:rPr>
          <w:rFonts w:ascii="Verdana" w:hAnsi="Verdana"/>
          <w:sz w:val="20"/>
          <w:szCs w:val="20"/>
        </w:rPr>
        <w:t>ust. 2 wyrazy „do klasy notowań, o której mowa” zastępuje się wyrazami „do segmentu notowań, o którym mowa”;</w:t>
      </w:r>
    </w:p>
    <w:p w14:paraId="62FA0603" w14:textId="33C85C3B" w:rsidR="00044F27" w:rsidRPr="00920145" w:rsidRDefault="00044F27" w:rsidP="00ED2F4D">
      <w:pPr>
        <w:pStyle w:val="Akapitzlist"/>
        <w:numPr>
          <w:ilvl w:val="1"/>
          <w:numId w:val="89"/>
        </w:numPr>
        <w:spacing w:after="120" w:line="360" w:lineRule="auto"/>
        <w:ind w:left="1134" w:hanging="357"/>
        <w:contextualSpacing w:val="0"/>
        <w:jc w:val="both"/>
        <w:rPr>
          <w:rFonts w:ascii="Verdana" w:hAnsi="Verdana"/>
          <w:sz w:val="20"/>
          <w:szCs w:val="20"/>
        </w:rPr>
      </w:pPr>
      <w:r w:rsidRPr="00920145">
        <w:rPr>
          <w:rFonts w:ascii="Verdana" w:hAnsi="Verdana"/>
          <w:sz w:val="20"/>
          <w:szCs w:val="20"/>
        </w:rPr>
        <w:t>w ust. 4 wyrazy „do klasy, o której mowa” zastępuje się wyrazami „do segmentu, o którym mowa”;</w:t>
      </w:r>
    </w:p>
    <w:p w14:paraId="2A86F65B" w14:textId="2E37F2B8" w:rsidR="00044F27" w:rsidRPr="00920145" w:rsidRDefault="00044F27" w:rsidP="00ED2F4D">
      <w:pPr>
        <w:pStyle w:val="Akapitzlist"/>
        <w:numPr>
          <w:ilvl w:val="1"/>
          <w:numId w:val="89"/>
        </w:numPr>
        <w:spacing w:after="120" w:line="360" w:lineRule="auto"/>
        <w:ind w:left="1134" w:hanging="357"/>
        <w:contextualSpacing w:val="0"/>
        <w:jc w:val="both"/>
        <w:rPr>
          <w:rFonts w:ascii="Verdana" w:hAnsi="Verdana"/>
          <w:sz w:val="20"/>
          <w:szCs w:val="20"/>
        </w:rPr>
      </w:pPr>
      <w:r w:rsidRPr="00920145">
        <w:rPr>
          <w:rFonts w:ascii="Verdana" w:hAnsi="Verdana"/>
          <w:sz w:val="20"/>
          <w:szCs w:val="20"/>
        </w:rPr>
        <w:t xml:space="preserve">w ust. 7 wyrazy </w:t>
      </w:r>
      <w:r w:rsidR="00705954" w:rsidRPr="00920145">
        <w:rPr>
          <w:rFonts w:ascii="Verdana" w:hAnsi="Verdana"/>
          <w:sz w:val="20"/>
          <w:szCs w:val="20"/>
        </w:rPr>
        <w:t>„do klasy notowań, o której mowa” zastępuje się wyrazami „do segmentu notowań, o którym mowa”;</w:t>
      </w:r>
    </w:p>
    <w:p w14:paraId="1EAE4273" w14:textId="352F7980" w:rsidR="00705954" w:rsidRPr="00920145" w:rsidRDefault="00705954" w:rsidP="00ED2F4D">
      <w:pPr>
        <w:pStyle w:val="Akapitzlist"/>
        <w:numPr>
          <w:ilvl w:val="1"/>
          <w:numId w:val="89"/>
        </w:numPr>
        <w:spacing w:after="240" w:line="360" w:lineRule="auto"/>
        <w:ind w:left="1134" w:hanging="357"/>
        <w:contextualSpacing w:val="0"/>
        <w:jc w:val="both"/>
        <w:rPr>
          <w:rFonts w:ascii="Verdana" w:hAnsi="Verdana"/>
          <w:sz w:val="20"/>
          <w:szCs w:val="20"/>
        </w:rPr>
      </w:pPr>
      <w:r w:rsidRPr="00920145">
        <w:rPr>
          <w:rFonts w:ascii="Verdana" w:hAnsi="Verdana"/>
          <w:sz w:val="20"/>
          <w:szCs w:val="20"/>
        </w:rPr>
        <w:t>w ust. 8 wyrazy „do klasy notowań, o której mowa” zastępuje się wyrazami „do segmentu notowań, o którym mowa”;</w:t>
      </w:r>
    </w:p>
    <w:p w14:paraId="0AFE65F7" w14:textId="16D20C4A" w:rsidR="00705954" w:rsidRPr="00920145" w:rsidRDefault="00705954" w:rsidP="00F8716B">
      <w:pPr>
        <w:pStyle w:val="Akapitzlist"/>
        <w:numPr>
          <w:ilvl w:val="0"/>
          <w:numId w:val="3"/>
        </w:numPr>
        <w:spacing w:after="240" w:line="360" w:lineRule="auto"/>
        <w:ind w:left="709" w:hanging="425"/>
        <w:contextualSpacing w:val="0"/>
        <w:jc w:val="both"/>
        <w:rPr>
          <w:rFonts w:ascii="Verdana" w:hAnsi="Verdana"/>
          <w:sz w:val="20"/>
          <w:szCs w:val="20"/>
        </w:rPr>
      </w:pPr>
      <w:r w:rsidRPr="00920145">
        <w:rPr>
          <w:rFonts w:ascii="Verdana" w:hAnsi="Verdana"/>
          <w:sz w:val="20"/>
          <w:szCs w:val="20"/>
        </w:rPr>
        <w:t>w § 1d w ust. 1 uchyla się pkt 6);</w:t>
      </w:r>
    </w:p>
    <w:p w14:paraId="132E34AC" w14:textId="020402FB" w:rsidR="00705954" w:rsidRPr="00920145" w:rsidRDefault="00705954" w:rsidP="00F8716B">
      <w:pPr>
        <w:pStyle w:val="Akapitzlist"/>
        <w:numPr>
          <w:ilvl w:val="0"/>
          <w:numId w:val="3"/>
        </w:numPr>
        <w:spacing w:after="120" w:line="360" w:lineRule="auto"/>
        <w:ind w:left="709" w:hanging="425"/>
        <w:contextualSpacing w:val="0"/>
        <w:jc w:val="both"/>
        <w:rPr>
          <w:rFonts w:ascii="Verdana" w:hAnsi="Verdana"/>
          <w:sz w:val="20"/>
          <w:szCs w:val="20"/>
        </w:rPr>
      </w:pPr>
      <w:r w:rsidRPr="00920145">
        <w:rPr>
          <w:rFonts w:ascii="Verdana" w:hAnsi="Verdana"/>
          <w:sz w:val="20"/>
          <w:szCs w:val="20"/>
        </w:rPr>
        <w:t>w § 4 ust. 1 otrzymuje brzmienie:</w:t>
      </w:r>
    </w:p>
    <w:p w14:paraId="4FADE7F0" w14:textId="7FF54267" w:rsidR="00705954" w:rsidRPr="00920145" w:rsidRDefault="00705954" w:rsidP="00A23201">
      <w:pPr>
        <w:pStyle w:val="Akapitzlist"/>
        <w:spacing w:after="240" w:line="360" w:lineRule="auto"/>
        <w:ind w:left="709"/>
        <w:contextualSpacing w:val="0"/>
        <w:jc w:val="both"/>
        <w:rPr>
          <w:rFonts w:ascii="Verdana" w:hAnsi="Verdana"/>
          <w:sz w:val="20"/>
          <w:szCs w:val="20"/>
        </w:rPr>
      </w:pPr>
      <w:r w:rsidRPr="00920145">
        <w:rPr>
          <w:rFonts w:ascii="Verdana" w:hAnsi="Verdana"/>
          <w:sz w:val="20"/>
          <w:szCs w:val="20"/>
        </w:rPr>
        <w:t xml:space="preserve">„1. </w:t>
      </w:r>
      <w:r w:rsidRPr="00920145">
        <w:rPr>
          <w:rFonts w:ascii="Verdana" w:hAnsi="Verdana" w:cs="Arial"/>
          <w:sz w:val="20"/>
          <w:szCs w:val="20"/>
        </w:rPr>
        <w:t xml:space="preserve">Giełda przyznaje maklerowi nadzorującemu profil dostępu do systemu kodowanej łączności internetowej (system 4brokernet), umożliwiający </w:t>
      </w:r>
      <w:r w:rsidR="00000B70" w:rsidRPr="00920145">
        <w:rPr>
          <w:rFonts w:ascii="Verdana" w:hAnsi="Verdana" w:cs="Arial"/>
          <w:sz w:val="20"/>
          <w:szCs w:val="20"/>
        </w:rPr>
        <w:t xml:space="preserve">mu </w:t>
      </w:r>
      <w:r w:rsidRPr="00920145">
        <w:rPr>
          <w:rFonts w:ascii="Verdana" w:hAnsi="Verdana" w:cs="Arial"/>
          <w:sz w:val="20"/>
          <w:szCs w:val="20"/>
        </w:rPr>
        <w:t>tworzenie kolejnych profili dostępu</w:t>
      </w:r>
      <w:r w:rsidR="00ED2F4D" w:rsidRPr="00920145">
        <w:rPr>
          <w:rFonts w:cs="Arial"/>
          <w:sz w:val="20"/>
          <w:szCs w:val="20"/>
        </w:rPr>
        <w:t xml:space="preserve"> </w:t>
      </w:r>
      <w:r w:rsidR="00000B70" w:rsidRPr="00920145">
        <w:rPr>
          <w:rFonts w:ascii="Verdana" w:hAnsi="Verdana" w:cs="Arial"/>
          <w:sz w:val="20"/>
          <w:szCs w:val="20"/>
        </w:rPr>
        <w:t>członka giełdy i zarządzanie nimi</w:t>
      </w:r>
      <w:r w:rsidRPr="00920145">
        <w:rPr>
          <w:rFonts w:ascii="Verdana" w:hAnsi="Verdana" w:cs="Arial"/>
          <w:sz w:val="20"/>
          <w:szCs w:val="20"/>
        </w:rPr>
        <w:t>.</w:t>
      </w:r>
      <w:r w:rsidR="004514CB" w:rsidRPr="00920145">
        <w:rPr>
          <w:rFonts w:ascii="Verdana" w:hAnsi="Verdana" w:cs="Arial"/>
          <w:sz w:val="20"/>
          <w:szCs w:val="20"/>
        </w:rPr>
        <w:t>”;</w:t>
      </w:r>
      <w:r w:rsidRPr="00920145">
        <w:rPr>
          <w:rFonts w:ascii="Verdana" w:hAnsi="Verdana" w:cs="Arial"/>
          <w:sz w:val="20"/>
          <w:szCs w:val="20"/>
        </w:rPr>
        <w:t xml:space="preserve"> </w:t>
      </w:r>
    </w:p>
    <w:p w14:paraId="79E48ACE" w14:textId="1F3DEBA5" w:rsidR="00705954" w:rsidRPr="00920145" w:rsidRDefault="00554EFF" w:rsidP="00F8716B">
      <w:pPr>
        <w:pStyle w:val="Akapitzlist"/>
        <w:numPr>
          <w:ilvl w:val="0"/>
          <w:numId w:val="3"/>
        </w:numPr>
        <w:spacing w:after="120" w:line="360" w:lineRule="auto"/>
        <w:ind w:left="709" w:hanging="425"/>
        <w:contextualSpacing w:val="0"/>
        <w:jc w:val="both"/>
        <w:rPr>
          <w:rFonts w:ascii="Verdana" w:hAnsi="Verdana"/>
          <w:sz w:val="20"/>
          <w:szCs w:val="20"/>
        </w:rPr>
      </w:pPr>
      <w:r w:rsidRPr="00920145">
        <w:rPr>
          <w:rFonts w:ascii="Verdana" w:hAnsi="Verdana"/>
          <w:sz w:val="20"/>
          <w:szCs w:val="20"/>
        </w:rPr>
        <w:t>w § 11 w ust. 2 pkt 1) otrzymuje brzmienie:</w:t>
      </w:r>
    </w:p>
    <w:p w14:paraId="024FD9FF" w14:textId="5C621F47" w:rsidR="00554EFF" w:rsidRPr="00920145" w:rsidRDefault="00554EFF" w:rsidP="00A23201">
      <w:pPr>
        <w:pStyle w:val="Akapitzlist"/>
        <w:spacing w:after="240" w:line="360" w:lineRule="auto"/>
        <w:ind w:left="709"/>
        <w:contextualSpacing w:val="0"/>
        <w:jc w:val="both"/>
        <w:rPr>
          <w:sz w:val="20"/>
          <w:szCs w:val="20"/>
        </w:rPr>
      </w:pPr>
      <w:r w:rsidRPr="00920145">
        <w:rPr>
          <w:rFonts w:ascii="Verdana" w:hAnsi="Verdana"/>
          <w:sz w:val="20"/>
          <w:szCs w:val="20"/>
        </w:rPr>
        <w:t xml:space="preserve">„1) wprowadzania nie później niż na 5 minut przed zakończeniem fazy aukcji otwarcia/ fazy aukcji zamknięcia, oraz stałego utrzymywania </w:t>
      </w:r>
      <w:r w:rsidRPr="00920145">
        <w:rPr>
          <w:rFonts w:ascii="Verdana" w:hAnsi="Verdana" w:cs="Lucida Sans Unicode"/>
          <w:sz w:val="20"/>
          <w:szCs w:val="20"/>
        </w:rPr>
        <w:t xml:space="preserve">w trakcie trwania danej sesji giełdowej, </w:t>
      </w:r>
      <w:r w:rsidRPr="00920145">
        <w:rPr>
          <w:rFonts w:ascii="Verdana" w:hAnsi="Verdana"/>
          <w:sz w:val="20"/>
          <w:szCs w:val="20"/>
        </w:rPr>
        <w:t>przez okres czasu określony we właściwym z</w:t>
      </w:r>
      <w:r w:rsidRPr="00920145">
        <w:rPr>
          <w:rFonts w:ascii="Verdana" w:hAnsi="Verdana" w:cs="Lucida Sans Unicode"/>
          <w:sz w:val="20"/>
          <w:szCs w:val="20"/>
        </w:rPr>
        <w:t xml:space="preserve">ałączniku do niniejszych Szczegółowych Zasad, </w:t>
      </w:r>
      <w:r w:rsidRPr="00920145">
        <w:rPr>
          <w:rFonts w:ascii="Verdana" w:hAnsi="Verdana"/>
          <w:sz w:val="20"/>
          <w:szCs w:val="20"/>
        </w:rPr>
        <w:t xml:space="preserve">zleceń kupna i sprzedaży spełniających </w:t>
      </w:r>
      <w:r w:rsidRPr="00920145">
        <w:rPr>
          <w:rFonts w:ascii="Verdana" w:hAnsi="Verdana"/>
          <w:sz w:val="20"/>
          <w:szCs w:val="20"/>
        </w:rPr>
        <w:lastRenderedPageBreak/>
        <w:t xml:space="preserve">wymogi animowania, o których mowa w ust. 4, lub odpowiednio wymogi, </w:t>
      </w:r>
      <w:r w:rsidR="00ED2F4D" w:rsidRPr="00920145">
        <w:rPr>
          <w:rFonts w:ascii="Verdana" w:hAnsi="Verdana"/>
          <w:sz w:val="20"/>
          <w:szCs w:val="20"/>
        </w:rPr>
        <w:br/>
      </w:r>
      <w:r w:rsidRPr="00920145">
        <w:rPr>
          <w:rFonts w:ascii="Verdana" w:hAnsi="Verdana"/>
          <w:sz w:val="20"/>
          <w:szCs w:val="20"/>
        </w:rPr>
        <w:t>o których mowa w ust. 5,”;</w:t>
      </w:r>
      <w:r w:rsidRPr="00920145">
        <w:rPr>
          <w:sz w:val="20"/>
          <w:szCs w:val="20"/>
        </w:rPr>
        <w:t xml:space="preserve"> </w:t>
      </w:r>
    </w:p>
    <w:p w14:paraId="1FCFCF49" w14:textId="26505C11" w:rsidR="00554EFF" w:rsidRPr="00920145" w:rsidRDefault="003B2671" w:rsidP="00F8716B">
      <w:pPr>
        <w:pStyle w:val="Akapitzlist"/>
        <w:numPr>
          <w:ilvl w:val="0"/>
          <w:numId w:val="3"/>
        </w:numPr>
        <w:spacing w:after="120" w:line="360" w:lineRule="auto"/>
        <w:ind w:left="709" w:hanging="425"/>
        <w:contextualSpacing w:val="0"/>
        <w:jc w:val="both"/>
        <w:rPr>
          <w:rFonts w:ascii="Verdana" w:hAnsi="Verdana"/>
          <w:sz w:val="20"/>
          <w:szCs w:val="20"/>
        </w:rPr>
      </w:pPr>
      <w:r w:rsidRPr="00920145">
        <w:rPr>
          <w:rFonts w:ascii="Verdana" w:hAnsi="Verdana"/>
          <w:sz w:val="20"/>
          <w:szCs w:val="20"/>
        </w:rPr>
        <w:t>w § 12 ust. 2 otrzymuje brzmienie:</w:t>
      </w:r>
    </w:p>
    <w:p w14:paraId="5AF34C86" w14:textId="30D6FBF6" w:rsidR="003B2671" w:rsidRPr="00920145" w:rsidRDefault="003B2671" w:rsidP="00414CC9">
      <w:pPr>
        <w:pStyle w:val="Akapitzlist"/>
        <w:spacing w:after="360" w:line="360" w:lineRule="auto"/>
        <w:ind w:left="709"/>
        <w:contextualSpacing w:val="0"/>
        <w:jc w:val="both"/>
        <w:rPr>
          <w:rFonts w:ascii="Verdana" w:hAnsi="Verdana"/>
          <w:sz w:val="20"/>
          <w:szCs w:val="20"/>
        </w:rPr>
      </w:pPr>
      <w:r w:rsidRPr="00920145">
        <w:rPr>
          <w:rFonts w:ascii="Verdana" w:hAnsi="Verdana"/>
          <w:sz w:val="20"/>
          <w:szCs w:val="20"/>
        </w:rPr>
        <w:t xml:space="preserve">„2. </w:t>
      </w:r>
      <w:r w:rsidRPr="00920145">
        <w:rPr>
          <w:rFonts w:ascii="Verdana" w:hAnsi="Verdana" w:cs="Lucida Sans Unicode"/>
          <w:sz w:val="20"/>
          <w:szCs w:val="20"/>
        </w:rPr>
        <w:t xml:space="preserve">Informacje o wystąpieniu wyjątkowych okoliczności, o których mowa </w:t>
      </w:r>
      <w:r w:rsidR="000A208B" w:rsidRPr="00920145">
        <w:rPr>
          <w:rFonts w:ascii="Verdana" w:hAnsi="Verdana" w:cs="Lucida Sans Unicode"/>
          <w:sz w:val="20"/>
          <w:szCs w:val="20"/>
        </w:rPr>
        <w:br/>
      </w:r>
      <w:r w:rsidRPr="00920145">
        <w:rPr>
          <w:rFonts w:ascii="Verdana" w:hAnsi="Verdana" w:cs="Lucida Sans Unicode"/>
          <w:sz w:val="20"/>
          <w:szCs w:val="20"/>
        </w:rPr>
        <w:t>w ust. 1 pkt 1), 2) i 4), Giełda podaje niezwłocznie do wiadomości uczestników obrotu.”</w:t>
      </w:r>
      <w:r w:rsidR="006E0D43" w:rsidRPr="00920145">
        <w:rPr>
          <w:rFonts w:ascii="Verdana" w:hAnsi="Verdana" w:cs="Lucida Sans Unicode"/>
          <w:sz w:val="20"/>
          <w:szCs w:val="20"/>
        </w:rPr>
        <w:t>.</w:t>
      </w:r>
    </w:p>
    <w:p w14:paraId="3C303CD9" w14:textId="01FFCE39" w:rsidR="00A86563" w:rsidRPr="00920145" w:rsidRDefault="00871204" w:rsidP="00A23201">
      <w:pPr>
        <w:pStyle w:val="Akapitzlist"/>
        <w:numPr>
          <w:ilvl w:val="0"/>
          <w:numId w:val="1"/>
        </w:numPr>
        <w:tabs>
          <w:tab w:val="clear" w:pos="567"/>
          <w:tab w:val="num" w:pos="284"/>
        </w:tabs>
        <w:spacing w:after="240" w:line="360" w:lineRule="auto"/>
        <w:contextualSpacing w:val="0"/>
        <w:jc w:val="both"/>
        <w:rPr>
          <w:rFonts w:ascii="Verdana" w:hAnsi="Verdana"/>
          <w:sz w:val="20"/>
          <w:szCs w:val="20"/>
        </w:rPr>
      </w:pPr>
      <w:r w:rsidRPr="00920145">
        <w:rPr>
          <w:rFonts w:ascii="Verdana" w:hAnsi="Verdana"/>
          <w:sz w:val="20"/>
          <w:szCs w:val="20"/>
        </w:rPr>
        <w:t>W</w:t>
      </w:r>
      <w:r w:rsidR="00E3761E" w:rsidRPr="00920145">
        <w:rPr>
          <w:rFonts w:ascii="Verdana" w:hAnsi="Verdana"/>
          <w:sz w:val="20"/>
          <w:szCs w:val="20"/>
        </w:rPr>
        <w:t xml:space="preserve"> Dziale III</w:t>
      </w:r>
      <w:r w:rsidR="00A86563" w:rsidRPr="00920145">
        <w:rPr>
          <w:rFonts w:ascii="Verdana" w:hAnsi="Verdana"/>
          <w:sz w:val="20"/>
          <w:szCs w:val="20"/>
        </w:rPr>
        <w:t>:</w:t>
      </w:r>
    </w:p>
    <w:p w14:paraId="18003717" w14:textId="77777777" w:rsidR="00A86563" w:rsidRPr="00920145" w:rsidRDefault="00A86563" w:rsidP="00632842">
      <w:pPr>
        <w:pStyle w:val="Akapitzlist"/>
        <w:numPr>
          <w:ilvl w:val="2"/>
          <w:numId w:val="89"/>
        </w:numPr>
        <w:spacing w:after="120" w:line="360" w:lineRule="auto"/>
        <w:ind w:left="709" w:hanging="425"/>
        <w:contextualSpacing w:val="0"/>
        <w:jc w:val="both"/>
        <w:rPr>
          <w:rFonts w:ascii="Verdana" w:hAnsi="Verdana"/>
          <w:sz w:val="20"/>
          <w:szCs w:val="20"/>
        </w:rPr>
      </w:pPr>
      <w:r w:rsidRPr="00920145">
        <w:rPr>
          <w:rFonts w:ascii="Verdana" w:hAnsi="Verdana"/>
          <w:sz w:val="20"/>
          <w:szCs w:val="20"/>
        </w:rPr>
        <w:t xml:space="preserve">w § 1 uchyla się ust. 3; </w:t>
      </w:r>
    </w:p>
    <w:p w14:paraId="10745BD2" w14:textId="1CF2A44F" w:rsidR="003B2671" w:rsidRPr="00920145" w:rsidRDefault="00ED2F4D" w:rsidP="00414CC9">
      <w:pPr>
        <w:pStyle w:val="Akapitzlist"/>
        <w:numPr>
          <w:ilvl w:val="2"/>
          <w:numId w:val="89"/>
        </w:numPr>
        <w:spacing w:after="360" w:line="360" w:lineRule="auto"/>
        <w:ind w:left="709" w:hanging="425"/>
        <w:contextualSpacing w:val="0"/>
        <w:jc w:val="both"/>
        <w:rPr>
          <w:rFonts w:ascii="Verdana" w:hAnsi="Verdana"/>
          <w:sz w:val="20"/>
          <w:szCs w:val="20"/>
        </w:rPr>
      </w:pPr>
      <w:r w:rsidRPr="00920145">
        <w:rPr>
          <w:rFonts w:ascii="Verdana" w:hAnsi="Verdana"/>
          <w:sz w:val="20"/>
          <w:szCs w:val="20"/>
        </w:rPr>
        <w:t xml:space="preserve">uchyla się </w:t>
      </w:r>
      <w:r w:rsidR="00E3761E" w:rsidRPr="00920145">
        <w:rPr>
          <w:rFonts w:ascii="Verdana" w:hAnsi="Verdana"/>
          <w:sz w:val="20"/>
          <w:szCs w:val="20"/>
        </w:rPr>
        <w:t>§ 9</w:t>
      </w:r>
      <w:r w:rsidR="006E0D43" w:rsidRPr="00920145">
        <w:rPr>
          <w:rFonts w:ascii="Verdana" w:hAnsi="Verdana"/>
          <w:sz w:val="20"/>
          <w:szCs w:val="20"/>
        </w:rPr>
        <w:t>.</w:t>
      </w:r>
    </w:p>
    <w:p w14:paraId="2B400B65" w14:textId="37F1009F" w:rsidR="00E3761E" w:rsidRPr="00920145" w:rsidRDefault="00871204" w:rsidP="00A23201">
      <w:pPr>
        <w:pStyle w:val="Akapitzlist"/>
        <w:numPr>
          <w:ilvl w:val="0"/>
          <w:numId w:val="1"/>
        </w:numPr>
        <w:tabs>
          <w:tab w:val="clear" w:pos="567"/>
          <w:tab w:val="num" w:pos="284"/>
        </w:tabs>
        <w:spacing w:after="120" w:line="360" w:lineRule="auto"/>
        <w:contextualSpacing w:val="0"/>
        <w:jc w:val="both"/>
        <w:rPr>
          <w:rFonts w:ascii="Verdana" w:hAnsi="Verdana"/>
          <w:sz w:val="20"/>
          <w:szCs w:val="20"/>
        </w:rPr>
      </w:pPr>
      <w:r w:rsidRPr="00920145">
        <w:rPr>
          <w:rFonts w:ascii="Verdana" w:hAnsi="Verdana"/>
          <w:sz w:val="20"/>
          <w:szCs w:val="20"/>
        </w:rPr>
        <w:t>W</w:t>
      </w:r>
      <w:r w:rsidR="00E3761E" w:rsidRPr="00920145">
        <w:rPr>
          <w:rFonts w:ascii="Verdana" w:hAnsi="Verdana"/>
          <w:sz w:val="20"/>
          <w:szCs w:val="20"/>
        </w:rPr>
        <w:t xml:space="preserve"> Dziale IV:</w:t>
      </w:r>
    </w:p>
    <w:p w14:paraId="0A663F40" w14:textId="23EA2F45" w:rsidR="00E3761E" w:rsidRPr="00920145" w:rsidRDefault="00E3761E" w:rsidP="00F8716B">
      <w:pPr>
        <w:pStyle w:val="Akapitzlist"/>
        <w:numPr>
          <w:ilvl w:val="0"/>
          <w:numId w:val="4"/>
        </w:numPr>
        <w:spacing w:after="240" w:line="360" w:lineRule="auto"/>
        <w:ind w:left="709" w:hanging="425"/>
        <w:contextualSpacing w:val="0"/>
        <w:jc w:val="both"/>
        <w:rPr>
          <w:rFonts w:ascii="Verdana" w:hAnsi="Verdana"/>
          <w:sz w:val="20"/>
          <w:szCs w:val="20"/>
        </w:rPr>
      </w:pPr>
      <w:r w:rsidRPr="00920145">
        <w:rPr>
          <w:rFonts w:ascii="Verdana" w:hAnsi="Verdana"/>
          <w:sz w:val="20"/>
          <w:szCs w:val="20"/>
        </w:rPr>
        <w:t>w § 4 w ust. 2 wyrazy „na 3 dni sesyjne” zastępuje się wyrazami „na 2 dni sesyjne”;</w:t>
      </w:r>
    </w:p>
    <w:p w14:paraId="3E4EEE84" w14:textId="77777777" w:rsidR="00FE171B" w:rsidRPr="00920145" w:rsidRDefault="00E3761E" w:rsidP="00F8716B">
      <w:pPr>
        <w:pStyle w:val="Akapitzlist"/>
        <w:numPr>
          <w:ilvl w:val="0"/>
          <w:numId w:val="4"/>
        </w:numPr>
        <w:spacing w:after="120" w:line="360" w:lineRule="auto"/>
        <w:ind w:left="709" w:hanging="425"/>
        <w:contextualSpacing w:val="0"/>
        <w:jc w:val="both"/>
        <w:rPr>
          <w:rFonts w:ascii="Verdana" w:hAnsi="Verdana"/>
          <w:sz w:val="20"/>
          <w:szCs w:val="20"/>
        </w:rPr>
      </w:pPr>
      <w:r w:rsidRPr="00920145">
        <w:rPr>
          <w:rFonts w:ascii="Verdana" w:hAnsi="Verdana"/>
          <w:sz w:val="20"/>
          <w:szCs w:val="20"/>
        </w:rPr>
        <w:t>w § 5</w:t>
      </w:r>
      <w:r w:rsidR="00FE171B" w:rsidRPr="00920145">
        <w:rPr>
          <w:rFonts w:ascii="Verdana" w:hAnsi="Verdana"/>
          <w:sz w:val="20"/>
          <w:szCs w:val="20"/>
        </w:rPr>
        <w:t>:</w:t>
      </w:r>
    </w:p>
    <w:p w14:paraId="3ADED1B5" w14:textId="463B8DF0" w:rsidR="00E3761E" w:rsidRPr="00920145" w:rsidRDefault="00E3761E" w:rsidP="00ED2F4D">
      <w:pPr>
        <w:pStyle w:val="Akapitzlist"/>
        <w:numPr>
          <w:ilvl w:val="0"/>
          <w:numId w:val="90"/>
        </w:numPr>
        <w:tabs>
          <w:tab w:val="clear" w:pos="1134"/>
          <w:tab w:val="num" w:pos="709"/>
        </w:tabs>
        <w:spacing w:after="120" w:line="360" w:lineRule="auto"/>
        <w:contextualSpacing w:val="0"/>
        <w:jc w:val="both"/>
        <w:rPr>
          <w:rFonts w:ascii="Verdana" w:hAnsi="Verdana"/>
          <w:sz w:val="20"/>
          <w:szCs w:val="20"/>
        </w:rPr>
      </w:pPr>
      <w:r w:rsidRPr="00920145">
        <w:rPr>
          <w:rFonts w:ascii="Verdana" w:hAnsi="Verdana"/>
          <w:sz w:val="20"/>
          <w:szCs w:val="20"/>
        </w:rPr>
        <w:t>ust. 1 otrzymuj</w:t>
      </w:r>
      <w:r w:rsidR="00FE171B" w:rsidRPr="00920145">
        <w:rPr>
          <w:rFonts w:ascii="Verdana" w:hAnsi="Verdana"/>
          <w:sz w:val="20"/>
          <w:szCs w:val="20"/>
        </w:rPr>
        <w:t>e</w:t>
      </w:r>
      <w:r w:rsidRPr="00920145">
        <w:rPr>
          <w:rFonts w:ascii="Verdana" w:hAnsi="Verdana"/>
          <w:sz w:val="20"/>
          <w:szCs w:val="20"/>
        </w:rPr>
        <w:t xml:space="preserve"> brzmienie:</w:t>
      </w:r>
    </w:p>
    <w:p w14:paraId="03C1F809" w14:textId="2F432AD7" w:rsidR="00E3761E" w:rsidRPr="00920145" w:rsidRDefault="00E3761E" w:rsidP="00A23201">
      <w:pPr>
        <w:pStyle w:val="Akapitzlist"/>
        <w:spacing w:after="120" w:line="360" w:lineRule="auto"/>
        <w:ind w:left="709"/>
        <w:contextualSpacing w:val="0"/>
        <w:jc w:val="both"/>
        <w:rPr>
          <w:rFonts w:ascii="Verdana" w:hAnsi="Verdana"/>
          <w:sz w:val="20"/>
          <w:szCs w:val="20"/>
        </w:rPr>
      </w:pPr>
      <w:r w:rsidRPr="00920145">
        <w:rPr>
          <w:rFonts w:ascii="Verdana" w:hAnsi="Verdana"/>
          <w:sz w:val="20"/>
          <w:szCs w:val="20"/>
        </w:rPr>
        <w:t xml:space="preserve">„1. </w:t>
      </w:r>
      <w:r w:rsidRPr="00920145">
        <w:rPr>
          <w:rFonts w:ascii="Verdana" w:hAnsi="Verdana" w:cs="Arial"/>
          <w:bCs/>
          <w:sz w:val="20"/>
          <w:szCs w:val="20"/>
        </w:rPr>
        <w:t>Notowania giełdowe na sesjach giełdowych odbywają się od poniedziałku do piątku, według następujących harmonogramów:</w:t>
      </w:r>
    </w:p>
    <w:p w14:paraId="43551430" w14:textId="268AC290" w:rsidR="00E3761E" w:rsidRPr="00920145" w:rsidRDefault="00E3761E" w:rsidP="00F8716B">
      <w:pPr>
        <w:pStyle w:val="Tekstpodstawowywcity"/>
        <w:numPr>
          <w:ilvl w:val="0"/>
          <w:numId w:val="6"/>
        </w:numPr>
        <w:tabs>
          <w:tab w:val="left" w:pos="1134"/>
        </w:tabs>
        <w:spacing w:line="360" w:lineRule="auto"/>
        <w:ind w:left="709" w:firstLine="0"/>
        <w:jc w:val="both"/>
        <w:rPr>
          <w:rFonts w:ascii="Verdana" w:hAnsi="Verdana" w:cs="Arial"/>
          <w:bCs/>
          <w:snapToGrid w:val="0"/>
          <w:sz w:val="20"/>
          <w:szCs w:val="20"/>
        </w:rPr>
      </w:pPr>
      <w:r w:rsidRPr="00920145">
        <w:rPr>
          <w:rFonts w:ascii="Verdana" w:hAnsi="Verdana" w:cs="Arial"/>
          <w:bCs/>
          <w:sz w:val="20"/>
          <w:szCs w:val="20"/>
        </w:rPr>
        <w:t>notowania w systemie notowań ciągłych (z wyłączeniem instrumentów pochodnych, dłużnych instrumentów finansowych oraz ETF-ów):</w:t>
      </w:r>
      <w:r w:rsidRPr="00920145">
        <w:rPr>
          <w:rFonts w:ascii="Verdana" w:hAnsi="Verdana" w:cs="Arial"/>
          <w:bCs/>
          <w:snapToGrid w:val="0"/>
          <w:sz w:val="20"/>
          <w:szCs w:val="20"/>
        </w:rPr>
        <w:t xml:space="preserve"> </w:t>
      </w:r>
    </w:p>
    <w:tbl>
      <w:tblPr>
        <w:tblW w:w="793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3"/>
        <w:gridCol w:w="5595"/>
      </w:tblGrid>
      <w:tr w:rsidR="00E3761E" w:rsidRPr="00920145" w14:paraId="0EABE202" w14:textId="77777777" w:rsidTr="00E3761E">
        <w:trPr>
          <w:cantSplit/>
        </w:trPr>
        <w:tc>
          <w:tcPr>
            <w:tcW w:w="2343" w:type="dxa"/>
          </w:tcPr>
          <w:p w14:paraId="01263B17" w14:textId="77777777" w:rsidR="00E3761E" w:rsidRPr="00920145" w:rsidRDefault="00E3761E" w:rsidP="00A23201">
            <w:pPr>
              <w:pStyle w:val="Tekstpodstawowywcity"/>
              <w:spacing w:line="360" w:lineRule="auto"/>
              <w:ind w:left="0"/>
              <w:rPr>
                <w:rFonts w:ascii="Verdana" w:hAnsi="Verdana" w:cs="Arial"/>
                <w:bCs/>
                <w:sz w:val="20"/>
                <w:szCs w:val="20"/>
              </w:rPr>
            </w:pPr>
            <w:r w:rsidRPr="00920145">
              <w:rPr>
                <w:rFonts w:ascii="Verdana" w:hAnsi="Verdana" w:cs="Arial"/>
                <w:bCs/>
                <w:sz w:val="20"/>
                <w:szCs w:val="20"/>
              </w:rPr>
              <w:t>godz. 8.30 - 9.00</w:t>
            </w:r>
          </w:p>
        </w:tc>
        <w:tc>
          <w:tcPr>
            <w:tcW w:w="5595" w:type="dxa"/>
          </w:tcPr>
          <w:p w14:paraId="32B59282" w14:textId="77777777" w:rsidR="00E3761E" w:rsidRPr="00920145" w:rsidRDefault="00E3761E" w:rsidP="000A208B">
            <w:pPr>
              <w:pStyle w:val="Tekstpodstawowywcity"/>
              <w:spacing w:after="0" w:line="360" w:lineRule="auto"/>
              <w:rPr>
                <w:rFonts w:ascii="Verdana" w:hAnsi="Verdana" w:cs="Arial"/>
                <w:bCs/>
                <w:sz w:val="20"/>
                <w:szCs w:val="20"/>
              </w:rPr>
            </w:pPr>
            <w:r w:rsidRPr="00920145">
              <w:rPr>
                <w:rFonts w:ascii="Verdana" w:hAnsi="Verdana" w:cs="Arial"/>
                <w:bCs/>
                <w:sz w:val="20"/>
                <w:szCs w:val="20"/>
              </w:rPr>
              <w:t xml:space="preserve">Faza aukcji otwarcia  (w tym określanie kursu </w:t>
            </w:r>
          </w:p>
          <w:p w14:paraId="7AC2650F" w14:textId="77777777" w:rsidR="00E3761E" w:rsidRPr="00920145" w:rsidRDefault="00E3761E" w:rsidP="000A208B">
            <w:pPr>
              <w:pStyle w:val="Tekstpodstawowywcity"/>
              <w:spacing w:after="0" w:line="360" w:lineRule="auto"/>
              <w:rPr>
                <w:rFonts w:ascii="Verdana" w:hAnsi="Verdana" w:cs="Arial"/>
                <w:bCs/>
                <w:sz w:val="20"/>
                <w:szCs w:val="20"/>
              </w:rPr>
            </w:pPr>
            <w:r w:rsidRPr="00920145">
              <w:rPr>
                <w:rFonts w:ascii="Verdana" w:hAnsi="Verdana" w:cs="Arial"/>
                <w:bCs/>
                <w:sz w:val="20"/>
                <w:szCs w:val="20"/>
              </w:rPr>
              <w:t>otwarcia)</w:t>
            </w:r>
          </w:p>
        </w:tc>
      </w:tr>
      <w:tr w:rsidR="00E3761E" w:rsidRPr="00920145" w14:paraId="138C5C2B" w14:textId="77777777" w:rsidTr="00E3761E">
        <w:trPr>
          <w:cantSplit/>
        </w:trPr>
        <w:tc>
          <w:tcPr>
            <w:tcW w:w="2343" w:type="dxa"/>
          </w:tcPr>
          <w:p w14:paraId="730A11A8" w14:textId="77777777" w:rsidR="00E3761E" w:rsidRPr="00920145" w:rsidRDefault="00E3761E" w:rsidP="00A23201">
            <w:pPr>
              <w:pStyle w:val="Tekstpodstawowywcity"/>
              <w:spacing w:line="360" w:lineRule="auto"/>
              <w:ind w:left="0"/>
              <w:rPr>
                <w:rFonts w:ascii="Verdana" w:hAnsi="Verdana" w:cs="Arial"/>
                <w:bCs/>
                <w:sz w:val="20"/>
                <w:szCs w:val="20"/>
              </w:rPr>
            </w:pPr>
            <w:r w:rsidRPr="00920145">
              <w:rPr>
                <w:rFonts w:ascii="Verdana" w:hAnsi="Verdana" w:cs="Arial"/>
                <w:bCs/>
                <w:sz w:val="20"/>
                <w:szCs w:val="20"/>
              </w:rPr>
              <w:t>godz. 9.00 – 16.50</w:t>
            </w:r>
          </w:p>
        </w:tc>
        <w:tc>
          <w:tcPr>
            <w:tcW w:w="5595" w:type="dxa"/>
          </w:tcPr>
          <w:p w14:paraId="64545D4E" w14:textId="77777777" w:rsidR="00E3761E" w:rsidRPr="00920145" w:rsidRDefault="00E3761E" w:rsidP="000A208B">
            <w:pPr>
              <w:pStyle w:val="Tekstpodstawowywcity"/>
              <w:spacing w:after="0" w:line="360" w:lineRule="auto"/>
              <w:rPr>
                <w:rFonts w:ascii="Verdana" w:hAnsi="Verdana" w:cs="Arial"/>
                <w:bCs/>
                <w:sz w:val="20"/>
                <w:szCs w:val="20"/>
              </w:rPr>
            </w:pPr>
            <w:r w:rsidRPr="00920145">
              <w:rPr>
                <w:rFonts w:ascii="Verdana" w:hAnsi="Verdana" w:cs="Arial"/>
                <w:bCs/>
                <w:sz w:val="20"/>
                <w:szCs w:val="20"/>
              </w:rPr>
              <w:t>Faza notowań ciągłych</w:t>
            </w:r>
          </w:p>
        </w:tc>
      </w:tr>
      <w:tr w:rsidR="00E3761E" w:rsidRPr="00920145" w14:paraId="3CF6F1DF" w14:textId="77777777" w:rsidTr="00E3761E">
        <w:trPr>
          <w:cantSplit/>
        </w:trPr>
        <w:tc>
          <w:tcPr>
            <w:tcW w:w="2343" w:type="dxa"/>
          </w:tcPr>
          <w:p w14:paraId="5AE045B7" w14:textId="77777777" w:rsidR="00E3761E" w:rsidRPr="00920145" w:rsidRDefault="00E3761E" w:rsidP="00A23201">
            <w:pPr>
              <w:pStyle w:val="Tekstpodstawowywcity"/>
              <w:spacing w:line="360" w:lineRule="auto"/>
              <w:ind w:left="0"/>
              <w:rPr>
                <w:rFonts w:ascii="Verdana" w:hAnsi="Verdana" w:cs="Arial"/>
                <w:bCs/>
                <w:sz w:val="20"/>
                <w:szCs w:val="20"/>
              </w:rPr>
            </w:pPr>
            <w:r w:rsidRPr="00920145">
              <w:rPr>
                <w:rFonts w:ascii="Verdana" w:hAnsi="Verdana" w:cs="Arial"/>
                <w:bCs/>
                <w:sz w:val="20"/>
                <w:szCs w:val="20"/>
              </w:rPr>
              <w:t>godz. 16.50 - 17.00</w:t>
            </w:r>
          </w:p>
        </w:tc>
        <w:tc>
          <w:tcPr>
            <w:tcW w:w="5595" w:type="dxa"/>
          </w:tcPr>
          <w:p w14:paraId="68DF5E6F" w14:textId="77777777" w:rsidR="00E3761E" w:rsidRPr="00920145" w:rsidRDefault="00E3761E" w:rsidP="000A208B">
            <w:pPr>
              <w:pStyle w:val="Tekstpodstawowywcity"/>
              <w:spacing w:after="0" w:line="360" w:lineRule="auto"/>
              <w:rPr>
                <w:rFonts w:ascii="Verdana" w:hAnsi="Verdana" w:cs="Arial"/>
                <w:bCs/>
                <w:sz w:val="20"/>
                <w:szCs w:val="20"/>
              </w:rPr>
            </w:pPr>
            <w:r w:rsidRPr="00920145">
              <w:rPr>
                <w:rFonts w:ascii="Verdana" w:hAnsi="Verdana" w:cs="Arial"/>
                <w:bCs/>
                <w:sz w:val="20"/>
                <w:szCs w:val="20"/>
              </w:rPr>
              <w:t xml:space="preserve">Faza aukcji zamknięcia  (w tym określanie kursu </w:t>
            </w:r>
          </w:p>
          <w:p w14:paraId="5C36CA2C" w14:textId="77777777" w:rsidR="00E3761E" w:rsidRPr="00920145" w:rsidRDefault="00E3761E" w:rsidP="000A208B">
            <w:pPr>
              <w:pStyle w:val="Tekstpodstawowywcity"/>
              <w:spacing w:after="0" w:line="360" w:lineRule="auto"/>
              <w:rPr>
                <w:rFonts w:ascii="Verdana" w:hAnsi="Verdana" w:cs="Arial"/>
                <w:bCs/>
                <w:sz w:val="20"/>
                <w:szCs w:val="20"/>
              </w:rPr>
            </w:pPr>
            <w:r w:rsidRPr="00920145">
              <w:rPr>
                <w:rFonts w:ascii="Verdana" w:hAnsi="Verdana" w:cs="Arial"/>
                <w:bCs/>
                <w:sz w:val="20"/>
                <w:szCs w:val="20"/>
              </w:rPr>
              <w:t>zamknięcia)</w:t>
            </w:r>
          </w:p>
        </w:tc>
      </w:tr>
      <w:tr w:rsidR="00E3761E" w:rsidRPr="00920145" w14:paraId="01EED809" w14:textId="77777777" w:rsidTr="00E3761E">
        <w:trPr>
          <w:cantSplit/>
        </w:trPr>
        <w:tc>
          <w:tcPr>
            <w:tcW w:w="2343" w:type="dxa"/>
          </w:tcPr>
          <w:p w14:paraId="68A9C376" w14:textId="77777777" w:rsidR="00E3761E" w:rsidRPr="00920145" w:rsidRDefault="00E3761E" w:rsidP="00A23201">
            <w:pPr>
              <w:pStyle w:val="Tekstpodstawowywcity"/>
              <w:spacing w:line="360" w:lineRule="auto"/>
              <w:ind w:left="0"/>
              <w:rPr>
                <w:rFonts w:ascii="Verdana" w:hAnsi="Verdana" w:cs="Arial"/>
                <w:bCs/>
                <w:sz w:val="20"/>
                <w:szCs w:val="20"/>
              </w:rPr>
            </w:pPr>
            <w:r w:rsidRPr="00920145">
              <w:rPr>
                <w:rFonts w:ascii="Verdana" w:hAnsi="Verdana" w:cs="Arial"/>
                <w:bCs/>
                <w:sz w:val="20"/>
                <w:szCs w:val="20"/>
              </w:rPr>
              <w:t>godz. 17.00 – 17.05</w:t>
            </w:r>
          </w:p>
        </w:tc>
        <w:tc>
          <w:tcPr>
            <w:tcW w:w="5595" w:type="dxa"/>
          </w:tcPr>
          <w:p w14:paraId="53BC82B2" w14:textId="77777777" w:rsidR="00E3761E" w:rsidRPr="00920145" w:rsidRDefault="00E3761E" w:rsidP="000A208B">
            <w:pPr>
              <w:pStyle w:val="Tekstpodstawowywcity"/>
              <w:spacing w:after="0" w:line="360" w:lineRule="auto"/>
              <w:rPr>
                <w:rFonts w:ascii="Verdana" w:hAnsi="Verdana" w:cs="Arial"/>
                <w:bCs/>
                <w:sz w:val="20"/>
                <w:szCs w:val="20"/>
              </w:rPr>
            </w:pPr>
            <w:r w:rsidRPr="00920145">
              <w:rPr>
                <w:rFonts w:ascii="Verdana" w:hAnsi="Verdana" w:cs="Arial"/>
                <w:bCs/>
                <w:sz w:val="20"/>
                <w:szCs w:val="20"/>
              </w:rPr>
              <w:t xml:space="preserve">Faza dogrywki </w:t>
            </w:r>
          </w:p>
        </w:tc>
      </w:tr>
    </w:tbl>
    <w:p w14:paraId="0605D0D5" w14:textId="77777777" w:rsidR="00E3761E" w:rsidRPr="00920145" w:rsidRDefault="00E3761E" w:rsidP="00A23201">
      <w:pPr>
        <w:pStyle w:val="Tekstpodstawowywcity"/>
        <w:spacing w:line="360" w:lineRule="auto"/>
        <w:rPr>
          <w:rFonts w:ascii="Verdana" w:hAnsi="Verdana" w:cs="Arial"/>
          <w:bCs/>
          <w:sz w:val="20"/>
          <w:szCs w:val="20"/>
        </w:rPr>
      </w:pPr>
    </w:p>
    <w:p w14:paraId="28293CCB" w14:textId="77777777" w:rsidR="00E3761E" w:rsidRPr="00920145" w:rsidRDefault="00E3761E" w:rsidP="00A23201">
      <w:pPr>
        <w:pStyle w:val="Tekstpodstawowywcity"/>
        <w:spacing w:line="360" w:lineRule="auto"/>
        <w:ind w:left="709"/>
        <w:rPr>
          <w:rFonts w:ascii="Verdana" w:hAnsi="Verdana" w:cs="Arial"/>
          <w:bCs/>
          <w:sz w:val="20"/>
          <w:szCs w:val="20"/>
        </w:rPr>
      </w:pPr>
      <w:r w:rsidRPr="00920145">
        <w:rPr>
          <w:rFonts w:ascii="Verdana" w:hAnsi="Verdana" w:cs="Arial"/>
          <w:bCs/>
          <w:sz w:val="20"/>
          <w:szCs w:val="20"/>
        </w:rPr>
        <w:t xml:space="preserve">2) notowania w systemie notowań ciągłych dla instrumentów pochodnych, </w:t>
      </w:r>
      <w:r w:rsidRPr="00920145">
        <w:rPr>
          <w:rFonts w:ascii="Verdana" w:hAnsi="Verdana" w:cs="Arial"/>
          <w:bCs/>
          <w:sz w:val="20"/>
          <w:szCs w:val="20"/>
        </w:rPr>
        <w:br/>
        <w:t xml:space="preserve">z zastrzeżeniem pkt 3): </w:t>
      </w:r>
    </w:p>
    <w:tbl>
      <w:tblPr>
        <w:tblW w:w="793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3"/>
        <w:gridCol w:w="5595"/>
      </w:tblGrid>
      <w:tr w:rsidR="00E3761E" w:rsidRPr="00920145" w14:paraId="56C5285C" w14:textId="77777777" w:rsidTr="007719B3">
        <w:trPr>
          <w:cantSplit/>
        </w:trPr>
        <w:tc>
          <w:tcPr>
            <w:tcW w:w="2343" w:type="dxa"/>
          </w:tcPr>
          <w:p w14:paraId="1D8A2720" w14:textId="77777777" w:rsidR="00E3761E" w:rsidRPr="00920145" w:rsidRDefault="00E3761E" w:rsidP="00A23201">
            <w:pPr>
              <w:pStyle w:val="Tekstpodstawowywcity"/>
              <w:spacing w:line="360" w:lineRule="auto"/>
              <w:ind w:left="0"/>
              <w:rPr>
                <w:rFonts w:ascii="Verdana" w:hAnsi="Verdana" w:cs="Arial"/>
                <w:bCs/>
                <w:sz w:val="20"/>
                <w:szCs w:val="20"/>
              </w:rPr>
            </w:pPr>
            <w:r w:rsidRPr="00920145">
              <w:rPr>
                <w:rFonts w:ascii="Verdana" w:hAnsi="Verdana" w:cs="Arial"/>
                <w:bCs/>
                <w:sz w:val="20"/>
                <w:szCs w:val="20"/>
              </w:rPr>
              <w:t>godz. 8.30 - 8.45</w:t>
            </w:r>
          </w:p>
        </w:tc>
        <w:tc>
          <w:tcPr>
            <w:tcW w:w="5595" w:type="dxa"/>
          </w:tcPr>
          <w:p w14:paraId="580BC659" w14:textId="37C4DA99" w:rsidR="00E3761E" w:rsidRPr="00920145" w:rsidRDefault="00E3761E" w:rsidP="000A208B">
            <w:pPr>
              <w:pStyle w:val="Tekstpodstawowywcity"/>
              <w:spacing w:after="0" w:line="360" w:lineRule="auto"/>
              <w:ind w:left="374"/>
              <w:rPr>
                <w:rFonts w:ascii="Verdana" w:hAnsi="Verdana" w:cs="Arial"/>
                <w:bCs/>
                <w:sz w:val="20"/>
                <w:szCs w:val="20"/>
              </w:rPr>
            </w:pPr>
            <w:r w:rsidRPr="00920145">
              <w:rPr>
                <w:rFonts w:ascii="Verdana" w:hAnsi="Verdana" w:cs="Arial"/>
                <w:bCs/>
                <w:sz w:val="20"/>
                <w:szCs w:val="20"/>
              </w:rPr>
              <w:t>Faza aukcji otwarcia (w tym określanie kursu otwarcia)</w:t>
            </w:r>
          </w:p>
        </w:tc>
      </w:tr>
      <w:tr w:rsidR="00E3761E" w:rsidRPr="00920145" w14:paraId="3667CE09" w14:textId="77777777" w:rsidTr="007719B3">
        <w:trPr>
          <w:cantSplit/>
        </w:trPr>
        <w:tc>
          <w:tcPr>
            <w:tcW w:w="2343" w:type="dxa"/>
          </w:tcPr>
          <w:p w14:paraId="64AA3E11" w14:textId="77777777" w:rsidR="00E3761E" w:rsidRPr="00920145" w:rsidRDefault="00E3761E" w:rsidP="00A23201">
            <w:pPr>
              <w:pStyle w:val="Tekstpodstawowywcity"/>
              <w:spacing w:line="360" w:lineRule="auto"/>
              <w:ind w:left="0"/>
              <w:rPr>
                <w:rFonts w:ascii="Verdana" w:hAnsi="Verdana" w:cs="Arial"/>
                <w:bCs/>
                <w:sz w:val="20"/>
                <w:szCs w:val="20"/>
              </w:rPr>
            </w:pPr>
            <w:r w:rsidRPr="00920145">
              <w:rPr>
                <w:rFonts w:ascii="Verdana" w:hAnsi="Verdana" w:cs="Arial"/>
                <w:bCs/>
                <w:sz w:val="20"/>
                <w:szCs w:val="20"/>
              </w:rPr>
              <w:t xml:space="preserve">godz. 8.45 – 16.50   </w:t>
            </w:r>
          </w:p>
        </w:tc>
        <w:tc>
          <w:tcPr>
            <w:tcW w:w="5595" w:type="dxa"/>
          </w:tcPr>
          <w:p w14:paraId="721BFA8C" w14:textId="77777777" w:rsidR="00E3761E" w:rsidRPr="00920145" w:rsidRDefault="00E3761E" w:rsidP="000A208B">
            <w:pPr>
              <w:pStyle w:val="Tekstpodstawowywcity"/>
              <w:spacing w:after="0" w:line="360" w:lineRule="auto"/>
              <w:ind w:left="374"/>
              <w:rPr>
                <w:rFonts w:ascii="Verdana" w:hAnsi="Verdana" w:cs="Arial"/>
                <w:bCs/>
                <w:sz w:val="20"/>
                <w:szCs w:val="20"/>
              </w:rPr>
            </w:pPr>
            <w:r w:rsidRPr="00920145">
              <w:rPr>
                <w:rFonts w:ascii="Verdana" w:hAnsi="Verdana" w:cs="Arial"/>
                <w:bCs/>
                <w:sz w:val="20"/>
                <w:szCs w:val="20"/>
              </w:rPr>
              <w:t>Faza notowań ciągłych</w:t>
            </w:r>
          </w:p>
        </w:tc>
      </w:tr>
      <w:tr w:rsidR="00E3761E" w:rsidRPr="00920145" w14:paraId="5BF0D0D1" w14:textId="77777777" w:rsidTr="007719B3">
        <w:trPr>
          <w:cantSplit/>
        </w:trPr>
        <w:tc>
          <w:tcPr>
            <w:tcW w:w="2343" w:type="dxa"/>
          </w:tcPr>
          <w:p w14:paraId="4EBF188F" w14:textId="77777777" w:rsidR="00E3761E" w:rsidRPr="00920145" w:rsidRDefault="00E3761E" w:rsidP="00A23201">
            <w:pPr>
              <w:pStyle w:val="Tekstpodstawowywcity"/>
              <w:spacing w:line="360" w:lineRule="auto"/>
              <w:ind w:left="0"/>
              <w:rPr>
                <w:rFonts w:ascii="Verdana" w:hAnsi="Verdana" w:cs="Arial"/>
                <w:bCs/>
                <w:sz w:val="20"/>
                <w:szCs w:val="20"/>
              </w:rPr>
            </w:pPr>
            <w:r w:rsidRPr="00920145">
              <w:rPr>
                <w:rFonts w:ascii="Verdana" w:hAnsi="Verdana" w:cs="Arial"/>
                <w:bCs/>
                <w:sz w:val="20"/>
                <w:szCs w:val="20"/>
              </w:rPr>
              <w:lastRenderedPageBreak/>
              <w:t>godz. 16.50 - 17.00</w:t>
            </w:r>
          </w:p>
        </w:tc>
        <w:tc>
          <w:tcPr>
            <w:tcW w:w="5595" w:type="dxa"/>
          </w:tcPr>
          <w:p w14:paraId="141DF29B" w14:textId="0C947E7B" w:rsidR="00E3761E" w:rsidRPr="00920145" w:rsidRDefault="00E3761E" w:rsidP="000A208B">
            <w:pPr>
              <w:pStyle w:val="Tekstpodstawowywcity"/>
              <w:spacing w:after="0" w:line="360" w:lineRule="auto"/>
              <w:ind w:left="374"/>
              <w:rPr>
                <w:rFonts w:ascii="Verdana" w:hAnsi="Verdana" w:cs="Arial"/>
                <w:bCs/>
                <w:sz w:val="20"/>
                <w:szCs w:val="20"/>
              </w:rPr>
            </w:pPr>
            <w:r w:rsidRPr="00920145">
              <w:rPr>
                <w:rFonts w:ascii="Verdana" w:hAnsi="Verdana" w:cs="Arial"/>
                <w:bCs/>
                <w:sz w:val="20"/>
                <w:szCs w:val="20"/>
              </w:rPr>
              <w:t>Faza aukcji zamknięcia (w tym określanie kursu zamknięcia)</w:t>
            </w:r>
          </w:p>
        </w:tc>
      </w:tr>
      <w:tr w:rsidR="00E3761E" w:rsidRPr="00920145" w14:paraId="5E6857AB" w14:textId="77777777" w:rsidTr="007719B3">
        <w:trPr>
          <w:cantSplit/>
        </w:trPr>
        <w:tc>
          <w:tcPr>
            <w:tcW w:w="2343" w:type="dxa"/>
          </w:tcPr>
          <w:p w14:paraId="4087B7B8" w14:textId="77777777" w:rsidR="00E3761E" w:rsidRPr="00920145" w:rsidRDefault="00E3761E" w:rsidP="00A23201">
            <w:pPr>
              <w:pStyle w:val="Tekstpodstawowywcity"/>
              <w:spacing w:line="360" w:lineRule="auto"/>
              <w:ind w:left="0"/>
              <w:rPr>
                <w:rFonts w:ascii="Verdana" w:hAnsi="Verdana" w:cs="Arial"/>
                <w:bCs/>
                <w:sz w:val="20"/>
                <w:szCs w:val="20"/>
              </w:rPr>
            </w:pPr>
            <w:r w:rsidRPr="00920145">
              <w:rPr>
                <w:rFonts w:ascii="Verdana" w:hAnsi="Verdana" w:cs="Arial"/>
                <w:bCs/>
                <w:sz w:val="20"/>
                <w:szCs w:val="20"/>
              </w:rPr>
              <w:t>godz. 17.00 -17.05</w:t>
            </w:r>
          </w:p>
        </w:tc>
        <w:tc>
          <w:tcPr>
            <w:tcW w:w="5595" w:type="dxa"/>
          </w:tcPr>
          <w:p w14:paraId="319FE6DC" w14:textId="77777777" w:rsidR="00E3761E" w:rsidRPr="00920145" w:rsidRDefault="00E3761E" w:rsidP="000A208B">
            <w:pPr>
              <w:pStyle w:val="Tekstpodstawowywcity"/>
              <w:spacing w:after="0" w:line="360" w:lineRule="auto"/>
              <w:ind w:left="374"/>
              <w:rPr>
                <w:rFonts w:ascii="Verdana" w:hAnsi="Verdana" w:cs="Arial"/>
                <w:bCs/>
                <w:sz w:val="20"/>
                <w:szCs w:val="20"/>
              </w:rPr>
            </w:pPr>
            <w:r w:rsidRPr="00920145">
              <w:rPr>
                <w:rFonts w:ascii="Verdana" w:hAnsi="Verdana" w:cs="Arial"/>
                <w:bCs/>
                <w:sz w:val="20"/>
                <w:szCs w:val="20"/>
              </w:rPr>
              <w:t>Faza dogrywki</w:t>
            </w:r>
          </w:p>
        </w:tc>
      </w:tr>
    </w:tbl>
    <w:p w14:paraId="63F81B7A" w14:textId="77777777" w:rsidR="00E3761E" w:rsidRPr="00920145" w:rsidRDefault="00E3761E" w:rsidP="00A23201">
      <w:pPr>
        <w:pStyle w:val="Tekstpodstawowywcity"/>
        <w:spacing w:line="360" w:lineRule="auto"/>
        <w:ind w:left="567" w:hanging="425"/>
        <w:rPr>
          <w:rFonts w:ascii="Verdana" w:hAnsi="Verdana" w:cs="Arial"/>
          <w:bCs/>
          <w:sz w:val="20"/>
          <w:szCs w:val="20"/>
        </w:rPr>
      </w:pPr>
    </w:p>
    <w:p w14:paraId="404307CA" w14:textId="77777777" w:rsidR="00E3761E" w:rsidRPr="00920145" w:rsidRDefault="00E3761E" w:rsidP="00A23201">
      <w:pPr>
        <w:pStyle w:val="Tekstpodstawowywcity"/>
        <w:spacing w:line="360" w:lineRule="auto"/>
        <w:ind w:left="709"/>
        <w:jc w:val="both"/>
        <w:rPr>
          <w:rFonts w:ascii="Verdana" w:hAnsi="Verdana" w:cs="Arial"/>
          <w:bCs/>
          <w:sz w:val="20"/>
          <w:szCs w:val="20"/>
          <w:vertAlign w:val="superscript"/>
        </w:rPr>
      </w:pPr>
      <w:r w:rsidRPr="00920145">
        <w:rPr>
          <w:rFonts w:ascii="Verdana" w:hAnsi="Verdana" w:cs="Arial"/>
          <w:bCs/>
          <w:sz w:val="20"/>
          <w:szCs w:val="20"/>
        </w:rPr>
        <w:t xml:space="preserve">3) notowania w systemie notowań ciągłych dla instrumentów pochodnych na </w:t>
      </w:r>
      <w:r w:rsidRPr="00920145">
        <w:rPr>
          <w:rFonts w:ascii="Verdana" w:hAnsi="Verdana" w:cs="Arial"/>
          <w:bCs/>
          <w:sz w:val="20"/>
          <w:szCs w:val="20"/>
        </w:rPr>
        <w:br/>
        <w:t xml:space="preserve">(i) stawki referencyjne WIBOR oraz (ii) krótkoterminowe, średnioterminowe </w:t>
      </w:r>
      <w:r w:rsidRPr="00920145">
        <w:rPr>
          <w:rFonts w:ascii="Verdana" w:hAnsi="Verdana" w:cs="Arial"/>
          <w:bCs/>
          <w:sz w:val="20"/>
          <w:szCs w:val="20"/>
        </w:rPr>
        <w:br/>
        <w:t xml:space="preserve">i długoterminowe obligacje skarbowe: </w:t>
      </w:r>
    </w:p>
    <w:tbl>
      <w:tblPr>
        <w:tblW w:w="793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3"/>
        <w:gridCol w:w="5595"/>
      </w:tblGrid>
      <w:tr w:rsidR="00E3761E" w:rsidRPr="00920145" w14:paraId="7F1873C3" w14:textId="77777777" w:rsidTr="007719B3">
        <w:trPr>
          <w:cantSplit/>
        </w:trPr>
        <w:tc>
          <w:tcPr>
            <w:tcW w:w="2343" w:type="dxa"/>
          </w:tcPr>
          <w:p w14:paraId="6960C19B" w14:textId="77777777" w:rsidR="00E3761E" w:rsidRPr="00920145" w:rsidRDefault="00E3761E" w:rsidP="00A23201">
            <w:pPr>
              <w:pStyle w:val="Tekstpodstawowywcity"/>
              <w:spacing w:line="360" w:lineRule="auto"/>
              <w:ind w:left="0"/>
              <w:rPr>
                <w:rFonts w:ascii="Verdana" w:hAnsi="Verdana" w:cs="Arial"/>
                <w:bCs/>
                <w:sz w:val="20"/>
                <w:szCs w:val="20"/>
              </w:rPr>
            </w:pPr>
            <w:r w:rsidRPr="00920145">
              <w:rPr>
                <w:rFonts w:ascii="Verdana" w:hAnsi="Verdana" w:cs="Arial"/>
                <w:bCs/>
                <w:sz w:val="20"/>
                <w:szCs w:val="20"/>
              </w:rPr>
              <w:t>godz. 8.30 - 9.00</w:t>
            </w:r>
          </w:p>
        </w:tc>
        <w:tc>
          <w:tcPr>
            <w:tcW w:w="5595" w:type="dxa"/>
          </w:tcPr>
          <w:p w14:paraId="3FF041C8" w14:textId="08C845F0" w:rsidR="00E3761E" w:rsidRPr="00920145" w:rsidRDefault="00E3761E" w:rsidP="000A208B">
            <w:pPr>
              <w:pStyle w:val="Tekstpodstawowywcity"/>
              <w:spacing w:after="0" w:line="360" w:lineRule="auto"/>
              <w:ind w:left="374"/>
              <w:rPr>
                <w:rFonts w:ascii="Verdana" w:hAnsi="Verdana" w:cs="Arial"/>
                <w:bCs/>
                <w:sz w:val="20"/>
                <w:szCs w:val="20"/>
              </w:rPr>
            </w:pPr>
            <w:r w:rsidRPr="00920145">
              <w:rPr>
                <w:rFonts w:ascii="Verdana" w:hAnsi="Verdana" w:cs="Arial"/>
                <w:bCs/>
                <w:sz w:val="20"/>
                <w:szCs w:val="20"/>
              </w:rPr>
              <w:t>Faza aukcji otwarcia  (w tym określanie kursu otwarcia)</w:t>
            </w:r>
          </w:p>
        </w:tc>
      </w:tr>
      <w:tr w:rsidR="00E3761E" w:rsidRPr="00920145" w14:paraId="7E705C81" w14:textId="77777777" w:rsidTr="007719B3">
        <w:trPr>
          <w:cantSplit/>
        </w:trPr>
        <w:tc>
          <w:tcPr>
            <w:tcW w:w="2343" w:type="dxa"/>
          </w:tcPr>
          <w:p w14:paraId="681E056F" w14:textId="77777777" w:rsidR="00E3761E" w:rsidRPr="00920145" w:rsidRDefault="00E3761E" w:rsidP="00A23201">
            <w:pPr>
              <w:pStyle w:val="Tekstpodstawowywcity"/>
              <w:spacing w:line="360" w:lineRule="auto"/>
              <w:ind w:left="0"/>
              <w:rPr>
                <w:rFonts w:ascii="Verdana" w:hAnsi="Verdana" w:cs="Arial"/>
                <w:bCs/>
                <w:sz w:val="20"/>
                <w:szCs w:val="20"/>
              </w:rPr>
            </w:pPr>
            <w:r w:rsidRPr="00920145">
              <w:rPr>
                <w:rFonts w:ascii="Verdana" w:hAnsi="Verdana" w:cs="Arial"/>
                <w:bCs/>
                <w:sz w:val="20"/>
                <w:szCs w:val="20"/>
              </w:rPr>
              <w:t xml:space="preserve">godz. 9.00 – 17.00   </w:t>
            </w:r>
          </w:p>
        </w:tc>
        <w:tc>
          <w:tcPr>
            <w:tcW w:w="5595" w:type="dxa"/>
          </w:tcPr>
          <w:p w14:paraId="62C36E6E" w14:textId="77777777" w:rsidR="00E3761E" w:rsidRPr="00920145" w:rsidRDefault="00E3761E" w:rsidP="000A208B">
            <w:pPr>
              <w:pStyle w:val="Tekstpodstawowywcity"/>
              <w:spacing w:after="0" w:line="360" w:lineRule="auto"/>
              <w:ind w:left="374"/>
              <w:rPr>
                <w:rFonts w:ascii="Verdana" w:hAnsi="Verdana" w:cs="Arial"/>
                <w:bCs/>
                <w:sz w:val="20"/>
                <w:szCs w:val="20"/>
              </w:rPr>
            </w:pPr>
            <w:r w:rsidRPr="00920145">
              <w:rPr>
                <w:rFonts w:ascii="Verdana" w:hAnsi="Verdana" w:cs="Arial"/>
                <w:bCs/>
                <w:sz w:val="20"/>
                <w:szCs w:val="20"/>
              </w:rPr>
              <w:t>Faza notowań ciągłych</w:t>
            </w:r>
          </w:p>
        </w:tc>
      </w:tr>
    </w:tbl>
    <w:p w14:paraId="3799CC4E" w14:textId="77777777" w:rsidR="00E3761E" w:rsidRPr="00920145" w:rsidRDefault="00E3761E" w:rsidP="00A23201">
      <w:pPr>
        <w:pStyle w:val="Tekstpodstawowywcity"/>
        <w:spacing w:line="360" w:lineRule="auto"/>
        <w:ind w:firstLine="142"/>
        <w:rPr>
          <w:rFonts w:ascii="Verdana" w:hAnsi="Verdana" w:cs="Arial"/>
          <w:bCs/>
          <w:sz w:val="20"/>
          <w:szCs w:val="20"/>
        </w:rPr>
      </w:pPr>
    </w:p>
    <w:p w14:paraId="223FA787" w14:textId="07FC5D1E" w:rsidR="00E3761E" w:rsidRPr="00920145" w:rsidRDefault="00E3761E" w:rsidP="00A23201">
      <w:pPr>
        <w:pStyle w:val="Tekstpodstawowywcity"/>
        <w:spacing w:line="360" w:lineRule="auto"/>
        <w:ind w:left="709" w:hanging="142"/>
        <w:jc w:val="both"/>
        <w:rPr>
          <w:rFonts w:ascii="Verdana" w:hAnsi="Verdana" w:cs="Arial"/>
          <w:bCs/>
          <w:sz w:val="20"/>
          <w:szCs w:val="20"/>
        </w:rPr>
      </w:pPr>
      <w:r w:rsidRPr="00920145">
        <w:rPr>
          <w:rFonts w:ascii="Verdana" w:hAnsi="Verdana" w:cs="Arial"/>
          <w:bCs/>
          <w:sz w:val="20"/>
          <w:szCs w:val="20"/>
        </w:rPr>
        <w:t xml:space="preserve">  4) notowania w systemie notowań ciągłych dla dłużnych instrumentów finansowych: </w:t>
      </w:r>
    </w:p>
    <w:tbl>
      <w:tblPr>
        <w:tblW w:w="793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3"/>
        <w:gridCol w:w="5595"/>
      </w:tblGrid>
      <w:tr w:rsidR="00E3761E" w:rsidRPr="00920145" w14:paraId="1731A5A0" w14:textId="77777777" w:rsidTr="007719B3">
        <w:trPr>
          <w:cantSplit/>
        </w:trPr>
        <w:tc>
          <w:tcPr>
            <w:tcW w:w="2343" w:type="dxa"/>
          </w:tcPr>
          <w:p w14:paraId="3D9918F3" w14:textId="77777777" w:rsidR="00E3761E" w:rsidRPr="00920145" w:rsidRDefault="00E3761E" w:rsidP="00A23201">
            <w:pPr>
              <w:pStyle w:val="Tekstpodstawowywcity"/>
              <w:spacing w:line="360" w:lineRule="auto"/>
              <w:ind w:left="0"/>
              <w:rPr>
                <w:rFonts w:ascii="Verdana" w:hAnsi="Verdana" w:cs="Arial"/>
                <w:bCs/>
                <w:sz w:val="20"/>
                <w:szCs w:val="20"/>
              </w:rPr>
            </w:pPr>
            <w:r w:rsidRPr="00920145">
              <w:rPr>
                <w:rFonts w:ascii="Verdana" w:hAnsi="Verdana" w:cs="Arial"/>
                <w:bCs/>
                <w:sz w:val="20"/>
                <w:szCs w:val="20"/>
              </w:rPr>
              <w:t>godz.  8.30 - 9.00</w:t>
            </w:r>
          </w:p>
        </w:tc>
        <w:tc>
          <w:tcPr>
            <w:tcW w:w="5595" w:type="dxa"/>
          </w:tcPr>
          <w:p w14:paraId="355EF6DF" w14:textId="74E2186D" w:rsidR="00E3761E" w:rsidRPr="00920145" w:rsidRDefault="00E3761E" w:rsidP="000A208B">
            <w:pPr>
              <w:pStyle w:val="Tekstpodstawowywcity"/>
              <w:spacing w:after="0" w:line="360" w:lineRule="auto"/>
              <w:ind w:left="289"/>
              <w:rPr>
                <w:rFonts w:ascii="Verdana" w:hAnsi="Verdana" w:cs="Arial"/>
                <w:bCs/>
                <w:sz w:val="20"/>
                <w:szCs w:val="20"/>
              </w:rPr>
            </w:pPr>
            <w:r w:rsidRPr="00920145">
              <w:rPr>
                <w:rFonts w:ascii="Verdana" w:hAnsi="Verdana" w:cs="Arial"/>
                <w:bCs/>
                <w:sz w:val="20"/>
                <w:szCs w:val="20"/>
              </w:rPr>
              <w:t>Faza aukcji otwarcia (w tym określanie kursu otwarcia)</w:t>
            </w:r>
          </w:p>
        </w:tc>
      </w:tr>
      <w:tr w:rsidR="00E3761E" w:rsidRPr="00920145" w14:paraId="7D15515B" w14:textId="77777777" w:rsidTr="007719B3">
        <w:trPr>
          <w:cantSplit/>
        </w:trPr>
        <w:tc>
          <w:tcPr>
            <w:tcW w:w="2343" w:type="dxa"/>
          </w:tcPr>
          <w:p w14:paraId="66ABB214" w14:textId="77777777" w:rsidR="00E3761E" w:rsidRPr="00920145" w:rsidRDefault="00E3761E" w:rsidP="00A23201">
            <w:pPr>
              <w:pStyle w:val="Tekstpodstawowywcity"/>
              <w:spacing w:line="360" w:lineRule="auto"/>
              <w:ind w:left="0"/>
              <w:rPr>
                <w:rFonts w:ascii="Verdana" w:hAnsi="Verdana" w:cs="Arial"/>
                <w:bCs/>
                <w:sz w:val="20"/>
                <w:szCs w:val="20"/>
              </w:rPr>
            </w:pPr>
            <w:r w:rsidRPr="00920145">
              <w:rPr>
                <w:rFonts w:ascii="Verdana" w:hAnsi="Verdana" w:cs="Arial"/>
                <w:bCs/>
                <w:sz w:val="20"/>
                <w:szCs w:val="20"/>
              </w:rPr>
              <w:t xml:space="preserve">godz.  9.00 – 16.50   </w:t>
            </w:r>
          </w:p>
        </w:tc>
        <w:tc>
          <w:tcPr>
            <w:tcW w:w="5595" w:type="dxa"/>
          </w:tcPr>
          <w:p w14:paraId="63DBA9FE" w14:textId="77777777" w:rsidR="00E3761E" w:rsidRPr="00920145" w:rsidRDefault="00E3761E" w:rsidP="000A208B">
            <w:pPr>
              <w:pStyle w:val="Tekstpodstawowywcity"/>
              <w:spacing w:after="0" w:line="360" w:lineRule="auto"/>
              <w:ind w:left="289"/>
              <w:rPr>
                <w:rFonts w:ascii="Verdana" w:hAnsi="Verdana" w:cs="Arial"/>
                <w:bCs/>
                <w:sz w:val="20"/>
                <w:szCs w:val="20"/>
              </w:rPr>
            </w:pPr>
            <w:r w:rsidRPr="00920145">
              <w:rPr>
                <w:rFonts w:ascii="Verdana" w:hAnsi="Verdana" w:cs="Arial"/>
                <w:bCs/>
                <w:sz w:val="20"/>
                <w:szCs w:val="20"/>
              </w:rPr>
              <w:t>Faza notowań ciągłych</w:t>
            </w:r>
          </w:p>
        </w:tc>
      </w:tr>
      <w:tr w:rsidR="00E3761E" w:rsidRPr="00920145" w14:paraId="55AED6B6" w14:textId="77777777" w:rsidTr="007719B3">
        <w:trPr>
          <w:cantSplit/>
          <w:trHeight w:val="413"/>
        </w:trPr>
        <w:tc>
          <w:tcPr>
            <w:tcW w:w="2343" w:type="dxa"/>
          </w:tcPr>
          <w:p w14:paraId="4287CD72" w14:textId="77777777" w:rsidR="00E3761E" w:rsidRPr="00920145" w:rsidRDefault="00E3761E" w:rsidP="00A23201">
            <w:pPr>
              <w:pStyle w:val="Tekstpodstawowywcity"/>
              <w:spacing w:line="360" w:lineRule="auto"/>
              <w:ind w:left="0"/>
              <w:rPr>
                <w:rFonts w:ascii="Verdana" w:hAnsi="Verdana" w:cs="Arial"/>
                <w:bCs/>
                <w:sz w:val="20"/>
                <w:szCs w:val="20"/>
              </w:rPr>
            </w:pPr>
            <w:r w:rsidRPr="00920145">
              <w:rPr>
                <w:rFonts w:ascii="Verdana" w:hAnsi="Verdana" w:cs="Arial"/>
                <w:bCs/>
                <w:sz w:val="20"/>
                <w:szCs w:val="20"/>
              </w:rPr>
              <w:t>godz. 16.50 - 17.00</w:t>
            </w:r>
          </w:p>
        </w:tc>
        <w:tc>
          <w:tcPr>
            <w:tcW w:w="5595" w:type="dxa"/>
          </w:tcPr>
          <w:p w14:paraId="6EE1560B" w14:textId="20CFFB12" w:rsidR="00E3761E" w:rsidRPr="00920145" w:rsidRDefault="00E3761E" w:rsidP="000A208B">
            <w:pPr>
              <w:pStyle w:val="Tekstpodstawowywcity"/>
              <w:spacing w:after="0" w:line="360" w:lineRule="auto"/>
              <w:ind w:left="289"/>
              <w:rPr>
                <w:rFonts w:ascii="Verdana" w:hAnsi="Verdana" w:cs="Arial"/>
                <w:bCs/>
                <w:sz w:val="20"/>
                <w:szCs w:val="20"/>
              </w:rPr>
            </w:pPr>
            <w:r w:rsidRPr="00920145">
              <w:rPr>
                <w:rFonts w:ascii="Verdana" w:hAnsi="Verdana" w:cs="Arial"/>
                <w:bCs/>
                <w:sz w:val="20"/>
                <w:szCs w:val="20"/>
              </w:rPr>
              <w:t>Faza aukcji zamknięcia (w tym określanie kursu zamknięcia)</w:t>
            </w:r>
          </w:p>
        </w:tc>
      </w:tr>
      <w:tr w:rsidR="00E3761E" w:rsidRPr="00920145" w14:paraId="3B868DFD" w14:textId="77777777" w:rsidTr="007719B3">
        <w:trPr>
          <w:cantSplit/>
          <w:trHeight w:val="413"/>
        </w:trPr>
        <w:tc>
          <w:tcPr>
            <w:tcW w:w="2343" w:type="dxa"/>
            <w:tcBorders>
              <w:bottom w:val="single" w:sz="4" w:space="0" w:color="auto"/>
            </w:tcBorders>
          </w:tcPr>
          <w:p w14:paraId="2F6FE18E" w14:textId="77777777" w:rsidR="00E3761E" w:rsidRPr="00920145" w:rsidRDefault="00E3761E" w:rsidP="00A23201">
            <w:pPr>
              <w:pStyle w:val="Tekstpodstawowywcity"/>
              <w:spacing w:line="360" w:lineRule="auto"/>
              <w:ind w:left="0"/>
              <w:rPr>
                <w:rFonts w:ascii="Verdana" w:hAnsi="Verdana" w:cs="Arial"/>
                <w:bCs/>
                <w:sz w:val="20"/>
                <w:szCs w:val="20"/>
              </w:rPr>
            </w:pPr>
            <w:r w:rsidRPr="00920145">
              <w:rPr>
                <w:rFonts w:ascii="Verdana" w:hAnsi="Verdana" w:cs="Arial"/>
                <w:bCs/>
                <w:sz w:val="20"/>
                <w:szCs w:val="20"/>
              </w:rPr>
              <w:t>godz. 17.00 – 17.05</w:t>
            </w:r>
          </w:p>
        </w:tc>
        <w:tc>
          <w:tcPr>
            <w:tcW w:w="5595" w:type="dxa"/>
            <w:tcBorders>
              <w:bottom w:val="single" w:sz="4" w:space="0" w:color="auto"/>
            </w:tcBorders>
          </w:tcPr>
          <w:p w14:paraId="722CCB77" w14:textId="77777777" w:rsidR="00E3761E" w:rsidRPr="00920145" w:rsidRDefault="00E3761E" w:rsidP="000A208B">
            <w:pPr>
              <w:pStyle w:val="Tekstpodstawowywcity"/>
              <w:spacing w:after="0" w:line="360" w:lineRule="auto"/>
              <w:ind w:left="289"/>
              <w:rPr>
                <w:rFonts w:ascii="Verdana" w:hAnsi="Verdana" w:cs="Arial"/>
                <w:bCs/>
                <w:sz w:val="20"/>
                <w:szCs w:val="20"/>
              </w:rPr>
            </w:pPr>
            <w:r w:rsidRPr="00920145">
              <w:rPr>
                <w:rFonts w:ascii="Verdana" w:hAnsi="Verdana" w:cs="Arial"/>
                <w:bCs/>
                <w:sz w:val="20"/>
                <w:szCs w:val="20"/>
              </w:rPr>
              <w:t xml:space="preserve">Faza dogrywki </w:t>
            </w:r>
          </w:p>
        </w:tc>
      </w:tr>
    </w:tbl>
    <w:p w14:paraId="34020332" w14:textId="77777777" w:rsidR="00E3761E" w:rsidRPr="00920145" w:rsidRDefault="00E3761E" w:rsidP="00A23201">
      <w:pPr>
        <w:pStyle w:val="Tekstpodstawowywcity"/>
        <w:spacing w:line="360" w:lineRule="auto"/>
        <w:rPr>
          <w:rFonts w:ascii="Verdana" w:hAnsi="Verdana" w:cs="Arial"/>
          <w:bCs/>
          <w:sz w:val="20"/>
          <w:szCs w:val="20"/>
        </w:rPr>
      </w:pPr>
    </w:p>
    <w:p w14:paraId="4C41584D" w14:textId="77777777" w:rsidR="00E3761E" w:rsidRPr="00920145" w:rsidRDefault="00E3761E" w:rsidP="00A23201">
      <w:pPr>
        <w:pStyle w:val="Tekstpodstawowywcity"/>
        <w:tabs>
          <w:tab w:val="left" w:pos="142"/>
          <w:tab w:val="left" w:pos="567"/>
        </w:tabs>
        <w:spacing w:line="360" w:lineRule="auto"/>
        <w:ind w:left="142" w:firstLine="567"/>
        <w:rPr>
          <w:rFonts w:ascii="Verdana" w:hAnsi="Verdana" w:cs="Arial"/>
          <w:bCs/>
          <w:sz w:val="20"/>
          <w:szCs w:val="20"/>
        </w:rPr>
      </w:pPr>
      <w:r w:rsidRPr="00920145">
        <w:rPr>
          <w:rFonts w:ascii="Verdana" w:hAnsi="Verdana" w:cs="Arial"/>
          <w:bCs/>
          <w:sz w:val="20"/>
          <w:szCs w:val="20"/>
        </w:rPr>
        <w:t>5) notowania w systemie notowań ciągłych dla ETF-ów:</w:t>
      </w:r>
      <w:r w:rsidRPr="00920145">
        <w:rPr>
          <w:rFonts w:ascii="Verdana" w:hAnsi="Verdana" w:cs="Arial"/>
          <w:bCs/>
          <w:snapToGrid w:val="0"/>
          <w:sz w:val="20"/>
          <w:szCs w:val="20"/>
        </w:rPr>
        <w:t xml:space="preserve"> </w:t>
      </w:r>
    </w:p>
    <w:tbl>
      <w:tblPr>
        <w:tblW w:w="793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557"/>
      </w:tblGrid>
      <w:tr w:rsidR="00E3761E" w:rsidRPr="00920145" w14:paraId="14AD4130" w14:textId="77777777" w:rsidTr="007719B3">
        <w:tc>
          <w:tcPr>
            <w:tcW w:w="2381" w:type="dxa"/>
            <w:hideMark/>
          </w:tcPr>
          <w:p w14:paraId="01E5523A" w14:textId="77777777" w:rsidR="00E3761E" w:rsidRPr="00920145" w:rsidRDefault="00E3761E" w:rsidP="00A23201">
            <w:pPr>
              <w:pStyle w:val="Tekstpodstawowywcity"/>
              <w:spacing w:line="360" w:lineRule="auto"/>
              <w:ind w:firstLine="290"/>
              <w:rPr>
                <w:rFonts w:ascii="Verdana" w:hAnsi="Verdana"/>
                <w:bCs/>
                <w:sz w:val="20"/>
                <w:szCs w:val="20"/>
              </w:rPr>
            </w:pPr>
          </w:p>
        </w:tc>
        <w:tc>
          <w:tcPr>
            <w:tcW w:w="5557" w:type="dxa"/>
            <w:hideMark/>
          </w:tcPr>
          <w:p w14:paraId="55901CC9" w14:textId="77777777" w:rsidR="00E3761E" w:rsidRPr="00920145" w:rsidRDefault="00E3761E" w:rsidP="00A23201">
            <w:pPr>
              <w:pStyle w:val="Tekstpodstawowywcity"/>
              <w:spacing w:line="360" w:lineRule="auto"/>
              <w:ind w:left="317"/>
              <w:rPr>
                <w:rFonts w:ascii="Verdana" w:hAnsi="Verdana"/>
                <w:bCs/>
                <w:sz w:val="20"/>
                <w:szCs w:val="20"/>
              </w:rPr>
            </w:pPr>
          </w:p>
        </w:tc>
      </w:tr>
      <w:tr w:rsidR="00E3761E" w:rsidRPr="00920145" w14:paraId="50CE3CFA" w14:textId="77777777" w:rsidTr="007719B3">
        <w:tc>
          <w:tcPr>
            <w:tcW w:w="2381" w:type="dxa"/>
            <w:hideMark/>
          </w:tcPr>
          <w:p w14:paraId="55AA83B6" w14:textId="77777777" w:rsidR="00E3761E" w:rsidRPr="00920145" w:rsidRDefault="00E3761E" w:rsidP="00A23201">
            <w:pPr>
              <w:pStyle w:val="Tekstpodstawowywcity"/>
              <w:spacing w:line="360" w:lineRule="auto"/>
              <w:ind w:left="0"/>
              <w:rPr>
                <w:rFonts w:ascii="Verdana" w:hAnsi="Verdana"/>
                <w:bCs/>
                <w:sz w:val="20"/>
                <w:szCs w:val="20"/>
              </w:rPr>
            </w:pPr>
            <w:r w:rsidRPr="00920145">
              <w:rPr>
                <w:rFonts w:ascii="Verdana" w:hAnsi="Verdana"/>
                <w:bCs/>
                <w:sz w:val="20"/>
                <w:szCs w:val="20"/>
              </w:rPr>
              <w:t>godz. 8.30 - 9.05</w:t>
            </w:r>
          </w:p>
        </w:tc>
        <w:tc>
          <w:tcPr>
            <w:tcW w:w="5557" w:type="dxa"/>
            <w:hideMark/>
          </w:tcPr>
          <w:p w14:paraId="098BBC94" w14:textId="389424F1" w:rsidR="00E3761E" w:rsidRPr="00920145" w:rsidRDefault="00E3761E" w:rsidP="000A208B">
            <w:pPr>
              <w:pStyle w:val="Tekstpodstawowywcity"/>
              <w:spacing w:after="0" w:line="360" w:lineRule="auto"/>
              <w:ind w:left="317"/>
              <w:rPr>
                <w:rFonts w:ascii="Verdana" w:hAnsi="Verdana"/>
                <w:bCs/>
                <w:sz w:val="20"/>
                <w:szCs w:val="20"/>
              </w:rPr>
            </w:pPr>
            <w:r w:rsidRPr="00920145">
              <w:rPr>
                <w:rFonts w:ascii="Verdana" w:hAnsi="Verdana"/>
                <w:bCs/>
                <w:sz w:val="20"/>
                <w:szCs w:val="20"/>
              </w:rPr>
              <w:t>Faza aukcji otwarcia (w tym określanie kursu otwarcia)</w:t>
            </w:r>
          </w:p>
        </w:tc>
      </w:tr>
      <w:tr w:rsidR="00E3761E" w:rsidRPr="00920145" w14:paraId="64405864" w14:textId="77777777" w:rsidTr="007719B3">
        <w:tc>
          <w:tcPr>
            <w:tcW w:w="2381" w:type="dxa"/>
            <w:hideMark/>
          </w:tcPr>
          <w:p w14:paraId="13061A0A" w14:textId="77777777" w:rsidR="00E3761E" w:rsidRPr="00920145" w:rsidRDefault="00E3761E" w:rsidP="00A23201">
            <w:pPr>
              <w:pStyle w:val="Tekstpodstawowywcity"/>
              <w:spacing w:line="360" w:lineRule="auto"/>
              <w:ind w:left="0"/>
              <w:rPr>
                <w:rFonts w:ascii="Verdana" w:hAnsi="Verdana"/>
                <w:bCs/>
                <w:sz w:val="20"/>
                <w:szCs w:val="20"/>
              </w:rPr>
            </w:pPr>
            <w:r w:rsidRPr="00920145">
              <w:rPr>
                <w:rFonts w:ascii="Verdana" w:hAnsi="Verdana"/>
                <w:bCs/>
                <w:sz w:val="20"/>
                <w:szCs w:val="20"/>
              </w:rPr>
              <w:t>godz. 9.05 – 16.50</w:t>
            </w:r>
          </w:p>
        </w:tc>
        <w:tc>
          <w:tcPr>
            <w:tcW w:w="5557" w:type="dxa"/>
            <w:hideMark/>
          </w:tcPr>
          <w:p w14:paraId="6C21B597" w14:textId="77777777" w:rsidR="00E3761E" w:rsidRPr="00920145" w:rsidRDefault="00E3761E" w:rsidP="000A208B">
            <w:pPr>
              <w:pStyle w:val="Tekstpodstawowywcity"/>
              <w:spacing w:after="0" w:line="360" w:lineRule="auto"/>
              <w:ind w:left="317"/>
              <w:rPr>
                <w:rFonts w:ascii="Verdana" w:hAnsi="Verdana"/>
                <w:bCs/>
                <w:sz w:val="20"/>
                <w:szCs w:val="20"/>
              </w:rPr>
            </w:pPr>
            <w:r w:rsidRPr="00920145">
              <w:rPr>
                <w:rFonts w:ascii="Verdana" w:hAnsi="Verdana"/>
                <w:bCs/>
                <w:sz w:val="20"/>
                <w:szCs w:val="20"/>
              </w:rPr>
              <w:t>Faza notowań ciągłych</w:t>
            </w:r>
          </w:p>
        </w:tc>
      </w:tr>
      <w:tr w:rsidR="00E3761E" w:rsidRPr="00920145" w14:paraId="2531E77E" w14:textId="77777777" w:rsidTr="007719B3">
        <w:tc>
          <w:tcPr>
            <w:tcW w:w="2381" w:type="dxa"/>
            <w:hideMark/>
          </w:tcPr>
          <w:p w14:paraId="41447FD3" w14:textId="77777777" w:rsidR="00E3761E" w:rsidRPr="00920145" w:rsidRDefault="00E3761E" w:rsidP="00A23201">
            <w:pPr>
              <w:pStyle w:val="Tekstpodstawowywcity"/>
              <w:spacing w:line="360" w:lineRule="auto"/>
              <w:ind w:left="0"/>
              <w:rPr>
                <w:rFonts w:ascii="Verdana" w:hAnsi="Verdana"/>
                <w:bCs/>
                <w:sz w:val="20"/>
                <w:szCs w:val="20"/>
              </w:rPr>
            </w:pPr>
            <w:r w:rsidRPr="00920145">
              <w:rPr>
                <w:rFonts w:ascii="Verdana" w:hAnsi="Verdana"/>
                <w:bCs/>
                <w:sz w:val="20"/>
                <w:szCs w:val="20"/>
              </w:rPr>
              <w:t>godz. 16.50 - 17.02</w:t>
            </w:r>
          </w:p>
        </w:tc>
        <w:tc>
          <w:tcPr>
            <w:tcW w:w="5557" w:type="dxa"/>
            <w:hideMark/>
          </w:tcPr>
          <w:p w14:paraId="7BE89891" w14:textId="08423D09" w:rsidR="00E3761E" w:rsidRPr="00920145" w:rsidRDefault="00E3761E" w:rsidP="000A208B">
            <w:pPr>
              <w:pStyle w:val="Tekstpodstawowywcity"/>
              <w:spacing w:after="0" w:line="360" w:lineRule="auto"/>
              <w:ind w:left="317"/>
              <w:rPr>
                <w:rFonts w:ascii="Verdana" w:hAnsi="Verdana"/>
                <w:bCs/>
                <w:sz w:val="20"/>
                <w:szCs w:val="20"/>
              </w:rPr>
            </w:pPr>
            <w:r w:rsidRPr="00920145">
              <w:rPr>
                <w:rFonts w:ascii="Verdana" w:hAnsi="Verdana"/>
                <w:bCs/>
                <w:sz w:val="20"/>
                <w:szCs w:val="20"/>
              </w:rPr>
              <w:t>Faza aukcji zamknięcia (</w:t>
            </w:r>
            <w:r w:rsidR="00D62F6C" w:rsidRPr="00920145">
              <w:rPr>
                <w:rFonts w:ascii="Verdana" w:hAnsi="Verdana"/>
                <w:bCs/>
                <w:sz w:val="20"/>
                <w:szCs w:val="20"/>
              </w:rPr>
              <w:t xml:space="preserve">w tym </w:t>
            </w:r>
            <w:r w:rsidRPr="00920145">
              <w:rPr>
                <w:rFonts w:ascii="Verdana" w:hAnsi="Verdana"/>
                <w:bCs/>
                <w:sz w:val="20"/>
                <w:szCs w:val="20"/>
              </w:rPr>
              <w:t>określanie kursu zamknięcia)</w:t>
            </w:r>
          </w:p>
        </w:tc>
      </w:tr>
      <w:tr w:rsidR="00E3761E" w:rsidRPr="00920145" w14:paraId="4A508D11" w14:textId="77777777" w:rsidTr="007719B3">
        <w:tc>
          <w:tcPr>
            <w:tcW w:w="2381" w:type="dxa"/>
            <w:hideMark/>
          </w:tcPr>
          <w:p w14:paraId="068A8725" w14:textId="77777777" w:rsidR="00E3761E" w:rsidRPr="00920145" w:rsidRDefault="00E3761E" w:rsidP="00A23201">
            <w:pPr>
              <w:pStyle w:val="Tekstpodstawowywcity"/>
              <w:spacing w:line="360" w:lineRule="auto"/>
              <w:ind w:left="0"/>
              <w:rPr>
                <w:rFonts w:ascii="Verdana" w:hAnsi="Verdana"/>
                <w:bCs/>
                <w:sz w:val="20"/>
                <w:szCs w:val="20"/>
              </w:rPr>
            </w:pPr>
            <w:r w:rsidRPr="00920145">
              <w:rPr>
                <w:rFonts w:ascii="Verdana" w:hAnsi="Verdana"/>
                <w:bCs/>
                <w:sz w:val="20"/>
                <w:szCs w:val="20"/>
              </w:rPr>
              <w:t>godz. 17.02 –17.05</w:t>
            </w:r>
          </w:p>
        </w:tc>
        <w:tc>
          <w:tcPr>
            <w:tcW w:w="5557" w:type="dxa"/>
            <w:hideMark/>
          </w:tcPr>
          <w:p w14:paraId="0B6F5D07" w14:textId="77777777" w:rsidR="00E3761E" w:rsidRPr="00920145" w:rsidRDefault="00E3761E" w:rsidP="000A208B">
            <w:pPr>
              <w:pStyle w:val="Tekstpodstawowywcity"/>
              <w:spacing w:after="0" w:line="360" w:lineRule="auto"/>
              <w:ind w:left="317"/>
              <w:rPr>
                <w:rFonts w:ascii="Verdana" w:hAnsi="Verdana"/>
                <w:bCs/>
                <w:sz w:val="20"/>
                <w:szCs w:val="20"/>
              </w:rPr>
            </w:pPr>
            <w:r w:rsidRPr="00920145">
              <w:rPr>
                <w:rFonts w:ascii="Verdana" w:hAnsi="Verdana"/>
                <w:bCs/>
                <w:sz w:val="20"/>
                <w:szCs w:val="20"/>
              </w:rPr>
              <w:t xml:space="preserve">Faza dogrywki </w:t>
            </w:r>
          </w:p>
        </w:tc>
      </w:tr>
    </w:tbl>
    <w:p w14:paraId="0F408F82" w14:textId="77777777" w:rsidR="00E3761E" w:rsidRPr="00920145" w:rsidRDefault="00E3761E" w:rsidP="00A23201">
      <w:pPr>
        <w:pStyle w:val="Tekstpodstawowywcity"/>
        <w:spacing w:line="360" w:lineRule="auto"/>
        <w:rPr>
          <w:rFonts w:ascii="Verdana" w:hAnsi="Verdana" w:cs="Arial"/>
          <w:bCs/>
          <w:sz w:val="20"/>
          <w:szCs w:val="20"/>
        </w:rPr>
      </w:pPr>
    </w:p>
    <w:p w14:paraId="3ACE28E5" w14:textId="77777777" w:rsidR="00E3761E" w:rsidRPr="00920145" w:rsidRDefault="00E3761E" w:rsidP="00A23201">
      <w:pPr>
        <w:pStyle w:val="Tekstpodstawowywcity"/>
        <w:tabs>
          <w:tab w:val="left" w:pos="567"/>
          <w:tab w:val="left" w:pos="709"/>
        </w:tabs>
        <w:spacing w:line="360" w:lineRule="auto"/>
        <w:ind w:left="709"/>
        <w:jc w:val="both"/>
        <w:rPr>
          <w:rFonts w:ascii="Verdana" w:hAnsi="Verdana" w:cs="Arial"/>
          <w:bCs/>
          <w:sz w:val="20"/>
          <w:szCs w:val="20"/>
        </w:rPr>
      </w:pPr>
      <w:r w:rsidRPr="00920145">
        <w:rPr>
          <w:rFonts w:ascii="Verdana" w:hAnsi="Verdana" w:cs="Arial"/>
          <w:bCs/>
          <w:sz w:val="20"/>
          <w:szCs w:val="20"/>
        </w:rPr>
        <w:t>5a) notowania w systemie notowań ciągłych dla instrumentów typu ETC i ETN:</w:t>
      </w:r>
      <w:r w:rsidRPr="00920145">
        <w:rPr>
          <w:rFonts w:ascii="Verdana" w:hAnsi="Verdana" w:cs="Arial"/>
          <w:bCs/>
          <w:snapToGrid w:val="0"/>
          <w:sz w:val="20"/>
          <w:szCs w:val="20"/>
        </w:rPr>
        <w:t xml:space="preserve"> </w:t>
      </w:r>
    </w:p>
    <w:tbl>
      <w:tblPr>
        <w:tblW w:w="793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557"/>
      </w:tblGrid>
      <w:tr w:rsidR="00E3761E" w:rsidRPr="00920145" w14:paraId="7FA58198" w14:textId="77777777" w:rsidTr="007719B3">
        <w:tc>
          <w:tcPr>
            <w:tcW w:w="2381" w:type="dxa"/>
            <w:hideMark/>
          </w:tcPr>
          <w:p w14:paraId="7EFE0212" w14:textId="77777777" w:rsidR="00E3761E" w:rsidRPr="00920145" w:rsidRDefault="00E3761E" w:rsidP="00A23201">
            <w:pPr>
              <w:pStyle w:val="Tekstpodstawowywcity"/>
              <w:spacing w:line="360" w:lineRule="auto"/>
              <w:ind w:left="0"/>
              <w:rPr>
                <w:rFonts w:ascii="Verdana" w:hAnsi="Verdana"/>
                <w:bCs/>
                <w:sz w:val="20"/>
                <w:szCs w:val="20"/>
              </w:rPr>
            </w:pPr>
            <w:r w:rsidRPr="00920145">
              <w:rPr>
                <w:rFonts w:ascii="Verdana" w:hAnsi="Verdana"/>
                <w:bCs/>
                <w:sz w:val="20"/>
                <w:szCs w:val="20"/>
              </w:rPr>
              <w:t>godz. 8.30 - 9.05</w:t>
            </w:r>
          </w:p>
        </w:tc>
        <w:tc>
          <w:tcPr>
            <w:tcW w:w="5557" w:type="dxa"/>
            <w:hideMark/>
          </w:tcPr>
          <w:p w14:paraId="71A26FBC" w14:textId="77777777" w:rsidR="00E3761E" w:rsidRPr="00920145" w:rsidRDefault="00E3761E" w:rsidP="000A208B">
            <w:pPr>
              <w:pStyle w:val="Tekstpodstawowywcity"/>
              <w:spacing w:after="0" w:line="360" w:lineRule="auto"/>
              <w:ind w:left="317"/>
              <w:rPr>
                <w:rFonts w:ascii="Verdana" w:hAnsi="Verdana"/>
                <w:bCs/>
                <w:sz w:val="20"/>
                <w:szCs w:val="20"/>
              </w:rPr>
            </w:pPr>
            <w:r w:rsidRPr="00920145">
              <w:rPr>
                <w:rFonts w:ascii="Verdana" w:hAnsi="Verdana"/>
                <w:bCs/>
                <w:sz w:val="20"/>
                <w:szCs w:val="20"/>
              </w:rPr>
              <w:t>Faza aukcji otwarcia (w tym określanie kursu otwarcia)</w:t>
            </w:r>
          </w:p>
        </w:tc>
      </w:tr>
      <w:tr w:rsidR="00E3761E" w:rsidRPr="00920145" w14:paraId="0126C88B" w14:textId="77777777" w:rsidTr="007719B3">
        <w:tc>
          <w:tcPr>
            <w:tcW w:w="2381" w:type="dxa"/>
            <w:hideMark/>
          </w:tcPr>
          <w:p w14:paraId="0B699FA1" w14:textId="77777777" w:rsidR="00E3761E" w:rsidRPr="00920145" w:rsidRDefault="00E3761E" w:rsidP="00A23201">
            <w:pPr>
              <w:pStyle w:val="Tekstpodstawowywcity"/>
              <w:spacing w:line="360" w:lineRule="auto"/>
              <w:ind w:left="0"/>
              <w:rPr>
                <w:rFonts w:ascii="Verdana" w:hAnsi="Verdana"/>
                <w:bCs/>
                <w:sz w:val="20"/>
                <w:szCs w:val="20"/>
              </w:rPr>
            </w:pPr>
            <w:r w:rsidRPr="00920145">
              <w:rPr>
                <w:rFonts w:ascii="Verdana" w:hAnsi="Verdana"/>
                <w:bCs/>
                <w:sz w:val="20"/>
                <w:szCs w:val="20"/>
              </w:rPr>
              <w:t>godz. 9.05 – 16.50</w:t>
            </w:r>
          </w:p>
        </w:tc>
        <w:tc>
          <w:tcPr>
            <w:tcW w:w="5557" w:type="dxa"/>
            <w:hideMark/>
          </w:tcPr>
          <w:p w14:paraId="6E1D9D41" w14:textId="77777777" w:rsidR="00E3761E" w:rsidRPr="00920145" w:rsidRDefault="00E3761E" w:rsidP="000A208B">
            <w:pPr>
              <w:pStyle w:val="Tekstpodstawowywcity"/>
              <w:spacing w:after="0" w:line="360" w:lineRule="auto"/>
              <w:ind w:left="317"/>
              <w:rPr>
                <w:rFonts w:ascii="Verdana" w:hAnsi="Verdana"/>
                <w:bCs/>
                <w:sz w:val="20"/>
                <w:szCs w:val="20"/>
              </w:rPr>
            </w:pPr>
            <w:r w:rsidRPr="00920145">
              <w:rPr>
                <w:rFonts w:ascii="Verdana" w:hAnsi="Verdana"/>
                <w:bCs/>
                <w:sz w:val="20"/>
                <w:szCs w:val="20"/>
              </w:rPr>
              <w:t>Faza notowań ciągłych</w:t>
            </w:r>
          </w:p>
        </w:tc>
      </w:tr>
      <w:tr w:rsidR="00E3761E" w:rsidRPr="00920145" w14:paraId="79ED7997" w14:textId="77777777" w:rsidTr="007719B3">
        <w:tc>
          <w:tcPr>
            <w:tcW w:w="2381" w:type="dxa"/>
            <w:hideMark/>
          </w:tcPr>
          <w:p w14:paraId="47E82EC6" w14:textId="77777777" w:rsidR="00E3761E" w:rsidRPr="00920145" w:rsidRDefault="00E3761E" w:rsidP="00A23201">
            <w:pPr>
              <w:pStyle w:val="Tekstpodstawowywcity"/>
              <w:spacing w:line="360" w:lineRule="auto"/>
              <w:ind w:firstLine="290"/>
              <w:rPr>
                <w:rFonts w:ascii="Verdana" w:hAnsi="Verdana"/>
                <w:bCs/>
                <w:sz w:val="20"/>
                <w:szCs w:val="20"/>
              </w:rPr>
            </w:pPr>
          </w:p>
        </w:tc>
        <w:tc>
          <w:tcPr>
            <w:tcW w:w="5557" w:type="dxa"/>
            <w:hideMark/>
          </w:tcPr>
          <w:p w14:paraId="31573733" w14:textId="77777777" w:rsidR="00E3761E" w:rsidRPr="00920145" w:rsidRDefault="00E3761E" w:rsidP="000A208B">
            <w:pPr>
              <w:pStyle w:val="Tekstpodstawowywcity"/>
              <w:spacing w:after="0" w:line="360" w:lineRule="auto"/>
              <w:ind w:left="317"/>
              <w:rPr>
                <w:rFonts w:ascii="Verdana" w:hAnsi="Verdana"/>
                <w:bCs/>
                <w:sz w:val="20"/>
                <w:szCs w:val="20"/>
              </w:rPr>
            </w:pPr>
          </w:p>
        </w:tc>
      </w:tr>
      <w:tr w:rsidR="00E3761E" w:rsidRPr="00920145" w14:paraId="3903DAEA" w14:textId="77777777" w:rsidTr="007719B3">
        <w:tc>
          <w:tcPr>
            <w:tcW w:w="2381" w:type="dxa"/>
            <w:hideMark/>
          </w:tcPr>
          <w:p w14:paraId="265E7C6F" w14:textId="77777777" w:rsidR="00E3761E" w:rsidRPr="00920145" w:rsidRDefault="00E3761E" w:rsidP="00A23201">
            <w:pPr>
              <w:pStyle w:val="Tekstpodstawowywcity"/>
              <w:spacing w:line="360" w:lineRule="auto"/>
              <w:ind w:left="0"/>
              <w:rPr>
                <w:rFonts w:ascii="Verdana" w:hAnsi="Verdana"/>
                <w:bCs/>
                <w:sz w:val="20"/>
                <w:szCs w:val="20"/>
              </w:rPr>
            </w:pPr>
            <w:r w:rsidRPr="00920145">
              <w:rPr>
                <w:rFonts w:ascii="Verdana" w:hAnsi="Verdana"/>
                <w:bCs/>
                <w:sz w:val="20"/>
                <w:szCs w:val="20"/>
              </w:rPr>
              <w:lastRenderedPageBreak/>
              <w:t>godz. 16.50 - 17.02</w:t>
            </w:r>
          </w:p>
        </w:tc>
        <w:tc>
          <w:tcPr>
            <w:tcW w:w="5557" w:type="dxa"/>
            <w:hideMark/>
          </w:tcPr>
          <w:p w14:paraId="11D87B6E" w14:textId="77777777" w:rsidR="00E3761E" w:rsidRPr="00920145" w:rsidRDefault="00E3761E" w:rsidP="000A208B">
            <w:pPr>
              <w:pStyle w:val="Tekstpodstawowywcity"/>
              <w:spacing w:after="0" w:line="360" w:lineRule="auto"/>
              <w:ind w:left="317"/>
              <w:rPr>
                <w:rFonts w:ascii="Verdana" w:hAnsi="Verdana"/>
                <w:bCs/>
                <w:sz w:val="20"/>
                <w:szCs w:val="20"/>
              </w:rPr>
            </w:pPr>
            <w:r w:rsidRPr="00920145">
              <w:rPr>
                <w:rFonts w:ascii="Verdana" w:hAnsi="Verdana"/>
                <w:bCs/>
                <w:sz w:val="20"/>
                <w:szCs w:val="20"/>
              </w:rPr>
              <w:t>Faza aukcji zamknięcia (w tym określanie kursu zamknięcia)</w:t>
            </w:r>
          </w:p>
        </w:tc>
      </w:tr>
      <w:tr w:rsidR="00E3761E" w:rsidRPr="00920145" w14:paraId="74555A41" w14:textId="77777777" w:rsidTr="007719B3">
        <w:tc>
          <w:tcPr>
            <w:tcW w:w="2381" w:type="dxa"/>
            <w:hideMark/>
          </w:tcPr>
          <w:p w14:paraId="63F22670" w14:textId="77777777" w:rsidR="00E3761E" w:rsidRPr="00920145" w:rsidRDefault="00E3761E" w:rsidP="00A23201">
            <w:pPr>
              <w:pStyle w:val="Tekstpodstawowywcity"/>
              <w:spacing w:line="360" w:lineRule="auto"/>
              <w:ind w:left="0"/>
              <w:rPr>
                <w:rFonts w:ascii="Verdana" w:hAnsi="Verdana"/>
                <w:bCs/>
                <w:sz w:val="20"/>
                <w:szCs w:val="20"/>
              </w:rPr>
            </w:pPr>
            <w:r w:rsidRPr="00920145">
              <w:rPr>
                <w:rFonts w:ascii="Verdana" w:hAnsi="Verdana"/>
                <w:bCs/>
                <w:sz w:val="20"/>
                <w:szCs w:val="20"/>
              </w:rPr>
              <w:t>godz. 17.02 – 17.05</w:t>
            </w:r>
          </w:p>
        </w:tc>
        <w:tc>
          <w:tcPr>
            <w:tcW w:w="5557" w:type="dxa"/>
            <w:hideMark/>
          </w:tcPr>
          <w:p w14:paraId="5BB971F3" w14:textId="77777777" w:rsidR="00E3761E" w:rsidRPr="00920145" w:rsidRDefault="00E3761E" w:rsidP="000A208B">
            <w:pPr>
              <w:pStyle w:val="Tekstpodstawowywcity"/>
              <w:spacing w:after="0" w:line="360" w:lineRule="auto"/>
              <w:ind w:left="317"/>
              <w:rPr>
                <w:rFonts w:ascii="Verdana" w:hAnsi="Verdana"/>
                <w:bCs/>
                <w:sz w:val="20"/>
                <w:szCs w:val="20"/>
              </w:rPr>
            </w:pPr>
            <w:r w:rsidRPr="00920145">
              <w:rPr>
                <w:rFonts w:ascii="Verdana" w:hAnsi="Verdana"/>
                <w:bCs/>
                <w:sz w:val="20"/>
                <w:szCs w:val="20"/>
              </w:rPr>
              <w:t xml:space="preserve">Faza dogrywki </w:t>
            </w:r>
          </w:p>
        </w:tc>
      </w:tr>
    </w:tbl>
    <w:p w14:paraId="09746DCC" w14:textId="6534D33E" w:rsidR="00E3761E" w:rsidRPr="00920145" w:rsidRDefault="00E3761E" w:rsidP="00A23201">
      <w:pPr>
        <w:pStyle w:val="Tekstpodstawowywcity"/>
        <w:spacing w:line="360" w:lineRule="auto"/>
        <w:rPr>
          <w:rFonts w:ascii="Verdana" w:hAnsi="Verdana" w:cs="Arial"/>
          <w:bCs/>
          <w:sz w:val="20"/>
          <w:szCs w:val="20"/>
        </w:rPr>
      </w:pPr>
    </w:p>
    <w:p w14:paraId="52A4DA17" w14:textId="77777777" w:rsidR="00E3761E" w:rsidRPr="00920145" w:rsidRDefault="00E3761E" w:rsidP="00A23201">
      <w:pPr>
        <w:pStyle w:val="Tekstpodstawowywcity"/>
        <w:spacing w:line="360" w:lineRule="auto"/>
        <w:ind w:left="709"/>
        <w:rPr>
          <w:rFonts w:ascii="Verdana" w:hAnsi="Verdana" w:cs="Arial"/>
          <w:bCs/>
          <w:sz w:val="20"/>
          <w:szCs w:val="20"/>
        </w:rPr>
      </w:pPr>
      <w:r w:rsidRPr="00920145">
        <w:rPr>
          <w:rFonts w:ascii="Verdana" w:hAnsi="Verdana" w:cs="Arial"/>
          <w:bCs/>
          <w:sz w:val="20"/>
          <w:szCs w:val="20"/>
        </w:rPr>
        <w:t>6) notowania w systemie kursu jednolitego z dwukrotnym określaniem kursu jednolitego:</w:t>
      </w:r>
    </w:p>
    <w:tbl>
      <w:tblPr>
        <w:tblW w:w="793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3"/>
        <w:gridCol w:w="5595"/>
      </w:tblGrid>
      <w:tr w:rsidR="00E3761E" w:rsidRPr="00920145" w14:paraId="05DA7B80" w14:textId="77777777" w:rsidTr="00995CBA">
        <w:trPr>
          <w:cantSplit/>
        </w:trPr>
        <w:tc>
          <w:tcPr>
            <w:tcW w:w="2343" w:type="dxa"/>
          </w:tcPr>
          <w:p w14:paraId="0E89E706" w14:textId="77777777" w:rsidR="00E3761E" w:rsidRPr="00920145" w:rsidRDefault="00E3761E" w:rsidP="00A23201">
            <w:pPr>
              <w:pStyle w:val="Tekstpodstawowy2"/>
              <w:spacing w:line="360" w:lineRule="auto"/>
              <w:rPr>
                <w:rFonts w:ascii="Verdana" w:hAnsi="Verdana" w:cs="Arial"/>
                <w:bCs/>
                <w:sz w:val="20"/>
                <w:szCs w:val="20"/>
              </w:rPr>
            </w:pPr>
            <w:r w:rsidRPr="00920145">
              <w:rPr>
                <w:rFonts w:ascii="Verdana" w:hAnsi="Verdana" w:cs="Arial"/>
                <w:bCs/>
                <w:sz w:val="20"/>
                <w:szCs w:val="20"/>
              </w:rPr>
              <w:t xml:space="preserve">godz. 8.30 - 11.00                  </w:t>
            </w:r>
          </w:p>
        </w:tc>
        <w:tc>
          <w:tcPr>
            <w:tcW w:w="5595" w:type="dxa"/>
          </w:tcPr>
          <w:p w14:paraId="5B707F8F" w14:textId="77777777" w:rsidR="00E3761E" w:rsidRPr="00920145" w:rsidRDefault="00E3761E" w:rsidP="000A208B">
            <w:pPr>
              <w:pStyle w:val="Tekstpodstawowy2"/>
              <w:spacing w:after="0" w:line="360" w:lineRule="auto"/>
              <w:ind w:left="350"/>
              <w:rPr>
                <w:rFonts w:ascii="Verdana" w:hAnsi="Verdana" w:cs="Arial"/>
                <w:bCs/>
                <w:sz w:val="20"/>
                <w:szCs w:val="20"/>
              </w:rPr>
            </w:pPr>
            <w:r w:rsidRPr="00920145">
              <w:rPr>
                <w:rFonts w:ascii="Verdana" w:hAnsi="Verdana" w:cs="Arial"/>
                <w:bCs/>
                <w:sz w:val="20"/>
                <w:szCs w:val="20"/>
              </w:rPr>
              <w:t>Faza aukcji otwarcia (w tym określanie kursu jednolitego)</w:t>
            </w:r>
          </w:p>
        </w:tc>
      </w:tr>
      <w:tr w:rsidR="00E3761E" w:rsidRPr="00920145" w14:paraId="72D6FEC2" w14:textId="77777777" w:rsidTr="00995CBA">
        <w:trPr>
          <w:cantSplit/>
        </w:trPr>
        <w:tc>
          <w:tcPr>
            <w:tcW w:w="2343" w:type="dxa"/>
          </w:tcPr>
          <w:p w14:paraId="29C09C37" w14:textId="77777777" w:rsidR="00E3761E" w:rsidRPr="00920145" w:rsidRDefault="00E3761E" w:rsidP="00A23201">
            <w:pPr>
              <w:pStyle w:val="Tekstpodstawowy2"/>
              <w:spacing w:line="360" w:lineRule="auto"/>
              <w:rPr>
                <w:rFonts w:ascii="Verdana" w:hAnsi="Verdana" w:cs="Arial"/>
                <w:bCs/>
                <w:sz w:val="20"/>
                <w:szCs w:val="20"/>
              </w:rPr>
            </w:pPr>
            <w:r w:rsidRPr="00920145">
              <w:rPr>
                <w:rFonts w:ascii="Verdana" w:hAnsi="Verdana" w:cs="Arial"/>
                <w:bCs/>
                <w:sz w:val="20"/>
                <w:szCs w:val="20"/>
              </w:rPr>
              <w:t xml:space="preserve">godz. 11.00 – 11.30    </w:t>
            </w:r>
          </w:p>
        </w:tc>
        <w:tc>
          <w:tcPr>
            <w:tcW w:w="5595" w:type="dxa"/>
          </w:tcPr>
          <w:p w14:paraId="5D35C518" w14:textId="77777777" w:rsidR="00E3761E" w:rsidRPr="00920145" w:rsidRDefault="00E3761E" w:rsidP="000A208B">
            <w:pPr>
              <w:pStyle w:val="Tekstpodstawowy2"/>
              <w:spacing w:after="0" w:line="360" w:lineRule="auto"/>
              <w:ind w:left="350"/>
              <w:rPr>
                <w:rFonts w:ascii="Verdana" w:hAnsi="Verdana" w:cs="Arial"/>
                <w:bCs/>
                <w:sz w:val="20"/>
                <w:szCs w:val="20"/>
              </w:rPr>
            </w:pPr>
            <w:r w:rsidRPr="00920145">
              <w:rPr>
                <w:rFonts w:ascii="Verdana" w:hAnsi="Verdana" w:cs="Arial"/>
                <w:bCs/>
                <w:sz w:val="20"/>
                <w:szCs w:val="20"/>
              </w:rPr>
              <w:t xml:space="preserve">Faza dogrywki </w:t>
            </w:r>
          </w:p>
        </w:tc>
      </w:tr>
      <w:tr w:rsidR="00E3761E" w:rsidRPr="00920145" w14:paraId="2B133611" w14:textId="77777777" w:rsidTr="00995CBA">
        <w:trPr>
          <w:cantSplit/>
        </w:trPr>
        <w:tc>
          <w:tcPr>
            <w:tcW w:w="2343" w:type="dxa"/>
          </w:tcPr>
          <w:p w14:paraId="3A03BB9C" w14:textId="77777777" w:rsidR="00E3761E" w:rsidRPr="00920145" w:rsidRDefault="00E3761E" w:rsidP="00A23201">
            <w:pPr>
              <w:pStyle w:val="Tekstpodstawowy2"/>
              <w:spacing w:line="360" w:lineRule="auto"/>
              <w:rPr>
                <w:rFonts w:ascii="Verdana" w:hAnsi="Verdana" w:cs="Arial"/>
                <w:bCs/>
                <w:sz w:val="20"/>
                <w:szCs w:val="20"/>
              </w:rPr>
            </w:pPr>
            <w:r w:rsidRPr="00920145">
              <w:rPr>
                <w:rFonts w:ascii="Verdana" w:hAnsi="Verdana" w:cs="Arial"/>
                <w:bCs/>
                <w:sz w:val="20"/>
                <w:szCs w:val="20"/>
              </w:rPr>
              <w:t xml:space="preserve">godz. 11.30 - 15.00                  </w:t>
            </w:r>
          </w:p>
        </w:tc>
        <w:tc>
          <w:tcPr>
            <w:tcW w:w="5595" w:type="dxa"/>
          </w:tcPr>
          <w:p w14:paraId="3C412AC9" w14:textId="77777777" w:rsidR="00E3761E" w:rsidRPr="00920145" w:rsidRDefault="00E3761E" w:rsidP="000A208B">
            <w:pPr>
              <w:pStyle w:val="Tekstpodstawowy2"/>
              <w:spacing w:after="0" w:line="360" w:lineRule="auto"/>
              <w:ind w:left="350"/>
              <w:rPr>
                <w:rFonts w:ascii="Verdana" w:hAnsi="Verdana" w:cs="Arial"/>
                <w:bCs/>
                <w:sz w:val="20"/>
                <w:szCs w:val="20"/>
              </w:rPr>
            </w:pPr>
            <w:r w:rsidRPr="00920145">
              <w:rPr>
                <w:rFonts w:ascii="Verdana" w:hAnsi="Verdana" w:cs="Arial"/>
                <w:bCs/>
                <w:sz w:val="20"/>
                <w:szCs w:val="20"/>
              </w:rPr>
              <w:t>Faza aukcji otwarcia (w tym określanie kursu jednolitego)</w:t>
            </w:r>
          </w:p>
        </w:tc>
      </w:tr>
      <w:tr w:rsidR="00E3761E" w:rsidRPr="00920145" w14:paraId="33C934EC" w14:textId="77777777" w:rsidTr="00995CBA">
        <w:trPr>
          <w:cantSplit/>
        </w:trPr>
        <w:tc>
          <w:tcPr>
            <w:tcW w:w="2343" w:type="dxa"/>
          </w:tcPr>
          <w:p w14:paraId="1B0DE3E0" w14:textId="0C5736DD" w:rsidR="00E3761E" w:rsidRPr="00920145" w:rsidRDefault="00E3761E" w:rsidP="00A23201">
            <w:pPr>
              <w:pStyle w:val="Tekstpodstawowy2"/>
              <w:spacing w:line="360" w:lineRule="auto"/>
              <w:rPr>
                <w:rFonts w:ascii="Verdana" w:hAnsi="Verdana" w:cs="Arial"/>
                <w:bCs/>
                <w:sz w:val="20"/>
                <w:szCs w:val="20"/>
              </w:rPr>
            </w:pPr>
            <w:r w:rsidRPr="00920145">
              <w:rPr>
                <w:rFonts w:ascii="Verdana" w:hAnsi="Verdana" w:cs="Arial"/>
                <w:bCs/>
                <w:sz w:val="20"/>
                <w:szCs w:val="20"/>
              </w:rPr>
              <w:t xml:space="preserve">godz. 15.00 – </w:t>
            </w:r>
            <w:r w:rsidR="006B2E32" w:rsidRPr="00920145">
              <w:rPr>
                <w:rFonts w:ascii="Verdana" w:hAnsi="Verdana" w:cs="Arial"/>
                <w:bCs/>
                <w:sz w:val="20"/>
                <w:szCs w:val="20"/>
              </w:rPr>
              <w:t>17.05</w:t>
            </w:r>
          </w:p>
        </w:tc>
        <w:tc>
          <w:tcPr>
            <w:tcW w:w="5595" w:type="dxa"/>
          </w:tcPr>
          <w:p w14:paraId="7EEBB69A" w14:textId="77777777" w:rsidR="00E3761E" w:rsidRPr="00920145" w:rsidRDefault="00E3761E" w:rsidP="000A208B">
            <w:pPr>
              <w:pStyle w:val="Tekstpodstawowy2"/>
              <w:spacing w:after="0" w:line="360" w:lineRule="auto"/>
              <w:ind w:left="350"/>
              <w:rPr>
                <w:rFonts w:ascii="Verdana" w:hAnsi="Verdana" w:cs="Arial"/>
                <w:bCs/>
                <w:sz w:val="20"/>
                <w:szCs w:val="20"/>
              </w:rPr>
            </w:pPr>
            <w:r w:rsidRPr="00920145">
              <w:rPr>
                <w:rFonts w:ascii="Verdana" w:hAnsi="Verdana" w:cs="Arial"/>
                <w:bCs/>
                <w:sz w:val="20"/>
                <w:szCs w:val="20"/>
              </w:rPr>
              <w:t xml:space="preserve">Faza dogrywki </w:t>
            </w:r>
          </w:p>
        </w:tc>
      </w:tr>
    </w:tbl>
    <w:p w14:paraId="420EF5B9" w14:textId="77777777" w:rsidR="00E3761E" w:rsidRPr="00920145" w:rsidRDefault="00E3761E" w:rsidP="00A23201">
      <w:pPr>
        <w:pStyle w:val="Tekstpodstawowywcity"/>
        <w:spacing w:line="360" w:lineRule="auto"/>
        <w:rPr>
          <w:rFonts w:ascii="Verdana" w:hAnsi="Verdana" w:cs="Arial"/>
          <w:bCs/>
          <w:sz w:val="20"/>
          <w:szCs w:val="20"/>
        </w:rPr>
      </w:pPr>
    </w:p>
    <w:p w14:paraId="52F593AC" w14:textId="77777777" w:rsidR="00E3761E" w:rsidRPr="00920145" w:rsidRDefault="00E3761E" w:rsidP="00A23201">
      <w:pPr>
        <w:pStyle w:val="Default"/>
        <w:spacing w:after="120" w:line="360" w:lineRule="auto"/>
        <w:ind w:left="709"/>
        <w:jc w:val="both"/>
        <w:rPr>
          <w:bCs/>
          <w:iCs/>
          <w:color w:val="auto"/>
          <w:sz w:val="20"/>
          <w:szCs w:val="20"/>
        </w:rPr>
      </w:pPr>
      <w:r w:rsidRPr="00920145">
        <w:rPr>
          <w:bCs/>
          <w:iCs/>
          <w:color w:val="auto"/>
          <w:sz w:val="20"/>
          <w:szCs w:val="20"/>
        </w:rPr>
        <w:t>7) notowania w systemie kursu jednolitego z jednokrotnym określaniem kursu jednolitego, z zastrzeżeniem ust. 7:</w:t>
      </w:r>
    </w:p>
    <w:p w14:paraId="322F02AE" w14:textId="77777777" w:rsidR="00E3761E" w:rsidRPr="00920145" w:rsidRDefault="00E3761E" w:rsidP="00F8716B">
      <w:pPr>
        <w:pStyle w:val="Default"/>
        <w:numPr>
          <w:ilvl w:val="0"/>
          <w:numId w:val="7"/>
        </w:numPr>
        <w:tabs>
          <w:tab w:val="left" w:pos="1134"/>
        </w:tabs>
        <w:spacing w:after="120" w:line="360" w:lineRule="auto"/>
        <w:ind w:left="709" w:firstLine="0"/>
        <w:jc w:val="both"/>
        <w:rPr>
          <w:bCs/>
          <w:iCs/>
          <w:color w:val="auto"/>
          <w:sz w:val="20"/>
          <w:szCs w:val="20"/>
        </w:rPr>
      </w:pPr>
      <w:r w:rsidRPr="00920145">
        <w:rPr>
          <w:bCs/>
          <w:iCs/>
          <w:color w:val="auto"/>
          <w:sz w:val="20"/>
          <w:szCs w:val="20"/>
        </w:rPr>
        <w:t>harmonogram w dniu sesyjnym określania kursu jednolitego (z możliwością składania, modyfikowania i anulowania zleceń maklerskich oraz zawierania transakcji giełdowych):</w:t>
      </w:r>
    </w:p>
    <w:tbl>
      <w:tblPr>
        <w:tblW w:w="779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3"/>
        <w:gridCol w:w="5453"/>
      </w:tblGrid>
      <w:tr w:rsidR="00E3761E" w:rsidRPr="00920145" w14:paraId="6B76A5C6" w14:textId="77777777" w:rsidTr="00FE171B">
        <w:trPr>
          <w:cantSplit/>
          <w:trHeight w:val="525"/>
        </w:trPr>
        <w:tc>
          <w:tcPr>
            <w:tcW w:w="2343" w:type="dxa"/>
          </w:tcPr>
          <w:p w14:paraId="45978595" w14:textId="77777777" w:rsidR="00E3761E" w:rsidRPr="00920145" w:rsidRDefault="00E3761E" w:rsidP="00A23201">
            <w:pPr>
              <w:pStyle w:val="Tekstpodstawowy2"/>
              <w:spacing w:line="360" w:lineRule="auto"/>
              <w:rPr>
                <w:rFonts w:ascii="Verdana" w:hAnsi="Verdana" w:cs="Arial"/>
                <w:bCs/>
                <w:sz w:val="20"/>
                <w:szCs w:val="20"/>
              </w:rPr>
            </w:pPr>
            <w:r w:rsidRPr="00920145">
              <w:rPr>
                <w:rFonts w:ascii="Verdana" w:hAnsi="Verdana" w:cs="Arial"/>
                <w:bCs/>
                <w:sz w:val="20"/>
                <w:szCs w:val="20"/>
              </w:rPr>
              <w:t xml:space="preserve">godz. 8.30 - 11.00                 </w:t>
            </w:r>
          </w:p>
        </w:tc>
        <w:tc>
          <w:tcPr>
            <w:tcW w:w="5453" w:type="dxa"/>
          </w:tcPr>
          <w:p w14:paraId="60EC7CA5" w14:textId="77777777" w:rsidR="00E3761E" w:rsidRPr="00920145" w:rsidRDefault="00E3761E" w:rsidP="000A208B">
            <w:pPr>
              <w:pStyle w:val="Tekstpodstawowy2"/>
              <w:spacing w:after="0" w:line="360" w:lineRule="auto"/>
              <w:ind w:left="301"/>
              <w:rPr>
                <w:rFonts w:ascii="Verdana" w:hAnsi="Verdana" w:cs="Arial"/>
                <w:bCs/>
                <w:sz w:val="20"/>
                <w:szCs w:val="20"/>
              </w:rPr>
            </w:pPr>
            <w:r w:rsidRPr="00920145">
              <w:rPr>
                <w:rFonts w:ascii="Verdana" w:hAnsi="Verdana" w:cs="Arial"/>
                <w:bCs/>
                <w:sz w:val="20"/>
                <w:szCs w:val="20"/>
              </w:rPr>
              <w:t>Faza aukcji otwarcia  (w tym określanie kursu jednolitego)</w:t>
            </w:r>
          </w:p>
        </w:tc>
      </w:tr>
      <w:tr w:rsidR="00E3761E" w:rsidRPr="00920145" w14:paraId="36096A78" w14:textId="77777777" w:rsidTr="00FE171B">
        <w:trPr>
          <w:cantSplit/>
          <w:trHeight w:val="505"/>
        </w:trPr>
        <w:tc>
          <w:tcPr>
            <w:tcW w:w="2343" w:type="dxa"/>
          </w:tcPr>
          <w:p w14:paraId="41C282FB" w14:textId="10C0FB69" w:rsidR="00E3761E" w:rsidRPr="00920145" w:rsidRDefault="00E3761E" w:rsidP="00A23201">
            <w:pPr>
              <w:pStyle w:val="Tekstpodstawowy2"/>
              <w:spacing w:line="360" w:lineRule="auto"/>
              <w:rPr>
                <w:rFonts w:ascii="Verdana" w:hAnsi="Verdana" w:cs="Arial"/>
                <w:bCs/>
                <w:sz w:val="20"/>
                <w:szCs w:val="20"/>
              </w:rPr>
            </w:pPr>
            <w:r w:rsidRPr="00920145">
              <w:rPr>
                <w:rFonts w:ascii="Verdana" w:hAnsi="Verdana" w:cs="Arial"/>
                <w:bCs/>
                <w:sz w:val="20"/>
                <w:szCs w:val="20"/>
              </w:rPr>
              <w:t>godz. 11.00 – 1</w:t>
            </w:r>
            <w:r w:rsidR="00912A8C" w:rsidRPr="00920145">
              <w:rPr>
                <w:rFonts w:ascii="Verdana" w:hAnsi="Verdana" w:cs="Arial"/>
                <w:bCs/>
                <w:sz w:val="20"/>
                <w:szCs w:val="20"/>
              </w:rPr>
              <w:t>7</w:t>
            </w:r>
            <w:r w:rsidRPr="00920145">
              <w:rPr>
                <w:rFonts w:ascii="Verdana" w:hAnsi="Verdana" w:cs="Arial"/>
                <w:bCs/>
                <w:sz w:val="20"/>
                <w:szCs w:val="20"/>
              </w:rPr>
              <w:t>.0</w:t>
            </w:r>
            <w:r w:rsidR="00912A8C" w:rsidRPr="00920145">
              <w:rPr>
                <w:rFonts w:ascii="Verdana" w:hAnsi="Verdana" w:cs="Arial"/>
                <w:bCs/>
                <w:sz w:val="20"/>
                <w:szCs w:val="20"/>
              </w:rPr>
              <w:t>5</w:t>
            </w:r>
          </w:p>
        </w:tc>
        <w:tc>
          <w:tcPr>
            <w:tcW w:w="5453" w:type="dxa"/>
          </w:tcPr>
          <w:p w14:paraId="5E27C04E" w14:textId="77777777" w:rsidR="00E3761E" w:rsidRPr="00920145" w:rsidRDefault="00E3761E" w:rsidP="000A208B">
            <w:pPr>
              <w:pStyle w:val="Tekstpodstawowy2"/>
              <w:spacing w:after="0" w:line="360" w:lineRule="auto"/>
              <w:ind w:left="301"/>
              <w:rPr>
                <w:rFonts w:ascii="Verdana" w:hAnsi="Verdana" w:cs="Arial"/>
                <w:bCs/>
                <w:sz w:val="20"/>
                <w:szCs w:val="20"/>
              </w:rPr>
            </w:pPr>
            <w:r w:rsidRPr="00920145">
              <w:rPr>
                <w:rFonts w:ascii="Verdana" w:hAnsi="Verdana" w:cs="Arial"/>
                <w:bCs/>
                <w:sz w:val="20"/>
                <w:szCs w:val="20"/>
              </w:rPr>
              <w:t xml:space="preserve">Faza dogrywki </w:t>
            </w:r>
          </w:p>
        </w:tc>
      </w:tr>
    </w:tbl>
    <w:p w14:paraId="37AC907A" w14:textId="77777777" w:rsidR="00E3761E" w:rsidRPr="00920145" w:rsidRDefault="00E3761E" w:rsidP="00A23201">
      <w:pPr>
        <w:pStyle w:val="Default"/>
        <w:spacing w:after="120" w:line="360" w:lineRule="auto"/>
        <w:ind w:left="709"/>
        <w:jc w:val="both"/>
        <w:rPr>
          <w:bCs/>
          <w:iCs/>
          <w:color w:val="auto"/>
          <w:sz w:val="20"/>
          <w:szCs w:val="20"/>
        </w:rPr>
      </w:pPr>
    </w:p>
    <w:p w14:paraId="722F5F46" w14:textId="77777777" w:rsidR="00E3761E" w:rsidRPr="00920145" w:rsidRDefault="00E3761E" w:rsidP="00F8716B">
      <w:pPr>
        <w:pStyle w:val="Default"/>
        <w:numPr>
          <w:ilvl w:val="0"/>
          <w:numId w:val="7"/>
        </w:numPr>
        <w:tabs>
          <w:tab w:val="left" w:pos="1134"/>
        </w:tabs>
        <w:spacing w:after="120" w:line="360" w:lineRule="auto"/>
        <w:ind w:left="709" w:firstLine="0"/>
        <w:jc w:val="both"/>
        <w:rPr>
          <w:bCs/>
          <w:iCs/>
          <w:color w:val="auto"/>
          <w:sz w:val="20"/>
          <w:szCs w:val="20"/>
        </w:rPr>
      </w:pPr>
      <w:r w:rsidRPr="00920145">
        <w:rPr>
          <w:bCs/>
          <w:iCs/>
          <w:color w:val="auto"/>
          <w:sz w:val="20"/>
          <w:szCs w:val="20"/>
        </w:rPr>
        <w:t>harmonogram w dniach sesyjnych bez określania kursu jednolitego (z możliwością składania, modyfikowania i anulowania zleceń maklerskich, jednak bez możliwości zawierania transakcji giełdowych):</w:t>
      </w:r>
    </w:p>
    <w:tbl>
      <w:tblPr>
        <w:tblW w:w="779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3"/>
        <w:gridCol w:w="5453"/>
      </w:tblGrid>
      <w:tr w:rsidR="00E3761E" w:rsidRPr="00920145" w14:paraId="66FC4B0B" w14:textId="77777777" w:rsidTr="00FE171B">
        <w:trPr>
          <w:cantSplit/>
          <w:trHeight w:val="262"/>
        </w:trPr>
        <w:tc>
          <w:tcPr>
            <w:tcW w:w="2343" w:type="dxa"/>
          </w:tcPr>
          <w:p w14:paraId="1E670129" w14:textId="77777777" w:rsidR="00E3761E" w:rsidRPr="00920145" w:rsidRDefault="00E3761E" w:rsidP="00A23201">
            <w:pPr>
              <w:pStyle w:val="Tekstpodstawowy2"/>
              <w:spacing w:line="360" w:lineRule="auto"/>
              <w:rPr>
                <w:rFonts w:ascii="Verdana" w:hAnsi="Verdana" w:cs="Arial"/>
                <w:bCs/>
                <w:sz w:val="20"/>
                <w:szCs w:val="20"/>
              </w:rPr>
            </w:pPr>
            <w:r w:rsidRPr="00920145">
              <w:rPr>
                <w:rFonts w:ascii="Verdana" w:hAnsi="Verdana" w:cs="Arial"/>
                <w:bCs/>
                <w:sz w:val="20"/>
                <w:szCs w:val="20"/>
              </w:rPr>
              <w:t xml:space="preserve">godz. 8.30 – 17.05 </w:t>
            </w:r>
          </w:p>
        </w:tc>
        <w:tc>
          <w:tcPr>
            <w:tcW w:w="5453" w:type="dxa"/>
          </w:tcPr>
          <w:p w14:paraId="70A437C4" w14:textId="77777777" w:rsidR="00E3761E" w:rsidRPr="00920145" w:rsidRDefault="00E3761E" w:rsidP="00A23201">
            <w:pPr>
              <w:pStyle w:val="Tekstpodstawowywcity"/>
              <w:spacing w:line="360" w:lineRule="auto"/>
              <w:ind w:left="301"/>
              <w:rPr>
                <w:rFonts w:ascii="Verdana" w:hAnsi="Verdana" w:cs="Arial"/>
                <w:bCs/>
                <w:sz w:val="20"/>
                <w:szCs w:val="20"/>
              </w:rPr>
            </w:pPr>
            <w:r w:rsidRPr="00920145">
              <w:rPr>
                <w:rFonts w:ascii="Verdana" w:hAnsi="Verdana" w:cs="Arial"/>
                <w:bCs/>
                <w:sz w:val="20"/>
                <w:szCs w:val="20"/>
              </w:rPr>
              <w:t xml:space="preserve">Faza przed otwarciem  </w:t>
            </w:r>
          </w:p>
        </w:tc>
      </w:tr>
    </w:tbl>
    <w:p w14:paraId="77D7D41D" w14:textId="47D17640" w:rsidR="00E3761E" w:rsidRPr="00920145" w:rsidRDefault="00E3761E" w:rsidP="00A23201">
      <w:pPr>
        <w:spacing w:after="120" w:line="360" w:lineRule="auto"/>
        <w:rPr>
          <w:rFonts w:ascii="Verdana" w:hAnsi="Verdana"/>
          <w:bCs/>
          <w:iCs/>
          <w:sz w:val="20"/>
          <w:szCs w:val="20"/>
        </w:rPr>
      </w:pPr>
    </w:p>
    <w:p w14:paraId="49B25B3A" w14:textId="16ABAB45" w:rsidR="00FE171B" w:rsidRPr="00920145" w:rsidRDefault="00FE171B" w:rsidP="00632842">
      <w:pPr>
        <w:pStyle w:val="Akapitzlist"/>
        <w:numPr>
          <w:ilvl w:val="0"/>
          <w:numId w:val="90"/>
        </w:numPr>
        <w:tabs>
          <w:tab w:val="clear" w:pos="1134"/>
          <w:tab w:val="num" w:pos="851"/>
        </w:tabs>
        <w:spacing w:after="120" w:line="360" w:lineRule="auto"/>
        <w:ind w:left="851" w:hanging="567"/>
        <w:rPr>
          <w:rFonts w:ascii="Verdana" w:hAnsi="Verdana"/>
          <w:bCs/>
          <w:iCs/>
          <w:sz w:val="20"/>
          <w:szCs w:val="20"/>
        </w:rPr>
      </w:pPr>
      <w:r w:rsidRPr="00920145">
        <w:rPr>
          <w:rFonts w:ascii="Verdana" w:hAnsi="Verdana"/>
          <w:bCs/>
          <w:iCs/>
          <w:sz w:val="20"/>
          <w:szCs w:val="20"/>
        </w:rPr>
        <w:t>ust. 2 otrzymuje brzmienie:</w:t>
      </w:r>
    </w:p>
    <w:p w14:paraId="1788E87F" w14:textId="147002DF" w:rsidR="00A838D9" w:rsidRPr="00920145" w:rsidRDefault="00FE171B" w:rsidP="00E15A92">
      <w:pPr>
        <w:tabs>
          <w:tab w:val="left" w:pos="851"/>
        </w:tabs>
        <w:spacing w:after="120" w:line="360" w:lineRule="auto"/>
        <w:ind w:left="851"/>
        <w:jc w:val="both"/>
        <w:rPr>
          <w:rFonts w:ascii="Verdana" w:hAnsi="Verdana" w:cs="Arial"/>
          <w:bCs/>
          <w:sz w:val="20"/>
          <w:szCs w:val="20"/>
        </w:rPr>
      </w:pPr>
      <w:r w:rsidRPr="00920145">
        <w:rPr>
          <w:rFonts w:ascii="Verdana" w:hAnsi="Verdana"/>
          <w:bCs/>
          <w:iCs/>
          <w:sz w:val="20"/>
          <w:szCs w:val="20"/>
        </w:rPr>
        <w:t xml:space="preserve">„2. </w:t>
      </w:r>
      <w:r w:rsidR="00E3761E" w:rsidRPr="00920145">
        <w:rPr>
          <w:rFonts w:ascii="Verdana" w:hAnsi="Verdana" w:cs="Arial"/>
          <w:bCs/>
          <w:sz w:val="20"/>
          <w:szCs w:val="20"/>
        </w:rPr>
        <w:t>Godziny określone w harmonogramie notowań określają najwcześniejszy możliwy moment rozpoczęcia lub zakończenia danej fazy notowań dla danego instrumentu finansowego, z uwzględnieniem parametru definiującego „Losowy czas otwarcia”, o ile jest on stosowany.</w:t>
      </w:r>
      <w:r w:rsidRPr="00920145">
        <w:rPr>
          <w:rFonts w:ascii="Verdana" w:hAnsi="Verdana" w:cs="Arial"/>
          <w:bCs/>
          <w:sz w:val="20"/>
          <w:szCs w:val="20"/>
        </w:rPr>
        <w:t>”;</w:t>
      </w:r>
    </w:p>
    <w:p w14:paraId="282ADA23" w14:textId="77777777" w:rsidR="00950E6C" w:rsidRPr="00920145" w:rsidRDefault="00950E6C" w:rsidP="00E15A92">
      <w:pPr>
        <w:tabs>
          <w:tab w:val="left" w:pos="851"/>
        </w:tabs>
        <w:spacing w:after="120" w:line="360" w:lineRule="auto"/>
        <w:ind w:left="851"/>
        <w:jc w:val="both"/>
        <w:rPr>
          <w:rFonts w:ascii="Verdana" w:hAnsi="Verdana" w:cs="Arial"/>
          <w:bCs/>
          <w:sz w:val="20"/>
          <w:szCs w:val="20"/>
        </w:rPr>
      </w:pPr>
    </w:p>
    <w:p w14:paraId="5F9118DD" w14:textId="54C00432" w:rsidR="00FE171B" w:rsidRPr="00920145" w:rsidRDefault="00FE171B" w:rsidP="00F8716B">
      <w:pPr>
        <w:pStyle w:val="Akapitzlist"/>
        <w:numPr>
          <w:ilvl w:val="0"/>
          <w:numId w:val="90"/>
        </w:numPr>
        <w:tabs>
          <w:tab w:val="left" w:pos="851"/>
        </w:tabs>
        <w:spacing w:after="120" w:line="360" w:lineRule="auto"/>
        <w:jc w:val="both"/>
        <w:rPr>
          <w:rFonts w:ascii="Verdana" w:hAnsi="Verdana" w:cs="Arial"/>
          <w:bCs/>
          <w:sz w:val="20"/>
          <w:szCs w:val="20"/>
        </w:rPr>
      </w:pPr>
      <w:r w:rsidRPr="00920145">
        <w:rPr>
          <w:rFonts w:ascii="Verdana" w:hAnsi="Verdana" w:cs="Arial"/>
          <w:bCs/>
          <w:sz w:val="20"/>
          <w:szCs w:val="20"/>
        </w:rPr>
        <w:lastRenderedPageBreak/>
        <w:t>po ust. 2 dodaje się ust. 2a, w brzmieniu:</w:t>
      </w:r>
    </w:p>
    <w:p w14:paraId="0C538973" w14:textId="47035A8D" w:rsidR="005661AD" w:rsidRPr="00920145" w:rsidRDefault="00FE171B" w:rsidP="00A23201">
      <w:pPr>
        <w:tabs>
          <w:tab w:val="left" w:pos="851"/>
        </w:tabs>
        <w:spacing w:after="240" w:line="360" w:lineRule="auto"/>
        <w:ind w:left="851"/>
        <w:jc w:val="both"/>
        <w:rPr>
          <w:rFonts w:ascii="Verdana" w:hAnsi="Verdana" w:cs="Arial"/>
          <w:bCs/>
          <w:sz w:val="20"/>
          <w:szCs w:val="20"/>
        </w:rPr>
      </w:pPr>
      <w:r w:rsidRPr="00920145">
        <w:rPr>
          <w:rFonts w:ascii="Verdana" w:hAnsi="Verdana" w:cs="Arial"/>
          <w:bCs/>
          <w:sz w:val="20"/>
          <w:szCs w:val="20"/>
        </w:rPr>
        <w:t>„</w:t>
      </w:r>
      <w:r w:rsidR="00E3761E" w:rsidRPr="00920145">
        <w:rPr>
          <w:rFonts w:ascii="Verdana" w:hAnsi="Verdana" w:cs="Arial"/>
          <w:bCs/>
          <w:sz w:val="20"/>
          <w:szCs w:val="20"/>
        </w:rPr>
        <w:t>2a. Parametr „Losowy czas otwarcia” umożliwia zdefiniowanie dodatkowego zakresu czasu określającego najwcześniejszy możliwy moment zakończenia fazy aukcji otwarcia/fazy aukcji zamknięcia, w stosunku do momentu określonego w danym harmonogramie, i określenia odpowiednio kursu otwarcia, kursu zamknięcia, kursu jednolitego</w:t>
      </w:r>
      <w:r w:rsidR="002811D5" w:rsidRPr="00920145">
        <w:rPr>
          <w:rFonts w:ascii="Verdana" w:hAnsi="Verdana" w:cs="Arial"/>
          <w:bCs/>
          <w:sz w:val="20"/>
          <w:szCs w:val="20"/>
        </w:rPr>
        <w:t>.</w:t>
      </w:r>
      <w:r w:rsidR="00C73408" w:rsidRPr="00920145">
        <w:rPr>
          <w:rFonts w:ascii="Verdana" w:hAnsi="Verdana" w:cs="Arial"/>
          <w:bCs/>
          <w:sz w:val="20"/>
          <w:szCs w:val="20"/>
        </w:rPr>
        <w:t xml:space="preserve"> </w:t>
      </w:r>
      <w:r w:rsidR="00E3761E" w:rsidRPr="00920145">
        <w:rPr>
          <w:rFonts w:ascii="Verdana" w:hAnsi="Verdana" w:cs="Arial"/>
          <w:bCs/>
          <w:sz w:val="20"/>
          <w:szCs w:val="20"/>
        </w:rPr>
        <w:t>Wartość tego parametru jest określana dla danego segmentu notowań odpowiednio w Rozdziale 8 lub 9.</w:t>
      </w:r>
      <w:r w:rsidR="005661AD" w:rsidRPr="00920145">
        <w:rPr>
          <w:rFonts w:ascii="Verdana" w:hAnsi="Verdana" w:cs="Arial"/>
          <w:bCs/>
          <w:sz w:val="20"/>
          <w:szCs w:val="20"/>
        </w:rPr>
        <w:t>”;</w:t>
      </w:r>
    </w:p>
    <w:p w14:paraId="27ACEC79" w14:textId="143A4BE8" w:rsidR="005661AD" w:rsidRPr="00920145" w:rsidRDefault="005661AD" w:rsidP="00F8716B">
      <w:pPr>
        <w:pStyle w:val="Akapitzlist"/>
        <w:numPr>
          <w:ilvl w:val="0"/>
          <w:numId w:val="90"/>
        </w:numPr>
        <w:tabs>
          <w:tab w:val="left" w:pos="851"/>
        </w:tabs>
        <w:spacing w:after="120" w:line="360" w:lineRule="auto"/>
        <w:jc w:val="both"/>
        <w:rPr>
          <w:rFonts w:ascii="Verdana" w:hAnsi="Verdana" w:cs="Arial"/>
          <w:bCs/>
          <w:sz w:val="20"/>
          <w:szCs w:val="20"/>
        </w:rPr>
      </w:pPr>
      <w:r w:rsidRPr="00920145">
        <w:rPr>
          <w:rFonts w:ascii="Verdana" w:hAnsi="Verdana" w:cs="Arial"/>
          <w:bCs/>
          <w:sz w:val="20"/>
          <w:szCs w:val="20"/>
        </w:rPr>
        <w:t>ust. 3 otrzymuje brzmienie:</w:t>
      </w:r>
    </w:p>
    <w:p w14:paraId="358BDF1C" w14:textId="4961E617" w:rsidR="00E3761E" w:rsidRPr="00920145" w:rsidRDefault="005661AD" w:rsidP="00E15A92">
      <w:pPr>
        <w:tabs>
          <w:tab w:val="left" w:pos="851"/>
        </w:tabs>
        <w:spacing w:after="120" w:line="360" w:lineRule="auto"/>
        <w:ind w:left="851"/>
        <w:jc w:val="both"/>
        <w:rPr>
          <w:rFonts w:ascii="Verdana" w:hAnsi="Verdana" w:cs="Arial"/>
          <w:bCs/>
          <w:sz w:val="20"/>
          <w:szCs w:val="20"/>
        </w:rPr>
      </w:pPr>
      <w:r w:rsidRPr="00920145">
        <w:rPr>
          <w:rFonts w:ascii="Verdana" w:hAnsi="Verdana" w:cs="Arial"/>
          <w:bCs/>
          <w:sz w:val="20"/>
          <w:szCs w:val="20"/>
        </w:rPr>
        <w:t xml:space="preserve">„3. </w:t>
      </w:r>
      <w:r w:rsidR="00E3761E" w:rsidRPr="00920145">
        <w:rPr>
          <w:rFonts w:ascii="Verdana" w:hAnsi="Verdana" w:cs="Arial"/>
          <w:bCs/>
          <w:sz w:val="20"/>
          <w:szCs w:val="20"/>
        </w:rPr>
        <w:t xml:space="preserve"> Jeżeli we wskazanym w harmonogramie terminie nie nastąpi rozpoczęcie danej fazy notowań dla danych instrumentów finansowych (instrumentów oznaczonych tym samym kodem ISIN) to instrumenty te pozostają w fazie poprzedniej.</w:t>
      </w:r>
      <w:r w:rsidRPr="00920145">
        <w:rPr>
          <w:rFonts w:ascii="Verdana" w:hAnsi="Verdana" w:cs="Arial"/>
          <w:bCs/>
          <w:sz w:val="20"/>
          <w:szCs w:val="20"/>
        </w:rPr>
        <w:t>”;</w:t>
      </w:r>
    </w:p>
    <w:p w14:paraId="13F49DB3" w14:textId="7206C53B" w:rsidR="005661AD" w:rsidRPr="00920145" w:rsidRDefault="005661AD" w:rsidP="00F8716B">
      <w:pPr>
        <w:pStyle w:val="Akapitzlist"/>
        <w:numPr>
          <w:ilvl w:val="0"/>
          <w:numId w:val="90"/>
        </w:numPr>
        <w:tabs>
          <w:tab w:val="left" w:pos="851"/>
        </w:tabs>
        <w:spacing w:after="120" w:line="360" w:lineRule="auto"/>
        <w:jc w:val="both"/>
        <w:rPr>
          <w:rFonts w:ascii="Verdana" w:hAnsi="Verdana" w:cs="Arial"/>
          <w:bCs/>
          <w:sz w:val="20"/>
          <w:szCs w:val="20"/>
        </w:rPr>
      </w:pPr>
      <w:r w:rsidRPr="00920145">
        <w:rPr>
          <w:rFonts w:ascii="Verdana" w:hAnsi="Verdana" w:cs="Arial"/>
          <w:bCs/>
          <w:sz w:val="20"/>
          <w:szCs w:val="20"/>
        </w:rPr>
        <w:t>w ust. 4 zdanie pierwsze otrzymuje brzmienie:</w:t>
      </w:r>
    </w:p>
    <w:p w14:paraId="23BBA2F5" w14:textId="6503960B" w:rsidR="00E3761E" w:rsidRPr="00920145" w:rsidRDefault="005661AD" w:rsidP="00E15A92">
      <w:pPr>
        <w:tabs>
          <w:tab w:val="left" w:pos="851"/>
        </w:tabs>
        <w:spacing w:after="120" w:line="360" w:lineRule="auto"/>
        <w:ind w:left="851"/>
        <w:jc w:val="both"/>
        <w:rPr>
          <w:rFonts w:ascii="Verdana" w:hAnsi="Verdana" w:cs="Arial"/>
          <w:bCs/>
          <w:sz w:val="20"/>
          <w:szCs w:val="20"/>
        </w:rPr>
      </w:pPr>
      <w:r w:rsidRPr="00920145">
        <w:rPr>
          <w:rFonts w:ascii="Verdana" w:hAnsi="Verdana" w:cs="Arial"/>
          <w:bCs/>
          <w:sz w:val="20"/>
          <w:szCs w:val="20"/>
        </w:rPr>
        <w:t>„</w:t>
      </w:r>
      <w:r w:rsidR="00E3761E" w:rsidRPr="00920145">
        <w:rPr>
          <w:rFonts w:ascii="Verdana" w:hAnsi="Verdana" w:cs="Arial"/>
          <w:bCs/>
          <w:sz w:val="20"/>
          <w:szCs w:val="20"/>
        </w:rPr>
        <w:t>Klasa instrumentów finansowych, zwana dalej „segmentem notowań” to grupa instrumentów finansowych o takich samych parametrach zawierania transakcji, określonych odpowiednio w Rozdziale 8 lub 9.</w:t>
      </w:r>
      <w:r w:rsidRPr="00920145">
        <w:rPr>
          <w:rFonts w:ascii="Verdana" w:hAnsi="Verdana" w:cs="Arial"/>
          <w:bCs/>
          <w:sz w:val="20"/>
          <w:szCs w:val="20"/>
        </w:rPr>
        <w:t>”;</w:t>
      </w:r>
    </w:p>
    <w:p w14:paraId="7C234C9B" w14:textId="6DEEA26D" w:rsidR="005661AD" w:rsidRPr="00920145" w:rsidRDefault="005661AD" w:rsidP="00F8716B">
      <w:pPr>
        <w:pStyle w:val="Akapitzlist"/>
        <w:numPr>
          <w:ilvl w:val="0"/>
          <w:numId w:val="90"/>
        </w:numPr>
        <w:tabs>
          <w:tab w:val="left" w:pos="851"/>
        </w:tabs>
        <w:spacing w:after="120" w:line="360" w:lineRule="auto"/>
        <w:jc w:val="both"/>
        <w:rPr>
          <w:rFonts w:ascii="Verdana" w:hAnsi="Verdana" w:cs="Arial"/>
          <w:bCs/>
          <w:sz w:val="20"/>
          <w:szCs w:val="20"/>
        </w:rPr>
      </w:pPr>
      <w:r w:rsidRPr="00920145">
        <w:rPr>
          <w:rFonts w:ascii="Verdana" w:hAnsi="Verdana" w:cs="Arial"/>
          <w:bCs/>
          <w:sz w:val="20"/>
          <w:szCs w:val="20"/>
        </w:rPr>
        <w:t>ust. 5 otrzymuje brzmienie:</w:t>
      </w:r>
    </w:p>
    <w:p w14:paraId="21C53A4E" w14:textId="11256054" w:rsidR="005661AD" w:rsidRPr="00920145" w:rsidRDefault="005661AD" w:rsidP="00A23201">
      <w:pPr>
        <w:tabs>
          <w:tab w:val="left" w:pos="851"/>
        </w:tabs>
        <w:spacing w:after="240" w:line="360" w:lineRule="auto"/>
        <w:ind w:left="851"/>
        <w:jc w:val="both"/>
        <w:rPr>
          <w:rFonts w:ascii="Verdana" w:hAnsi="Verdana" w:cs="Arial"/>
          <w:bCs/>
          <w:sz w:val="20"/>
          <w:szCs w:val="20"/>
        </w:rPr>
      </w:pPr>
      <w:r w:rsidRPr="00920145">
        <w:rPr>
          <w:rFonts w:ascii="Verdana" w:hAnsi="Verdana" w:cs="Arial"/>
          <w:bCs/>
          <w:sz w:val="20"/>
          <w:szCs w:val="20"/>
        </w:rPr>
        <w:t xml:space="preserve">„5. Giełda podaje do wiadomości </w:t>
      </w:r>
      <w:r w:rsidR="00AD6CE8" w:rsidRPr="00920145">
        <w:rPr>
          <w:rFonts w:ascii="Verdana" w:hAnsi="Verdana" w:cs="Arial"/>
          <w:bCs/>
          <w:sz w:val="20"/>
          <w:szCs w:val="20"/>
        </w:rPr>
        <w:t>uczestników obrotu</w:t>
      </w:r>
      <w:r w:rsidRPr="00920145">
        <w:rPr>
          <w:rFonts w:ascii="Verdana" w:hAnsi="Verdana" w:cs="Arial"/>
          <w:bCs/>
          <w:sz w:val="20"/>
          <w:szCs w:val="20"/>
        </w:rPr>
        <w:t xml:space="preserve"> skład poszczególnych segmentów notowań.”;</w:t>
      </w:r>
    </w:p>
    <w:p w14:paraId="6937EE7E" w14:textId="7A47398B" w:rsidR="005661AD" w:rsidRPr="00920145" w:rsidRDefault="00731267" w:rsidP="00F8716B">
      <w:pPr>
        <w:pStyle w:val="Akapitzlist"/>
        <w:numPr>
          <w:ilvl w:val="0"/>
          <w:numId w:val="4"/>
        </w:numPr>
        <w:spacing w:after="240" w:line="360" w:lineRule="auto"/>
        <w:ind w:left="709" w:hanging="425"/>
        <w:contextualSpacing w:val="0"/>
        <w:jc w:val="both"/>
        <w:rPr>
          <w:rFonts w:ascii="Verdana" w:hAnsi="Verdana" w:cs="Arial"/>
          <w:bCs/>
          <w:sz w:val="20"/>
          <w:szCs w:val="20"/>
        </w:rPr>
      </w:pPr>
      <w:r w:rsidRPr="00920145">
        <w:rPr>
          <w:rFonts w:ascii="Verdana" w:hAnsi="Verdana" w:cs="Arial"/>
          <w:bCs/>
          <w:sz w:val="20"/>
          <w:szCs w:val="20"/>
        </w:rPr>
        <w:t>w § 6 uchyla się ust. 5;</w:t>
      </w:r>
    </w:p>
    <w:p w14:paraId="19777386" w14:textId="02280B42" w:rsidR="00731267" w:rsidRPr="00920145" w:rsidRDefault="00731267" w:rsidP="00F8716B">
      <w:pPr>
        <w:pStyle w:val="Akapitzlist"/>
        <w:numPr>
          <w:ilvl w:val="0"/>
          <w:numId w:val="4"/>
        </w:numPr>
        <w:spacing w:after="120" w:line="360" w:lineRule="auto"/>
        <w:ind w:left="709" w:hanging="425"/>
        <w:contextualSpacing w:val="0"/>
        <w:jc w:val="both"/>
        <w:rPr>
          <w:rFonts w:ascii="Verdana" w:hAnsi="Verdana" w:cs="Arial"/>
          <w:bCs/>
          <w:sz w:val="20"/>
          <w:szCs w:val="20"/>
        </w:rPr>
      </w:pPr>
      <w:r w:rsidRPr="00920145">
        <w:rPr>
          <w:rFonts w:ascii="Verdana" w:hAnsi="Verdana" w:cs="Arial"/>
          <w:bCs/>
          <w:sz w:val="20"/>
          <w:szCs w:val="20"/>
        </w:rPr>
        <w:t>§ 7 otrzymuje brzmienie:</w:t>
      </w:r>
    </w:p>
    <w:p w14:paraId="55449DDF" w14:textId="0DB91DC7" w:rsidR="00731267" w:rsidRPr="00920145" w:rsidRDefault="00731267" w:rsidP="00A23201">
      <w:pPr>
        <w:pStyle w:val="Akapitzlist"/>
        <w:spacing w:after="120" w:line="360" w:lineRule="auto"/>
        <w:ind w:left="709"/>
        <w:contextualSpacing w:val="0"/>
        <w:jc w:val="both"/>
        <w:rPr>
          <w:rFonts w:ascii="Verdana" w:hAnsi="Verdana" w:cs="Arial"/>
          <w:bCs/>
          <w:sz w:val="20"/>
          <w:szCs w:val="20"/>
        </w:rPr>
      </w:pPr>
      <w:r w:rsidRPr="00920145">
        <w:rPr>
          <w:rFonts w:ascii="Verdana" w:hAnsi="Verdana" w:cs="Arial"/>
          <w:bCs/>
          <w:sz w:val="20"/>
          <w:szCs w:val="20"/>
        </w:rPr>
        <w:t>„§ 7</w:t>
      </w:r>
    </w:p>
    <w:p w14:paraId="599E4EB4" w14:textId="4ADA0DC8" w:rsidR="00731267" w:rsidRPr="00920145" w:rsidRDefault="00731267" w:rsidP="00A23201">
      <w:pPr>
        <w:spacing w:line="360" w:lineRule="auto"/>
        <w:ind w:firstLine="708"/>
        <w:rPr>
          <w:rFonts w:ascii="Verdana" w:hAnsi="Verdana"/>
          <w:b/>
          <w:sz w:val="20"/>
          <w:szCs w:val="20"/>
        </w:rPr>
      </w:pPr>
      <w:bookmarkStart w:id="2" w:name="_Toc290290085"/>
      <w:bookmarkStart w:id="3" w:name="_Toc290656030"/>
      <w:bookmarkStart w:id="4" w:name="_Toc290656185"/>
      <w:bookmarkStart w:id="5" w:name="_Toc291831001"/>
      <w:r w:rsidRPr="00920145">
        <w:rPr>
          <w:rFonts w:ascii="Verdana" w:hAnsi="Verdana"/>
          <w:b/>
          <w:sz w:val="20"/>
          <w:szCs w:val="20"/>
        </w:rPr>
        <w:t>Faza aukcji otwarcia</w:t>
      </w:r>
      <w:bookmarkEnd w:id="2"/>
      <w:bookmarkEnd w:id="3"/>
      <w:bookmarkEnd w:id="4"/>
      <w:bookmarkEnd w:id="5"/>
    </w:p>
    <w:p w14:paraId="293E3F69" w14:textId="55A6A7E8" w:rsidR="00731267" w:rsidRPr="00920145" w:rsidRDefault="00731267" w:rsidP="00F8716B">
      <w:pPr>
        <w:pStyle w:val="Akapitzlist"/>
        <w:numPr>
          <w:ilvl w:val="0"/>
          <w:numId w:val="10"/>
        </w:numPr>
        <w:tabs>
          <w:tab w:val="num" w:pos="709"/>
          <w:tab w:val="left" w:pos="993"/>
        </w:tabs>
        <w:spacing w:after="120" w:line="360" w:lineRule="auto"/>
        <w:ind w:left="709" w:firstLine="0"/>
        <w:contextualSpacing w:val="0"/>
        <w:jc w:val="both"/>
        <w:rPr>
          <w:rFonts w:ascii="Verdana" w:hAnsi="Verdana"/>
          <w:b/>
          <w:sz w:val="20"/>
          <w:szCs w:val="20"/>
        </w:rPr>
      </w:pPr>
      <w:r w:rsidRPr="00920145">
        <w:rPr>
          <w:rFonts w:ascii="Verdana" w:hAnsi="Verdana"/>
          <w:sz w:val="20"/>
          <w:szCs w:val="20"/>
        </w:rPr>
        <w:t xml:space="preserve">W fazie aukcji otwarcia </w:t>
      </w:r>
      <w:r w:rsidRPr="00920145">
        <w:rPr>
          <w:rFonts w:ascii="Verdana" w:hAnsi="Verdana" w:cs="Arial"/>
          <w:sz w:val="20"/>
          <w:szCs w:val="18"/>
        </w:rPr>
        <w:t xml:space="preserve">mogą być składane na giełdę </w:t>
      </w:r>
      <w:r w:rsidRPr="00920145">
        <w:rPr>
          <w:rFonts w:ascii="Verdana" w:hAnsi="Verdana"/>
          <w:sz w:val="20"/>
          <w:szCs w:val="20"/>
        </w:rPr>
        <w:t>nowe zlecenia maklerskie, jednak transakcje nie są zawierane do czasu określenia kursu jednolitego</w:t>
      </w:r>
      <w:r w:rsidRPr="00920145">
        <w:rPr>
          <w:rFonts w:ascii="Verdana" w:hAnsi="Verdana" w:cs="Arial"/>
          <w:sz w:val="20"/>
          <w:szCs w:val="18"/>
        </w:rPr>
        <w:t>.</w:t>
      </w:r>
      <w:r w:rsidRPr="00920145">
        <w:rPr>
          <w:rFonts w:ascii="Verdana" w:hAnsi="Verdana"/>
          <w:sz w:val="20"/>
          <w:szCs w:val="20"/>
        </w:rPr>
        <w:t xml:space="preserve"> </w:t>
      </w:r>
    </w:p>
    <w:p w14:paraId="541367D3" w14:textId="06BF2AEF" w:rsidR="00731267" w:rsidRPr="00920145" w:rsidRDefault="00731267" w:rsidP="00F8716B">
      <w:pPr>
        <w:pStyle w:val="Akapitzlist"/>
        <w:numPr>
          <w:ilvl w:val="0"/>
          <w:numId w:val="10"/>
        </w:numPr>
        <w:tabs>
          <w:tab w:val="num" w:pos="709"/>
          <w:tab w:val="left" w:pos="993"/>
        </w:tabs>
        <w:spacing w:after="120" w:line="360" w:lineRule="auto"/>
        <w:ind w:left="709" w:firstLine="0"/>
        <w:contextualSpacing w:val="0"/>
        <w:jc w:val="both"/>
        <w:rPr>
          <w:rFonts w:ascii="Verdana" w:hAnsi="Verdana"/>
          <w:b/>
          <w:sz w:val="20"/>
          <w:szCs w:val="20"/>
        </w:rPr>
      </w:pPr>
      <w:r w:rsidRPr="00920145">
        <w:rPr>
          <w:rFonts w:ascii="Verdana" w:hAnsi="Verdana"/>
          <w:sz w:val="20"/>
          <w:szCs w:val="20"/>
        </w:rPr>
        <w:t xml:space="preserve"> </w:t>
      </w:r>
      <w:r w:rsidRPr="00920145">
        <w:rPr>
          <w:rFonts w:ascii="Verdana" w:hAnsi="Verdana" w:cs="Arial"/>
          <w:sz w:val="20"/>
          <w:szCs w:val="18"/>
        </w:rPr>
        <w:t>Zlecenia istniejące w arkuszu zleceń mogą być w tej fazie modyfikowane oraz anulowane</w:t>
      </w:r>
      <w:r w:rsidRPr="00920145">
        <w:rPr>
          <w:rFonts w:ascii="Verdana" w:hAnsi="Verdana"/>
          <w:sz w:val="20"/>
          <w:szCs w:val="20"/>
        </w:rPr>
        <w:t xml:space="preserve">.    </w:t>
      </w:r>
    </w:p>
    <w:p w14:paraId="0782EAD7" w14:textId="319DF2DF" w:rsidR="00731267" w:rsidRPr="00920145" w:rsidRDefault="00731267" w:rsidP="00F8716B">
      <w:pPr>
        <w:pStyle w:val="Akapitzlist"/>
        <w:numPr>
          <w:ilvl w:val="0"/>
          <w:numId w:val="10"/>
        </w:numPr>
        <w:tabs>
          <w:tab w:val="num" w:pos="709"/>
          <w:tab w:val="left" w:pos="993"/>
        </w:tabs>
        <w:spacing w:after="120" w:line="360" w:lineRule="auto"/>
        <w:ind w:left="709" w:firstLine="0"/>
        <w:contextualSpacing w:val="0"/>
        <w:jc w:val="both"/>
        <w:rPr>
          <w:rFonts w:ascii="Verdana" w:hAnsi="Verdana"/>
          <w:b/>
          <w:sz w:val="20"/>
          <w:szCs w:val="20"/>
        </w:rPr>
      </w:pPr>
      <w:r w:rsidRPr="00920145">
        <w:rPr>
          <w:rFonts w:ascii="Verdana" w:hAnsi="Verdana" w:cs="Arial"/>
          <w:sz w:val="20"/>
          <w:szCs w:val="18"/>
        </w:rPr>
        <w:t>W tej fazie Giełda publikuje teoretyczny kurs otwarcia (TKO) oraz teoretyczny wolumen otwarcia (TWO), które są na bieżąco aktualizowane przy każdej zmianie w arkuszu zleceń wynikającej z przyjęcia, modyfikacji lub anulowania zlecenia.</w:t>
      </w:r>
    </w:p>
    <w:p w14:paraId="4477DDC5" w14:textId="4AD7F753" w:rsidR="00731267" w:rsidRPr="00920145" w:rsidRDefault="00731267" w:rsidP="00F8716B">
      <w:pPr>
        <w:pStyle w:val="Akapitzlist"/>
        <w:numPr>
          <w:ilvl w:val="0"/>
          <w:numId w:val="10"/>
        </w:numPr>
        <w:tabs>
          <w:tab w:val="num" w:pos="709"/>
          <w:tab w:val="left" w:pos="993"/>
        </w:tabs>
        <w:spacing w:after="120" w:line="360" w:lineRule="auto"/>
        <w:ind w:left="709" w:firstLine="0"/>
        <w:contextualSpacing w:val="0"/>
        <w:jc w:val="both"/>
        <w:rPr>
          <w:rFonts w:ascii="Verdana" w:hAnsi="Verdana"/>
          <w:b/>
          <w:sz w:val="20"/>
          <w:szCs w:val="20"/>
        </w:rPr>
      </w:pPr>
      <w:r w:rsidRPr="00920145">
        <w:rPr>
          <w:rFonts w:ascii="Verdana" w:hAnsi="Verdana" w:cs="Arial"/>
          <w:sz w:val="20"/>
          <w:szCs w:val="18"/>
        </w:rPr>
        <w:lastRenderedPageBreak/>
        <w:t xml:space="preserve">Teoretyczny kurs otwarcia (TKO) oraz teoretyczny wolumen otwarcia (TWO) określa się zgodnie z przepisami </w:t>
      </w:r>
      <w:bookmarkStart w:id="6" w:name="_Hlk171616548"/>
      <w:r w:rsidRPr="00920145">
        <w:rPr>
          <w:rFonts w:ascii="Verdana" w:hAnsi="Verdana" w:cs="Arial"/>
          <w:sz w:val="20"/>
          <w:szCs w:val="18"/>
        </w:rPr>
        <w:t>§ 145 ust. 1 i</w:t>
      </w:r>
      <w:r w:rsidR="007C310B" w:rsidRPr="00920145">
        <w:rPr>
          <w:rFonts w:ascii="Verdana" w:hAnsi="Verdana" w:cs="Arial"/>
          <w:sz w:val="20"/>
          <w:szCs w:val="18"/>
        </w:rPr>
        <w:t xml:space="preserve"> </w:t>
      </w:r>
      <w:r w:rsidRPr="00920145">
        <w:rPr>
          <w:rFonts w:ascii="Verdana" w:hAnsi="Verdana" w:cs="Arial"/>
          <w:sz w:val="20"/>
          <w:szCs w:val="18"/>
        </w:rPr>
        <w:t>2 oraz § 153 Regulaminu Giełdy</w:t>
      </w:r>
      <w:bookmarkEnd w:id="6"/>
      <w:r w:rsidRPr="00920145">
        <w:rPr>
          <w:rFonts w:ascii="Verdana" w:hAnsi="Verdana" w:cs="Arial"/>
          <w:sz w:val="20"/>
          <w:szCs w:val="18"/>
        </w:rPr>
        <w:t>, z zastrzeżeniem przepisów § 30 ust. 7 niniejszego Działu. Teoretyczny kurs otwarcia (TKO) określany jest z dokładnością równą krokowi notowania, z zastrzeżeniem że kurs ten nie może być niższy niż 0,01 jednostki waluty notowania.</w:t>
      </w:r>
    </w:p>
    <w:p w14:paraId="4583BA17" w14:textId="36F48E4B" w:rsidR="00731267" w:rsidRPr="00920145" w:rsidRDefault="00731267" w:rsidP="00F8716B">
      <w:pPr>
        <w:pStyle w:val="Akapitzlist"/>
        <w:numPr>
          <w:ilvl w:val="0"/>
          <w:numId w:val="10"/>
        </w:numPr>
        <w:tabs>
          <w:tab w:val="num" w:pos="709"/>
          <w:tab w:val="left" w:pos="993"/>
        </w:tabs>
        <w:spacing w:after="120" w:line="360" w:lineRule="auto"/>
        <w:ind w:left="709" w:firstLine="0"/>
        <w:contextualSpacing w:val="0"/>
        <w:jc w:val="both"/>
        <w:rPr>
          <w:rFonts w:ascii="Verdana" w:hAnsi="Verdana"/>
          <w:b/>
          <w:sz w:val="20"/>
          <w:szCs w:val="20"/>
        </w:rPr>
      </w:pPr>
      <w:r w:rsidRPr="00920145">
        <w:rPr>
          <w:rFonts w:ascii="Verdana" w:hAnsi="Verdana" w:cs="Arial"/>
          <w:sz w:val="20"/>
          <w:szCs w:val="18"/>
        </w:rPr>
        <w:t>Na zakończenie fazy aukcji otwarcia następuje określenie kursu jednolitego, realizacja zleceń i zawarcie transakcji.</w:t>
      </w:r>
    </w:p>
    <w:p w14:paraId="6986D0EE" w14:textId="0FFA79EE" w:rsidR="00731267" w:rsidRPr="00920145" w:rsidRDefault="00731267" w:rsidP="00F8716B">
      <w:pPr>
        <w:pStyle w:val="Akapitzlist"/>
        <w:numPr>
          <w:ilvl w:val="0"/>
          <w:numId w:val="10"/>
        </w:numPr>
        <w:tabs>
          <w:tab w:val="num" w:pos="709"/>
          <w:tab w:val="left" w:pos="993"/>
        </w:tabs>
        <w:spacing w:after="120" w:line="360" w:lineRule="auto"/>
        <w:ind w:left="709" w:firstLine="0"/>
        <w:contextualSpacing w:val="0"/>
        <w:jc w:val="both"/>
        <w:rPr>
          <w:rFonts w:ascii="Verdana" w:hAnsi="Verdana"/>
          <w:b/>
          <w:sz w:val="20"/>
          <w:szCs w:val="20"/>
        </w:rPr>
      </w:pPr>
      <w:r w:rsidRPr="00920145">
        <w:rPr>
          <w:rFonts w:ascii="Verdana" w:hAnsi="Verdana" w:cs="Arial"/>
          <w:sz w:val="20"/>
          <w:szCs w:val="18"/>
        </w:rPr>
        <w:t>Zlecenia spełniające warunki realizacji</w:t>
      </w:r>
      <w:r w:rsidRPr="00920145">
        <w:rPr>
          <w:rFonts w:ascii="Verdana" w:hAnsi="Verdana" w:cs="Arial"/>
          <w:b/>
          <w:sz w:val="20"/>
          <w:szCs w:val="18"/>
        </w:rPr>
        <w:t xml:space="preserve"> </w:t>
      </w:r>
      <w:r w:rsidRPr="00920145">
        <w:rPr>
          <w:rFonts w:ascii="Verdana" w:hAnsi="Verdana" w:cs="Arial"/>
          <w:sz w:val="20"/>
          <w:szCs w:val="18"/>
        </w:rPr>
        <w:t xml:space="preserve">są realizowane po cenie równej kursowi jednolitemu. </w:t>
      </w:r>
    </w:p>
    <w:p w14:paraId="740A2CB9" w14:textId="25CE17A2" w:rsidR="00731267" w:rsidRPr="00920145" w:rsidRDefault="00731267" w:rsidP="00F8716B">
      <w:pPr>
        <w:pStyle w:val="Akapitzlist"/>
        <w:numPr>
          <w:ilvl w:val="0"/>
          <w:numId w:val="10"/>
        </w:numPr>
        <w:tabs>
          <w:tab w:val="num" w:pos="709"/>
          <w:tab w:val="left" w:pos="993"/>
        </w:tabs>
        <w:spacing w:after="240" w:line="360" w:lineRule="auto"/>
        <w:ind w:left="709" w:firstLine="0"/>
        <w:contextualSpacing w:val="0"/>
        <w:jc w:val="both"/>
        <w:rPr>
          <w:rFonts w:ascii="Verdana" w:hAnsi="Verdana"/>
          <w:b/>
          <w:sz w:val="20"/>
          <w:szCs w:val="20"/>
        </w:rPr>
      </w:pPr>
      <w:r w:rsidRPr="00920145">
        <w:rPr>
          <w:rFonts w:ascii="Verdana" w:hAnsi="Verdana" w:cs="Arial"/>
          <w:sz w:val="20"/>
          <w:szCs w:val="18"/>
        </w:rPr>
        <w:t>W przypadku, gdy najwyższy limit ceny w zleceniu kupna jest niższy od najniższego limitu ceny w zleceniu sprzedaż</w:t>
      </w:r>
      <w:r w:rsidRPr="00920145">
        <w:rPr>
          <w:rFonts w:ascii="Verdana" w:hAnsi="Verdana" w:cs="Arial"/>
          <w:bCs/>
          <w:sz w:val="20"/>
          <w:szCs w:val="18"/>
        </w:rPr>
        <w:t>y</w:t>
      </w:r>
      <w:r w:rsidRPr="00920145">
        <w:rPr>
          <w:rFonts w:ascii="Verdana" w:hAnsi="Verdana"/>
          <w:bCs/>
          <w:sz w:val="20"/>
          <w:szCs w:val="20"/>
        </w:rPr>
        <w:t xml:space="preserve"> lub gdy występują wyłącznie zlecenia kupna lub wyłącznie zlecenia sprzedaży lub gdy występuje brak zlece</w:t>
      </w:r>
      <w:r w:rsidRPr="00920145">
        <w:rPr>
          <w:rFonts w:ascii="Verdana" w:hAnsi="Verdana" w:cs="Arial"/>
          <w:bCs/>
          <w:sz w:val="20"/>
          <w:szCs w:val="18"/>
        </w:rPr>
        <w:t>ń (rynek zleceń rozbieżnych)</w:t>
      </w:r>
      <w:r w:rsidRPr="00920145">
        <w:rPr>
          <w:rFonts w:ascii="Verdana" w:hAnsi="Verdana" w:cs="Arial"/>
          <w:sz w:val="20"/>
          <w:szCs w:val="18"/>
        </w:rPr>
        <w:t xml:space="preserve">, kurs jednolity nie jest określany.”;   </w:t>
      </w:r>
    </w:p>
    <w:p w14:paraId="11B81BF6" w14:textId="0AD8E272" w:rsidR="00731267" w:rsidRPr="00920145" w:rsidRDefault="00901A69" w:rsidP="00F8716B">
      <w:pPr>
        <w:pStyle w:val="Akapitzlist"/>
        <w:numPr>
          <w:ilvl w:val="0"/>
          <w:numId w:val="4"/>
        </w:numPr>
        <w:spacing w:after="120" w:line="360" w:lineRule="auto"/>
        <w:ind w:left="709" w:hanging="425"/>
        <w:contextualSpacing w:val="0"/>
        <w:jc w:val="both"/>
        <w:rPr>
          <w:rFonts w:ascii="Verdana" w:hAnsi="Verdana" w:cs="Arial"/>
          <w:bCs/>
          <w:sz w:val="20"/>
          <w:szCs w:val="20"/>
        </w:rPr>
      </w:pPr>
      <w:r w:rsidRPr="00920145">
        <w:rPr>
          <w:rFonts w:ascii="Verdana" w:hAnsi="Verdana" w:cs="Arial"/>
          <w:bCs/>
          <w:sz w:val="20"/>
          <w:szCs w:val="20"/>
        </w:rPr>
        <w:t>§ 8 otrzymuje brzmienie:</w:t>
      </w:r>
    </w:p>
    <w:p w14:paraId="3D73F420" w14:textId="78F03174" w:rsidR="00901A69" w:rsidRPr="00920145" w:rsidRDefault="00901A69" w:rsidP="00A23201">
      <w:pPr>
        <w:pStyle w:val="Akapitzlist"/>
        <w:spacing w:after="120" w:line="360" w:lineRule="auto"/>
        <w:ind w:left="709"/>
        <w:contextualSpacing w:val="0"/>
        <w:jc w:val="both"/>
        <w:rPr>
          <w:rFonts w:ascii="Verdana" w:hAnsi="Verdana" w:cs="Arial"/>
          <w:bCs/>
          <w:sz w:val="20"/>
          <w:szCs w:val="20"/>
        </w:rPr>
      </w:pPr>
      <w:r w:rsidRPr="00920145">
        <w:rPr>
          <w:rFonts w:ascii="Verdana" w:hAnsi="Verdana" w:cs="Arial"/>
          <w:bCs/>
          <w:sz w:val="20"/>
          <w:szCs w:val="20"/>
        </w:rPr>
        <w:t>„§ 8</w:t>
      </w:r>
    </w:p>
    <w:p w14:paraId="2F651116" w14:textId="77777777" w:rsidR="00901A69" w:rsidRPr="00920145" w:rsidRDefault="00901A69" w:rsidP="00A23201">
      <w:pPr>
        <w:spacing w:after="120" w:line="360" w:lineRule="auto"/>
        <w:ind w:firstLine="708"/>
        <w:rPr>
          <w:rFonts w:ascii="Verdana" w:hAnsi="Verdana"/>
          <w:b/>
          <w:sz w:val="20"/>
          <w:szCs w:val="20"/>
        </w:rPr>
      </w:pPr>
      <w:bookmarkStart w:id="7" w:name="_Toc290290086"/>
      <w:bookmarkStart w:id="8" w:name="_Toc290656031"/>
      <w:bookmarkStart w:id="9" w:name="_Toc290656186"/>
      <w:bookmarkStart w:id="10" w:name="_Toc291831002"/>
      <w:r w:rsidRPr="00920145">
        <w:rPr>
          <w:rFonts w:ascii="Verdana" w:hAnsi="Verdana"/>
          <w:b/>
          <w:sz w:val="20"/>
          <w:szCs w:val="20"/>
        </w:rPr>
        <w:t>Faza dogrywki</w:t>
      </w:r>
      <w:bookmarkEnd w:id="7"/>
      <w:bookmarkEnd w:id="8"/>
      <w:bookmarkEnd w:id="9"/>
      <w:bookmarkEnd w:id="10"/>
    </w:p>
    <w:p w14:paraId="534D34EF" w14:textId="77777777" w:rsidR="00901A69" w:rsidRPr="00920145" w:rsidRDefault="00901A69" w:rsidP="00F8716B">
      <w:pPr>
        <w:numPr>
          <w:ilvl w:val="0"/>
          <w:numId w:val="11"/>
        </w:numPr>
        <w:tabs>
          <w:tab w:val="clear" w:pos="360"/>
          <w:tab w:val="left" w:pos="426"/>
          <w:tab w:val="num" w:pos="993"/>
        </w:tabs>
        <w:spacing w:after="120" w:line="360" w:lineRule="auto"/>
        <w:ind w:left="709" w:firstLine="0"/>
        <w:jc w:val="both"/>
        <w:rPr>
          <w:rFonts w:ascii="Verdana" w:hAnsi="Verdana" w:cs="Arial"/>
          <w:sz w:val="20"/>
          <w:szCs w:val="18"/>
        </w:rPr>
      </w:pPr>
      <w:r w:rsidRPr="00920145">
        <w:rPr>
          <w:rFonts w:ascii="Verdana" w:hAnsi="Verdana" w:cs="Arial"/>
          <w:sz w:val="20"/>
          <w:szCs w:val="18"/>
        </w:rPr>
        <w:t xml:space="preserve">W systemie kursu jednolitego dogrywkę organizuje się dla wszystkich  instrumentów finansowych.   </w:t>
      </w:r>
    </w:p>
    <w:p w14:paraId="53F49AA7" w14:textId="7A46294F" w:rsidR="00901A69" w:rsidRPr="00920145" w:rsidRDefault="00901A69" w:rsidP="00F8716B">
      <w:pPr>
        <w:numPr>
          <w:ilvl w:val="0"/>
          <w:numId w:val="11"/>
        </w:numPr>
        <w:tabs>
          <w:tab w:val="left" w:pos="142"/>
          <w:tab w:val="left" w:pos="993"/>
        </w:tabs>
        <w:spacing w:after="120" w:line="360" w:lineRule="auto"/>
        <w:ind w:left="709" w:firstLine="0"/>
        <w:jc w:val="both"/>
        <w:rPr>
          <w:rFonts w:ascii="Verdana" w:hAnsi="Verdana" w:cs="Arial"/>
          <w:sz w:val="20"/>
          <w:szCs w:val="18"/>
        </w:rPr>
      </w:pPr>
      <w:r w:rsidRPr="00920145">
        <w:rPr>
          <w:rFonts w:ascii="Verdana" w:hAnsi="Verdana" w:cs="Arial"/>
          <w:sz w:val="20"/>
          <w:szCs w:val="18"/>
        </w:rPr>
        <w:t xml:space="preserve">W fazie dogrywki możliwe jest składanie zarówno zleceń z limitem ceny, jak i zleceń bez limitu ceny.   </w:t>
      </w:r>
    </w:p>
    <w:p w14:paraId="69DDCCBC" w14:textId="4E1FBE60" w:rsidR="00901A69" w:rsidRPr="00920145" w:rsidRDefault="00901A69" w:rsidP="00F8716B">
      <w:pPr>
        <w:numPr>
          <w:ilvl w:val="0"/>
          <w:numId w:val="11"/>
        </w:numPr>
        <w:tabs>
          <w:tab w:val="left" w:pos="142"/>
          <w:tab w:val="left" w:pos="993"/>
        </w:tabs>
        <w:spacing w:after="120" w:line="360" w:lineRule="auto"/>
        <w:ind w:left="709" w:firstLine="0"/>
        <w:jc w:val="both"/>
        <w:rPr>
          <w:rFonts w:ascii="Verdana" w:hAnsi="Verdana" w:cs="Arial"/>
          <w:sz w:val="20"/>
          <w:szCs w:val="18"/>
        </w:rPr>
      </w:pPr>
      <w:r w:rsidRPr="00920145">
        <w:rPr>
          <w:rFonts w:ascii="Verdana" w:hAnsi="Verdana" w:cs="Arial"/>
          <w:sz w:val="20"/>
          <w:szCs w:val="18"/>
        </w:rPr>
        <w:t xml:space="preserve">W fazie dogrywki można anulować i modyfikować wcześniej złożone zlecenia maklerskie. </w:t>
      </w:r>
    </w:p>
    <w:p w14:paraId="7D0440DA" w14:textId="186320D4" w:rsidR="00901A69" w:rsidRPr="00920145" w:rsidRDefault="00901A69" w:rsidP="00F8716B">
      <w:pPr>
        <w:numPr>
          <w:ilvl w:val="0"/>
          <w:numId w:val="11"/>
        </w:numPr>
        <w:tabs>
          <w:tab w:val="left" w:pos="142"/>
          <w:tab w:val="left" w:pos="993"/>
        </w:tabs>
        <w:spacing w:after="240" w:line="360" w:lineRule="auto"/>
        <w:ind w:left="709" w:firstLine="0"/>
        <w:jc w:val="both"/>
        <w:rPr>
          <w:rFonts w:ascii="Verdana" w:hAnsi="Verdana" w:cs="Arial"/>
          <w:sz w:val="20"/>
          <w:szCs w:val="18"/>
        </w:rPr>
      </w:pPr>
      <w:r w:rsidRPr="00920145">
        <w:rPr>
          <w:rFonts w:ascii="Verdana" w:hAnsi="Verdana" w:cs="Arial"/>
          <w:sz w:val="20"/>
          <w:szCs w:val="18"/>
        </w:rPr>
        <w:t>W fazie dogrywki transakcje zawierane są po cenie równej ostatniemu kursowi jednolitemu.</w:t>
      </w:r>
      <w:r w:rsidR="00DA18E3" w:rsidRPr="00920145">
        <w:rPr>
          <w:rFonts w:ascii="Verdana" w:hAnsi="Verdana" w:cs="Arial"/>
          <w:sz w:val="20"/>
          <w:szCs w:val="18"/>
        </w:rPr>
        <w:t>”;</w:t>
      </w:r>
    </w:p>
    <w:p w14:paraId="31A63A82" w14:textId="2BBB0281" w:rsidR="00950E6C" w:rsidRPr="00920145" w:rsidRDefault="00B566C4" w:rsidP="00F8716B">
      <w:pPr>
        <w:pStyle w:val="Akapitzlist"/>
        <w:numPr>
          <w:ilvl w:val="0"/>
          <w:numId w:val="4"/>
        </w:numPr>
        <w:spacing w:after="240" w:line="360" w:lineRule="auto"/>
        <w:ind w:left="709" w:hanging="425"/>
        <w:contextualSpacing w:val="0"/>
        <w:jc w:val="both"/>
        <w:rPr>
          <w:rFonts w:ascii="Verdana" w:hAnsi="Verdana" w:cs="Arial"/>
          <w:bCs/>
          <w:sz w:val="20"/>
          <w:szCs w:val="20"/>
        </w:rPr>
      </w:pPr>
      <w:r w:rsidRPr="00920145">
        <w:rPr>
          <w:rFonts w:ascii="Verdana" w:hAnsi="Verdana" w:cs="Arial"/>
          <w:bCs/>
          <w:sz w:val="20"/>
          <w:szCs w:val="20"/>
        </w:rPr>
        <w:t>uchyla się</w:t>
      </w:r>
      <w:r w:rsidR="00045F61" w:rsidRPr="00920145">
        <w:rPr>
          <w:rFonts w:ascii="Verdana" w:hAnsi="Verdana" w:cs="Arial"/>
          <w:bCs/>
          <w:sz w:val="20"/>
          <w:szCs w:val="20"/>
        </w:rPr>
        <w:t xml:space="preserve"> § 9</w:t>
      </w:r>
      <w:r w:rsidR="007F545D" w:rsidRPr="00920145">
        <w:rPr>
          <w:rFonts w:ascii="Verdana" w:hAnsi="Verdana" w:cs="Arial"/>
          <w:bCs/>
          <w:sz w:val="20"/>
          <w:szCs w:val="20"/>
        </w:rPr>
        <w:t>;</w:t>
      </w:r>
    </w:p>
    <w:p w14:paraId="405BDA04" w14:textId="77777777" w:rsidR="00950E6C" w:rsidRPr="00920145" w:rsidRDefault="00950E6C">
      <w:pPr>
        <w:spacing w:after="0" w:line="240" w:lineRule="auto"/>
        <w:rPr>
          <w:rFonts w:ascii="Verdana" w:hAnsi="Verdana" w:cs="Arial"/>
          <w:bCs/>
          <w:sz w:val="20"/>
          <w:szCs w:val="20"/>
        </w:rPr>
      </w:pPr>
      <w:r w:rsidRPr="00920145">
        <w:rPr>
          <w:rFonts w:ascii="Verdana" w:hAnsi="Verdana" w:cs="Arial"/>
          <w:bCs/>
          <w:sz w:val="20"/>
          <w:szCs w:val="20"/>
        </w:rPr>
        <w:br w:type="page"/>
      </w:r>
    </w:p>
    <w:p w14:paraId="686D905C" w14:textId="7C8C81B8" w:rsidR="007F545D" w:rsidRPr="00920145" w:rsidRDefault="007F545D" w:rsidP="00F8716B">
      <w:pPr>
        <w:pStyle w:val="Akapitzlist"/>
        <w:numPr>
          <w:ilvl w:val="0"/>
          <w:numId w:val="4"/>
        </w:numPr>
        <w:spacing w:after="120" w:line="360" w:lineRule="auto"/>
        <w:ind w:left="709" w:hanging="425"/>
        <w:contextualSpacing w:val="0"/>
        <w:jc w:val="both"/>
        <w:rPr>
          <w:rFonts w:ascii="Verdana" w:hAnsi="Verdana" w:cs="Arial"/>
          <w:bCs/>
          <w:sz w:val="20"/>
          <w:szCs w:val="20"/>
        </w:rPr>
      </w:pPr>
      <w:r w:rsidRPr="00920145">
        <w:rPr>
          <w:rFonts w:ascii="Verdana" w:hAnsi="Verdana" w:cs="Arial"/>
          <w:bCs/>
          <w:sz w:val="20"/>
          <w:szCs w:val="20"/>
        </w:rPr>
        <w:lastRenderedPageBreak/>
        <w:t>§ 10 otrzymuje brzmienie:</w:t>
      </w:r>
    </w:p>
    <w:p w14:paraId="355968DB" w14:textId="0239DC62" w:rsidR="007F545D" w:rsidRPr="00920145" w:rsidRDefault="007F545D" w:rsidP="00A23201">
      <w:pPr>
        <w:pStyle w:val="Akapitzlist"/>
        <w:spacing w:after="120" w:line="360" w:lineRule="auto"/>
        <w:ind w:left="709"/>
        <w:contextualSpacing w:val="0"/>
        <w:jc w:val="both"/>
        <w:rPr>
          <w:rFonts w:ascii="Verdana" w:hAnsi="Verdana" w:cs="Arial"/>
          <w:bCs/>
          <w:sz w:val="20"/>
          <w:szCs w:val="20"/>
        </w:rPr>
      </w:pPr>
      <w:r w:rsidRPr="00920145">
        <w:rPr>
          <w:rFonts w:ascii="Verdana" w:hAnsi="Verdana" w:cs="Arial"/>
          <w:bCs/>
          <w:sz w:val="20"/>
          <w:szCs w:val="20"/>
        </w:rPr>
        <w:t>„§ 10</w:t>
      </w:r>
    </w:p>
    <w:p w14:paraId="49796AD5" w14:textId="77777777" w:rsidR="007F545D" w:rsidRPr="00920145" w:rsidRDefault="007F545D" w:rsidP="00A23201">
      <w:pPr>
        <w:spacing w:line="360" w:lineRule="auto"/>
        <w:ind w:firstLine="708"/>
        <w:rPr>
          <w:rFonts w:ascii="Verdana" w:hAnsi="Verdana"/>
          <w:b/>
          <w:sz w:val="20"/>
          <w:szCs w:val="20"/>
        </w:rPr>
      </w:pPr>
      <w:r w:rsidRPr="00920145">
        <w:rPr>
          <w:rFonts w:ascii="Verdana" w:hAnsi="Verdana"/>
          <w:b/>
          <w:sz w:val="20"/>
          <w:szCs w:val="20"/>
        </w:rPr>
        <w:t xml:space="preserve">Faza aukcji otwarcia/faza aukcji zamknięcia </w:t>
      </w:r>
    </w:p>
    <w:p w14:paraId="22402CDE" w14:textId="77777777" w:rsidR="007F545D" w:rsidRPr="00920145" w:rsidRDefault="007F545D" w:rsidP="00F8716B">
      <w:pPr>
        <w:numPr>
          <w:ilvl w:val="0"/>
          <w:numId w:val="12"/>
        </w:numPr>
        <w:tabs>
          <w:tab w:val="left" w:pos="142"/>
          <w:tab w:val="num" w:pos="993"/>
        </w:tabs>
        <w:spacing w:after="120" w:line="360" w:lineRule="auto"/>
        <w:ind w:left="709" w:firstLine="0"/>
        <w:jc w:val="both"/>
        <w:rPr>
          <w:rFonts w:ascii="Verdana" w:hAnsi="Verdana" w:cs="Arial"/>
          <w:sz w:val="20"/>
          <w:szCs w:val="18"/>
        </w:rPr>
      </w:pPr>
      <w:r w:rsidRPr="00920145">
        <w:rPr>
          <w:rFonts w:ascii="Verdana" w:hAnsi="Verdana" w:cs="Arial"/>
          <w:sz w:val="20"/>
          <w:szCs w:val="18"/>
        </w:rPr>
        <w:t xml:space="preserve">W fazie aukcji otwarcia/aukcji zamknięcia mogą być składane na giełdę nowe zlecenia maklerskie, </w:t>
      </w:r>
      <w:r w:rsidRPr="00920145">
        <w:rPr>
          <w:rFonts w:ascii="Verdana" w:hAnsi="Verdana"/>
          <w:sz w:val="20"/>
          <w:szCs w:val="20"/>
        </w:rPr>
        <w:t>jednak transakcje nie są zawierane do czasu określenia odpowiednio kursu otwarcia/kursu zamknięcia</w:t>
      </w:r>
      <w:r w:rsidRPr="00920145">
        <w:rPr>
          <w:rFonts w:ascii="Verdana" w:hAnsi="Verdana" w:cs="Arial"/>
          <w:sz w:val="20"/>
          <w:szCs w:val="18"/>
        </w:rPr>
        <w:t xml:space="preserve">.   </w:t>
      </w:r>
    </w:p>
    <w:p w14:paraId="13060330" w14:textId="3D234F13" w:rsidR="007F545D" w:rsidRPr="00920145" w:rsidRDefault="007F545D" w:rsidP="00F8716B">
      <w:pPr>
        <w:numPr>
          <w:ilvl w:val="0"/>
          <w:numId w:val="12"/>
        </w:numPr>
        <w:tabs>
          <w:tab w:val="left" w:pos="142"/>
          <w:tab w:val="num" w:pos="993"/>
        </w:tabs>
        <w:spacing w:after="120" w:line="360" w:lineRule="auto"/>
        <w:ind w:left="709" w:firstLine="0"/>
        <w:jc w:val="both"/>
        <w:rPr>
          <w:rFonts w:ascii="Verdana" w:hAnsi="Verdana" w:cs="Arial"/>
          <w:sz w:val="20"/>
          <w:szCs w:val="18"/>
        </w:rPr>
      </w:pPr>
      <w:r w:rsidRPr="00920145">
        <w:rPr>
          <w:rFonts w:ascii="Verdana" w:hAnsi="Verdana" w:cs="Arial"/>
          <w:sz w:val="20"/>
          <w:szCs w:val="18"/>
        </w:rPr>
        <w:t xml:space="preserve">Zlecenia istniejące w arkuszu zleceń mogą być w tej fazie modyfikowane </w:t>
      </w:r>
      <w:r w:rsidR="0046526F" w:rsidRPr="00920145">
        <w:rPr>
          <w:rFonts w:ascii="Verdana" w:hAnsi="Verdana" w:cs="Arial"/>
          <w:sz w:val="20"/>
          <w:szCs w:val="18"/>
        </w:rPr>
        <w:br/>
        <w:t xml:space="preserve">i </w:t>
      </w:r>
      <w:r w:rsidRPr="00920145">
        <w:rPr>
          <w:rFonts w:ascii="Verdana" w:hAnsi="Verdana" w:cs="Arial"/>
          <w:sz w:val="20"/>
          <w:szCs w:val="18"/>
        </w:rPr>
        <w:t xml:space="preserve">anulowane. </w:t>
      </w:r>
    </w:p>
    <w:p w14:paraId="68B5074D" w14:textId="7E9934F1" w:rsidR="007F545D" w:rsidRPr="00920145" w:rsidRDefault="007F545D" w:rsidP="00F8716B">
      <w:pPr>
        <w:numPr>
          <w:ilvl w:val="0"/>
          <w:numId w:val="12"/>
        </w:numPr>
        <w:tabs>
          <w:tab w:val="left" w:pos="142"/>
          <w:tab w:val="num" w:pos="993"/>
        </w:tabs>
        <w:spacing w:after="120" w:line="360" w:lineRule="auto"/>
        <w:ind w:left="709" w:firstLine="0"/>
        <w:jc w:val="both"/>
        <w:rPr>
          <w:rFonts w:ascii="Verdana" w:hAnsi="Verdana" w:cs="Arial"/>
          <w:sz w:val="20"/>
          <w:szCs w:val="18"/>
        </w:rPr>
      </w:pPr>
      <w:r w:rsidRPr="00920145">
        <w:rPr>
          <w:rFonts w:ascii="Verdana" w:hAnsi="Verdana" w:cs="Arial"/>
          <w:sz w:val="20"/>
          <w:szCs w:val="18"/>
        </w:rPr>
        <w:t xml:space="preserve">W tej fazie Giełda publikuje teoretyczny kurs otwarcia (TKO) oraz teoretyczny wolumen otwarcia (TWO), które są na bieżąco aktualizowane przy każdej zmianie w arkuszu zleceń wynikającej z przyjęcia, modyfikacji lub anulowania zlecenia. </w:t>
      </w:r>
    </w:p>
    <w:p w14:paraId="03E5FE07" w14:textId="62D3E0C9" w:rsidR="007F545D" w:rsidRPr="00920145" w:rsidRDefault="007F545D" w:rsidP="00F8716B">
      <w:pPr>
        <w:numPr>
          <w:ilvl w:val="0"/>
          <w:numId w:val="12"/>
        </w:numPr>
        <w:tabs>
          <w:tab w:val="left" w:pos="142"/>
          <w:tab w:val="num" w:pos="993"/>
        </w:tabs>
        <w:spacing w:after="120" w:line="360" w:lineRule="auto"/>
        <w:ind w:left="709" w:firstLine="0"/>
        <w:jc w:val="both"/>
        <w:rPr>
          <w:rFonts w:ascii="Verdana" w:hAnsi="Verdana" w:cs="Arial"/>
          <w:sz w:val="20"/>
          <w:szCs w:val="18"/>
        </w:rPr>
      </w:pPr>
      <w:r w:rsidRPr="00920145">
        <w:rPr>
          <w:rFonts w:ascii="Verdana" w:hAnsi="Verdana" w:cs="Arial"/>
          <w:sz w:val="20"/>
          <w:szCs w:val="18"/>
        </w:rPr>
        <w:t>Teoretyczny kurs otwarcia (TKO) oraz teoretyczny wolumen otwarcia (TWO) określa się zgodnie z przepisami § 134 ust. 1 i 2</w:t>
      </w:r>
      <w:r w:rsidRPr="00920145">
        <w:rPr>
          <w:rFonts w:ascii="Verdana" w:hAnsi="Verdana"/>
          <w:b/>
          <w:bCs/>
          <w:color w:val="FF0000"/>
          <w:sz w:val="20"/>
          <w:szCs w:val="20"/>
        </w:rPr>
        <w:t xml:space="preserve"> </w:t>
      </w:r>
      <w:r w:rsidRPr="00920145">
        <w:rPr>
          <w:rFonts w:ascii="Verdana" w:hAnsi="Verdana" w:cs="Arial"/>
          <w:sz w:val="20"/>
          <w:szCs w:val="18"/>
        </w:rPr>
        <w:t xml:space="preserve">oraz § 143 Regulaminu Giełdy, z zastrzeżeniem przepisów § 30 ust. 7 niniejszego Działu. Teoretyczny kurs otwarcia (TKO) </w:t>
      </w:r>
      <w:r w:rsidRPr="00920145">
        <w:rPr>
          <w:rFonts w:ascii="Verdana" w:hAnsi="Verdana"/>
          <w:sz w:val="20"/>
          <w:szCs w:val="20"/>
        </w:rPr>
        <w:t xml:space="preserve">określany jest z dokładnością równą krokowi notowania, z zastrzeżeniem że kurs ten nie może być niższy niż 0,01 jednostki waluty notowania. </w:t>
      </w:r>
    </w:p>
    <w:p w14:paraId="294EF8FC" w14:textId="77777777" w:rsidR="007F545D" w:rsidRPr="00920145" w:rsidRDefault="007F545D" w:rsidP="00F8716B">
      <w:pPr>
        <w:numPr>
          <w:ilvl w:val="0"/>
          <w:numId w:val="12"/>
        </w:numPr>
        <w:tabs>
          <w:tab w:val="left" w:pos="142"/>
          <w:tab w:val="num" w:pos="709"/>
          <w:tab w:val="left" w:pos="993"/>
        </w:tabs>
        <w:spacing w:after="120" w:line="360" w:lineRule="auto"/>
        <w:ind w:left="709" w:firstLine="0"/>
        <w:jc w:val="both"/>
        <w:rPr>
          <w:rFonts w:ascii="Verdana" w:hAnsi="Verdana" w:cs="Arial"/>
          <w:sz w:val="20"/>
          <w:szCs w:val="18"/>
        </w:rPr>
      </w:pPr>
      <w:r w:rsidRPr="00920145">
        <w:rPr>
          <w:rFonts w:ascii="Verdana" w:hAnsi="Verdana" w:cs="Arial"/>
          <w:sz w:val="20"/>
          <w:szCs w:val="18"/>
        </w:rPr>
        <w:t>Na zakończenie fazy aukcji otwarcia/fazy aukcji zamknięcia następuje określenie odpowiednio kursu otwarcia/kursu zamknięcia, realizacja zleceń i zawarcie transakcji.</w:t>
      </w:r>
    </w:p>
    <w:p w14:paraId="55B295FD" w14:textId="77777777" w:rsidR="007F545D" w:rsidRPr="00920145" w:rsidRDefault="007F545D" w:rsidP="00F8716B">
      <w:pPr>
        <w:numPr>
          <w:ilvl w:val="0"/>
          <w:numId w:val="12"/>
        </w:numPr>
        <w:tabs>
          <w:tab w:val="left" w:pos="142"/>
          <w:tab w:val="num" w:pos="709"/>
          <w:tab w:val="left" w:pos="993"/>
        </w:tabs>
        <w:spacing w:after="120" w:line="360" w:lineRule="auto"/>
        <w:ind w:left="709" w:firstLine="0"/>
        <w:jc w:val="both"/>
        <w:rPr>
          <w:rFonts w:ascii="Verdana" w:hAnsi="Verdana" w:cs="Arial"/>
          <w:sz w:val="20"/>
          <w:szCs w:val="18"/>
        </w:rPr>
      </w:pPr>
      <w:r w:rsidRPr="00920145">
        <w:rPr>
          <w:rFonts w:ascii="Verdana" w:hAnsi="Verdana" w:cs="Arial"/>
          <w:sz w:val="20"/>
          <w:szCs w:val="18"/>
        </w:rPr>
        <w:t>Zlecenia maklerskie spełniające warunki realizacji</w:t>
      </w:r>
      <w:r w:rsidRPr="00920145">
        <w:rPr>
          <w:rFonts w:ascii="Verdana" w:hAnsi="Verdana" w:cs="Arial"/>
          <w:b/>
          <w:sz w:val="20"/>
          <w:szCs w:val="18"/>
        </w:rPr>
        <w:t xml:space="preserve"> </w:t>
      </w:r>
      <w:r w:rsidRPr="00920145">
        <w:rPr>
          <w:rFonts w:ascii="Verdana" w:hAnsi="Verdana" w:cs="Arial"/>
          <w:sz w:val="20"/>
          <w:szCs w:val="18"/>
        </w:rPr>
        <w:t xml:space="preserve">są realizowane po cenie równej odpowiednio kursowi otwarcia/kursowi zamknięcia.   </w:t>
      </w:r>
    </w:p>
    <w:p w14:paraId="3F30FED3" w14:textId="77777777" w:rsidR="007F545D" w:rsidRPr="00920145" w:rsidRDefault="007F545D" w:rsidP="00F8716B">
      <w:pPr>
        <w:numPr>
          <w:ilvl w:val="0"/>
          <w:numId w:val="12"/>
        </w:numPr>
        <w:tabs>
          <w:tab w:val="left" w:pos="142"/>
          <w:tab w:val="num" w:pos="709"/>
          <w:tab w:val="left" w:pos="993"/>
        </w:tabs>
        <w:spacing w:after="120" w:line="360" w:lineRule="auto"/>
        <w:ind w:left="709" w:firstLine="0"/>
        <w:jc w:val="both"/>
        <w:rPr>
          <w:rFonts w:ascii="Verdana" w:hAnsi="Verdana" w:cs="Arial"/>
          <w:sz w:val="20"/>
          <w:szCs w:val="18"/>
        </w:rPr>
      </w:pPr>
      <w:r w:rsidRPr="00920145">
        <w:rPr>
          <w:rFonts w:ascii="Verdana" w:hAnsi="Verdana" w:cs="Arial"/>
          <w:sz w:val="20"/>
          <w:szCs w:val="18"/>
        </w:rPr>
        <w:t xml:space="preserve">W przypadku, gdy najwyższy limit w zleceniu kupna jest niższy od najniższego limitu ceny w zleceniu sprzedaży </w:t>
      </w:r>
      <w:r w:rsidRPr="00920145">
        <w:rPr>
          <w:rFonts w:ascii="Verdana" w:hAnsi="Verdana"/>
          <w:bCs/>
          <w:sz w:val="20"/>
          <w:szCs w:val="20"/>
        </w:rPr>
        <w:t>lub gdy występują wyłącznie zlecenia kupna lub wyłącznie zlecenia sprzedaży lub gdy występuje brak zleceń</w:t>
      </w:r>
      <w:r w:rsidRPr="00920145">
        <w:rPr>
          <w:rFonts w:ascii="Verdana" w:hAnsi="Verdana" w:cs="Arial"/>
          <w:sz w:val="20"/>
          <w:szCs w:val="18"/>
        </w:rPr>
        <w:t xml:space="preserve"> (rynek zleceń rozbieżnych), za kurs otwarcia przyjmuje się kurs pierwszej transakcji zawartej na danej sesji, a za kurs zamknięcia kurs ostatniej transakcji zawartej na danej sesji. Jeśli na danej sesji nie zawarto żadnej transakcji, kursu otwarcia oraz kursu zamknięcia nie określa się. </w:t>
      </w:r>
    </w:p>
    <w:p w14:paraId="55ACBE6A" w14:textId="77777777" w:rsidR="007F545D" w:rsidRPr="00920145" w:rsidRDefault="007F545D" w:rsidP="00F8716B">
      <w:pPr>
        <w:numPr>
          <w:ilvl w:val="0"/>
          <w:numId w:val="12"/>
        </w:numPr>
        <w:tabs>
          <w:tab w:val="left" w:pos="142"/>
          <w:tab w:val="num" w:pos="709"/>
          <w:tab w:val="left" w:pos="993"/>
        </w:tabs>
        <w:spacing w:after="120" w:line="360" w:lineRule="auto"/>
        <w:ind w:left="709" w:firstLine="0"/>
        <w:jc w:val="both"/>
        <w:rPr>
          <w:rFonts w:ascii="Verdana" w:hAnsi="Verdana" w:cs="Arial"/>
          <w:sz w:val="20"/>
          <w:szCs w:val="18"/>
        </w:rPr>
      </w:pPr>
      <w:r w:rsidRPr="00920145">
        <w:rPr>
          <w:rFonts w:ascii="Verdana" w:hAnsi="Verdana" w:cs="Arial"/>
          <w:sz w:val="20"/>
          <w:szCs w:val="18"/>
        </w:rPr>
        <w:t>Wszystkie zlecenia niezrealizowane w fazie aukcji otwarcia przechodzą do fazy notowań ciągłych, o ile co innego nie wynika z warunków realizacji danego zlecenia.</w:t>
      </w:r>
    </w:p>
    <w:p w14:paraId="5F11D993" w14:textId="791AE73A" w:rsidR="007F545D" w:rsidRPr="00920145" w:rsidRDefault="007F545D" w:rsidP="00F8716B">
      <w:pPr>
        <w:numPr>
          <w:ilvl w:val="0"/>
          <w:numId w:val="12"/>
        </w:numPr>
        <w:tabs>
          <w:tab w:val="left" w:pos="142"/>
          <w:tab w:val="num" w:pos="709"/>
          <w:tab w:val="left" w:pos="993"/>
        </w:tabs>
        <w:spacing w:after="240" w:line="360" w:lineRule="auto"/>
        <w:ind w:left="709" w:firstLine="0"/>
        <w:jc w:val="both"/>
        <w:rPr>
          <w:rFonts w:ascii="Verdana" w:hAnsi="Verdana" w:cs="Arial"/>
          <w:sz w:val="20"/>
          <w:szCs w:val="18"/>
        </w:rPr>
      </w:pPr>
      <w:r w:rsidRPr="00920145">
        <w:rPr>
          <w:rFonts w:ascii="Verdana" w:hAnsi="Verdana" w:cs="Arial"/>
          <w:sz w:val="20"/>
          <w:szCs w:val="18"/>
        </w:rPr>
        <w:lastRenderedPageBreak/>
        <w:t>Wszystkie zlecenia niezrealizowane w fazie aukcji zamknięcia przechodzą do następnej fazy notowań, o ile co innego nie wynika z warunków realizacji danego zlecenia.</w:t>
      </w:r>
      <w:r w:rsidR="003F5DDA" w:rsidRPr="00920145">
        <w:rPr>
          <w:rFonts w:ascii="Verdana" w:hAnsi="Verdana" w:cs="Arial"/>
          <w:sz w:val="20"/>
          <w:szCs w:val="18"/>
        </w:rPr>
        <w:t>”;</w:t>
      </w:r>
    </w:p>
    <w:p w14:paraId="00C84292" w14:textId="236D614E" w:rsidR="007F545D" w:rsidRPr="00920145" w:rsidRDefault="005A1CD4" w:rsidP="00F8716B">
      <w:pPr>
        <w:pStyle w:val="Akapitzlist"/>
        <w:numPr>
          <w:ilvl w:val="0"/>
          <w:numId w:val="4"/>
        </w:numPr>
        <w:spacing w:after="120" w:line="360" w:lineRule="auto"/>
        <w:ind w:left="709" w:hanging="425"/>
        <w:contextualSpacing w:val="0"/>
        <w:jc w:val="both"/>
        <w:rPr>
          <w:rFonts w:ascii="Verdana" w:hAnsi="Verdana" w:cs="Arial"/>
          <w:bCs/>
          <w:sz w:val="20"/>
          <w:szCs w:val="20"/>
        </w:rPr>
      </w:pPr>
      <w:r w:rsidRPr="00920145">
        <w:rPr>
          <w:rFonts w:ascii="Verdana" w:hAnsi="Verdana" w:cs="Arial"/>
          <w:bCs/>
          <w:sz w:val="20"/>
          <w:szCs w:val="20"/>
        </w:rPr>
        <w:t>w § 11 ust. 2 i 3 otrzymują brzmienie:</w:t>
      </w:r>
    </w:p>
    <w:p w14:paraId="065DD81B" w14:textId="63D37682" w:rsidR="005A1CD4" w:rsidRPr="00920145" w:rsidRDefault="005A1CD4" w:rsidP="00A23201">
      <w:pPr>
        <w:pStyle w:val="Akapitzlist"/>
        <w:spacing w:after="120" w:line="360" w:lineRule="auto"/>
        <w:ind w:left="709"/>
        <w:contextualSpacing w:val="0"/>
        <w:jc w:val="both"/>
        <w:rPr>
          <w:rFonts w:ascii="Verdana" w:hAnsi="Verdana" w:cs="Arial"/>
          <w:sz w:val="20"/>
          <w:szCs w:val="20"/>
        </w:rPr>
      </w:pPr>
      <w:r w:rsidRPr="00920145">
        <w:rPr>
          <w:rFonts w:ascii="Verdana" w:hAnsi="Verdana" w:cs="Arial"/>
          <w:bCs/>
          <w:sz w:val="20"/>
          <w:szCs w:val="20"/>
        </w:rPr>
        <w:t xml:space="preserve">„2. </w:t>
      </w:r>
      <w:r w:rsidRPr="00920145">
        <w:rPr>
          <w:rFonts w:ascii="Verdana" w:hAnsi="Verdana" w:cs="Arial"/>
          <w:sz w:val="20"/>
          <w:szCs w:val="20"/>
        </w:rPr>
        <w:t xml:space="preserve">Zlecenia podlegają realizacji w tej fazie zgodnie z priorytetem ceny, </w:t>
      </w:r>
      <w:r w:rsidRPr="00920145">
        <w:rPr>
          <w:rFonts w:ascii="Verdana" w:hAnsi="Verdana" w:cs="Arial"/>
          <w:sz w:val="20"/>
          <w:szCs w:val="20"/>
        </w:rPr>
        <w:br/>
        <w:t xml:space="preserve">a następnie priorytetem czasu przyjęcia do arkusza zleceń, z zastrzeżeniem przepisów niniejszego Działu.   </w:t>
      </w:r>
    </w:p>
    <w:p w14:paraId="593847D8" w14:textId="54AC779E" w:rsidR="005A1CD4" w:rsidRPr="00920145" w:rsidRDefault="005A1CD4" w:rsidP="00A23201">
      <w:pPr>
        <w:spacing w:after="240" w:line="360" w:lineRule="auto"/>
        <w:ind w:left="709"/>
        <w:jc w:val="both"/>
        <w:rPr>
          <w:rFonts w:ascii="Verdana" w:hAnsi="Verdana" w:cs="Arial"/>
          <w:sz w:val="20"/>
          <w:szCs w:val="20"/>
        </w:rPr>
      </w:pPr>
      <w:r w:rsidRPr="00920145">
        <w:rPr>
          <w:rFonts w:ascii="Verdana" w:hAnsi="Verdana" w:cs="Arial"/>
          <w:sz w:val="20"/>
          <w:szCs w:val="20"/>
        </w:rPr>
        <w:t xml:space="preserve">3. W fazie notowań ciągłych transakcje zawierane są po kursie najlepszego zlecenia przeciwstawnego oczekującego na realizację w arkuszu zleceń, </w:t>
      </w:r>
      <w:r w:rsidR="00ED2F4D" w:rsidRPr="00920145">
        <w:rPr>
          <w:rFonts w:ascii="Verdana" w:hAnsi="Verdana" w:cs="Arial"/>
          <w:sz w:val="20"/>
          <w:szCs w:val="20"/>
        </w:rPr>
        <w:br/>
      </w:r>
      <w:r w:rsidRPr="00920145">
        <w:rPr>
          <w:rFonts w:ascii="Verdana" w:hAnsi="Verdana" w:cs="Arial"/>
          <w:sz w:val="20"/>
          <w:szCs w:val="20"/>
        </w:rPr>
        <w:t xml:space="preserve">z zastrzeżeniem przepisów niniejszego Działu.”;   </w:t>
      </w:r>
    </w:p>
    <w:p w14:paraId="25F6C12E" w14:textId="557713C6" w:rsidR="005A1CD4" w:rsidRPr="00920145" w:rsidRDefault="00032BF6" w:rsidP="00F8716B">
      <w:pPr>
        <w:pStyle w:val="Akapitzlist"/>
        <w:numPr>
          <w:ilvl w:val="0"/>
          <w:numId w:val="4"/>
        </w:numPr>
        <w:spacing w:after="120" w:line="360" w:lineRule="auto"/>
        <w:ind w:left="709" w:hanging="425"/>
        <w:contextualSpacing w:val="0"/>
        <w:jc w:val="both"/>
        <w:rPr>
          <w:rFonts w:ascii="Verdana" w:hAnsi="Verdana" w:cs="Arial"/>
          <w:bCs/>
          <w:sz w:val="20"/>
          <w:szCs w:val="20"/>
        </w:rPr>
      </w:pPr>
      <w:r w:rsidRPr="00920145">
        <w:rPr>
          <w:rFonts w:ascii="Verdana" w:hAnsi="Verdana" w:cs="Arial"/>
          <w:bCs/>
          <w:sz w:val="20"/>
          <w:szCs w:val="20"/>
        </w:rPr>
        <w:t>§ 12 otrzymuje brzmienie:</w:t>
      </w:r>
    </w:p>
    <w:p w14:paraId="543E6C18" w14:textId="654C5023" w:rsidR="00032BF6" w:rsidRPr="00920145" w:rsidRDefault="00032BF6" w:rsidP="00A23201">
      <w:pPr>
        <w:pStyle w:val="Akapitzlist"/>
        <w:spacing w:after="120" w:line="360" w:lineRule="auto"/>
        <w:ind w:left="709"/>
        <w:contextualSpacing w:val="0"/>
        <w:jc w:val="both"/>
        <w:rPr>
          <w:rFonts w:ascii="Verdana" w:hAnsi="Verdana" w:cs="Arial"/>
          <w:bCs/>
          <w:sz w:val="20"/>
          <w:szCs w:val="20"/>
        </w:rPr>
      </w:pPr>
      <w:r w:rsidRPr="00920145">
        <w:rPr>
          <w:rFonts w:ascii="Verdana" w:hAnsi="Verdana" w:cs="Arial"/>
          <w:bCs/>
          <w:sz w:val="20"/>
          <w:szCs w:val="20"/>
        </w:rPr>
        <w:t>„§ 12</w:t>
      </w:r>
    </w:p>
    <w:p w14:paraId="27F8EC37" w14:textId="77777777" w:rsidR="00032BF6" w:rsidRPr="00920145" w:rsidRDefault="00032BF6" w:rsidP="00A23201">
      <w:pPr>
        <w:spacing w:line="360" w:lineRule="auto"/>
        <w:ind w:firstLine="708"/>
        <w:rPr>
          <w:rFonts w:ascii="Verdana" w:hAnsi="Verdana"/>
          <w:b/>
          <w:sz w:val="20"/>
          <w:szCs w:val="20"/>
        </w:rPr>
      </w:pPr>
      <w:r w:rsidRPr="00920145">
        <w:rPr>
          <w:rFonts w:ascii="Verdana" w:hAnsi="Verdana"/>
          <w:b/>
          <w:sz w:val="20"/>
          <w:szCs w:val="20"/>
        </w:rPr>
        <w:t xml:space="preserve">Faza dogrywki </w:t>
      </w:r>
    </w:p>
    <w:p w14:paraId="138AB1CE" w14:textId="2CB0BCA2" w:rsidR="00032BF6" w:rsidRPr="00920145" w:rsidRDefault="00032BF6" w:rsidP="00E15A92">
      <w:pPr>
        <w:numPr>
          <w:ilvl w:val="0"/>
          <w:numId w:val="108"/>
        </w:numPr>
        <w:tabs>
          <w:tab w:val="clear" w:pos="360"/>
          <w:tab w:val="left" w:pos="142"/>
          <w:tab w:val="left" w:pos="993"/>
          <w:tab w:val="num" w:pos="1134"/>
        </w:tabs>
        <w:spacing w:after="120" w:line="360" w:lineRule="auto"/>
        <w:ind w:left="993" w:hanging="284"/>
        <w:jc w:val="both"/>
        <w:rPr>
          <w:rFonts w:ascii="Verdana" w:hAnsi="Verdana" w:cs="Arial"/>
          <w:sz w:val="20"/>
          <w:szCs w:val="18"/>
        </w:rPr>
      </w:pPr>
      <w:r w:rsidRPr="00920145">
        <w:rPr>
          <w:rFonts w:ascii="Verdana" w:hAnsi="Verdana" w:cs="Arial"/>
          <w:sz w:val="20"/>
          <w:szCs w:val="18"/>
        </w:rPr>
        <w:t>W systemie notowań ciągłych dogrywkę organizuje się dla instrumentów finansowych, dla których w fazie aukcji zamknięcia na danej sesji został określony kurs zamknięcia, z wyjątkiem instrumentów pochodnych na stawki referencyjne WIBOR oraz instrumentów pochodnych na krótkoterminowe, średnioterminowe i długoterminowe obligacje skarbowe.</w:t>
      </w:r>
    </w:p>
    <w:p w14:paraId="4AD3EBAD" w14:textId="4D0DF557" w:rsidR="00032BF6" w:rsidRPr="00920145" w:rsidRDefault="00032BF6" w:rsidP="00E15A92">
      <w:pPr>
        <w:numPr>
          <w:ilvl w:val="0"/>
          <w:numId w:val="108"/>
        </w:numPr>
        <w:tabs>
          <w:tab w:val="clear" w:pos="360"/>
          <w:tab w:val="left" w:pos="993"/>
          <w:tab w:val="num" w:pos="1134"/>
        </w:tabs>
        <w:spacing w:after="120" w:line="360" w:lineRule="auto"/>
        <w:ind w:left="993" w:hanging="284"/>
        <w:jc w:val="both"/>
        <w:rPr>
          <w:rFonts w:ascii="Verdana" w:hAnsi="Verdana" w:cs="Arial"/>
          <w:sz w:val="20"/>
          <w:szCs w:val="18"/>
        </w:rPr>
      </w:pPr>
      <w:r w:rsidRPr="00920145">
        <w:rPr>
          <w:rFonts w:ascii="Verdana" w:hAnsi="Verdana" w:cs="Arial"/>
          <w:sz w:val="20"/>
          <w:szCs w:val="18"/>
        </w:rPr>
        <w:t>W fazie dogrywki możliwe jest składanie zarówno zleceń z limitem ceny</w:t>
      </w:r>
      <w:r w:rsidRPr="00920145">
        <w:rPr>
          <w:rFonts w:ascii="Verdana" w:hAnsi="Verdana"/>
          <w:bCs/>
          <w:sz w:val="20"/>
          <w:szCs w:val="20"/>
        </w:rPr>
        <w:t>, jak i zleceń bez limitu ceny.</w:t>
      </w:r>
    </w:p>
    <w:p w14:paraId="402CA164" w14:textId="77777777" w:rsidR="000B5DAB" w:rsidRPr="00920145" w:rsidRDefault="00032BF6" w:rsidP="00E15A92">
      <w:pPr>
        <w:numPr>
          <w:ilvl w:val="0"/>
          <w:numId w:val="108"/>
        </w:numPr>
        <w:tabs>
          <w:tab w:val="clear" w:pos="360"/>
          <w:tab w:val="left" w:pos="142"/>
          <w:tab w:val="left" w:pos="993"/>
          <w:tab w:val="num" w:pos="1134"/>
        </w:tabs>
        <w:spacing w:after="120" w:line="360" w:lineRule="auto"/>
        <w:ind w:left="993" w:hanging="284"/>
        <w:jc w:val="both"/>
        <w:rPr>
          <w:rFonts w:ascii="Verdana" w:hAnsi="Verdana" w:cs="Arial"/>
          <w:sz w:val="20"/>
          <w:szCs w:val="18"/>
        </w:rPr>
      </w:pPr>
      <w:r w:rsidRPr="00920145">
        <w:rPr>
          <w:rFonts w:ascii="Verdana" w:hAnsi="Verdana" w:cs="Arial"/>
          <w:sz w:val="20"/>
          <w:szCs w:val="18"/>
        </w:rPr>
        <w:t xml:space="preserve">W fazie dogrywki można anulować i modyfikować wcześniej złożone zlecenia maklerskie. </w:t>
      </w:r>
    </w:p>
    <w:p w14:paraId="3BAB3897" w14:textId="5DCDEDE7" w:rsidR="00032BF6" w:rsidRPr="00920145" w:rsidRDefault="00032BF6" w:rsidP="00E15A92">
      <w:pPr>
        <w:numPr>
          <w:ilvl w:val="0"/>
          <w:numId w:val="108"/>
        </w:numPr>
        <w:tabs>
          <w:tab w:val="clear" w:pos="360"/>
          <w:tab w:val="left" w:pos="142"/>
          <w:tab w:val="left" w:pos="993"/>
          <w:tab w:val="num" w:pos="1134"/>
        </w:tabs>
        <w:spacing w:after="240" w:line="360" w:lineRule="auto"/>
        <w:ind w:left="993" w:hanging="284"/>
        <w:jc w:val="both"/>
        <w:rPr>
          <w:rFonts w:ascii="Verdana" w:hAnsi="Verdana" w:cs="Arial"/>
          <w:sz w:val="20"/>
          <w:szCs w:val="18"/>
        </w:rPr>
      </w:pPr>
      <w:r w:rsidRPr="00920145">
        <w:rPr>
          <w:rFonts w:ascii="Verdana" w:hAnsi="Verdana" w:cs="Arial"/>
          <w:sz w:val="20"/>
          <w:szCs w:val="18"/>
        </w:rPr>
        <w:t>W fazie dogrywki transakcje zawierane są po cenie równej ostatniemu kursowi zamknięcia.”;</w:t>
      </w:r>
    </w:p>
    <w:p w14:paraId="4521B1C9" w14:textId="77777777" w:rsidR="00C97124" w:rsidRPr="00920145" w:rsidRDefault="00C97124" w:rsidP="00F8716B">
      <w:pPr>
        <w:pStyle w:val="Akapitzlist"/>
        <w:numPr>
          <w:ilvl w:val="0"/>
          <w:numId w:val="4"/>
        </w:numPr>
        <w:spacing w:after="120" w:line="360" w:lineRule="auto"/>
        <w:ind w:left="709" w:hanging="425"/>
        <w:contextualSpacing w:val="0"/>
        <w:jc w:val="both"/>
        <w:rPr>
          <w:rFonts w:ascii="Verdana" w:hAnsi="Verdana" w:cs="Arial"/>
          <w:sz w:val="20"/>
          <w:szCs w:val="18"/>
        </w:rPr>
      </w:pPr>
      <w:r w:rsidRPr="00920145">
        <w:rPr>
          <w:rFonts w:ascii="Verdana" w:hAnsi="Verdana" w:cs="Arial"/>
          <w:sz w:val="20"/>
          <w:szCs w:val="18"/>
        </w:rPr>
        <w:t>w § 13:</w:t>
      </w:r>
    </w:p>
    <w:p w14:paraId="05845722" w14:textId="69C1D686" w:rsidR="00C97124" w:rsidRPr="00920145" w:rsidRDefault="00C97124" w:rsidP="008362AE">
      <w:pPr>
        <w:pStyle w:val="Akapitzlist"/>
        <w:numPr>
          <w:ilvl w:val="0"/>
          <w:numId w:val="91"/>
        </w:numPr>
        <w:shd w:val="clear" w:color="auto" w:fill="FFFFFF" w:themeFill="background1"/>
        <w:tabs>
          <w:tab w:val="clear" w:pos="737"/>
          <w:tab w:val="num" w:pos="1134"/>
        </w:tabs>
        <w:spacing w:after="120" w:line="360" w:lineRule="auto"/>
        <w:ind w:left="1134"/>
        <w:contextualSpacing w:val="0"/>
        <w:jc w:val="both"/>
        <w:rPr>
          <w:rFonts w:ascii="Verdana" w:hAnsi="Verdana" w:cs="Arial"/>
          <w:sz w:val="20"/>
          <w:szCs w:val="18"/>
        </w:rPr>
      </w:pPr>
      <w:r w:rsidRPr="00920145">
        <w:rPr>
          <w:rFonts w:ascii="Verdana" w:hAnsi="Verdana" w:cs="Arial"/>
          <w:sz w:val="20"/>
          <w:szCs w:val="18"/>
        </w:rPr>
        <w:t>w ust. 1</w:t>
      </w:r>
      <w:r w:rsidR="00EF60F6" w:rsidRPr="00920145">
        <w:rPr>
          <w:rFonts w:ascii="Verdana" w:hAnsi="Verdana" w:cs="Arial"/>
          <w:sz w:val="20"/>
          <w:szCs w:val="18"/>
        </w:rPr>
        <w:t xml:space="preserve"> </w:t>
      </w:r>
      <w:r w:rsidR="00045F61" w:rsidRPr="00920145">
        <w:rPr>
          <w:rFonts w:ascii="Verdana" w:hAnsi="Verdana" w:cs="Arial"/>
          <w:sz w:val="20"/>
          <w:szCs w:val="18"/>
        </w:rPr>
        <w:t>pkt 9)</w:t>
      </w:r>
      <w:r w:rsidR="00EF60F6" w:rsidRPr="00920145">
        <w:rPr>
          <w:rFonts w:ascii="Verdana" w:hAnsi="Verdana" w:cs="Arial"/>
          <w:sz w:val="20"/>
          <w:szCs w:val="18"/>
        </w:rPr>
        <w:t xml:space="preserve"> otrzymuje brzmienie</w:t>
      </w:r>
      <w:r w:rsidR="00792CA7" w:rsidRPr="00920145">
        <w:rPr>
          <w:rFonts w:ascii="Verdana" w:hAnsi="Verdana" w:cs="Arial"/>
          <w:sz w:val="20"/>
          <w:szCs w:val="18"/>
        </w:rPr>
        <w:t>:</w:t>
      </w:r>
    </w:p>
    <w:p w14:paraId="114EA6A8" w14:textId="1DEDE8E6" w:rsidR="00712BE7" w:rsidRPr="00920145" w:rsidRDefault="00C97124" w:rsidP="008362AE">
      <w:pPr>
        <w:pStyle w:val="Akapitzlist"/>
        <w:shd w:val="clear" w:color="auto" w:fill="FFFFFF" w:themeFill="background1"/>
        <w:tabs>
          <w:tab w:val="num" w:pos="1134"/>
        </w:tabs>
        <w:spacing w:after="120" w:line="360" w:lineRule="auto"/>
        <w:ind w:left="1134"/>
        <w:contextualSpacing w:val="0"/>
        <w:jc w:val="both"/>
        <w:rPr>
          <w:rFonts w:ascii="Verdana" w:hAnsi="Verdana" w:cs="Arial"/>
          <w:bCs/>
          <w:sz w:val="20"/>
          <w:szCs w:val="20"/>
        </w:rPr>
      </w:pPr>
      <w:r w:rsidRPr="00920145">
        <w:rPr>
          <w:rFonts w:ascii="Verdana" w:hAnsi="Verdana" w:cs="Arial"/>
          <w:sz w:val="20"/>
          <w:szCs w:val="20"/>
        </w:rPr>
        <w:t>„9)</w:t>
      </w:r>
      <w:r w:rsidR="00712BE7" w:rsidRPr="00920145">
        <w:rPr>
          <w:rFonts w:ascii="Verdana" w:hAnsi="Verdana" w:cs="Arial"/>
          <w:sz w:val="20"/>
          <w:szCs w:val="20"/>
        </w:rPr>
        <w:t xml:space="preserve"> </w:t>
      </w:r>
      <w:r w:rsidR="00712BE7" w:rsidRPr="00920145">
        <w:rPr>
          <w:rFonts w:ascii="Verdana" w:hAnsi="Verdana" w:cs="Arial"/>
          <w:bCs/>
          <w:sz w:val="20"/>
          <w:szCs w:val="20"/>
        </w:rPr>
        <w:t>i</w:t>
      </w:r>
      <w:r w:rsidR="00712BE7" w:rsidRPr="00920145">
        <w:rPr>
          <w:rStyle w:val="ui-provider"/>
          <w:rFonts w:ascii="Verdana" w:hAnsi="Verdana"/>
          <w:sz w:val="20"/>
          <w:szCs w:val="20"/>
        </w:rPr>
        <w:t>nformację czy dane zlecenie związane jest</w:t>
      </w:r>
      <w:r w:rsidR="00DB07F2" w:rsidRPr="00920145">
        <w:rPr>
          <w:rStyle w:val="ui-provider"/>
          <w:rFonts w:ascii="Verdana" w:hAnsi="Verdana"/>
          <w:sz w:val="20"/>
          <w:szCs w:val="20"/>
        </w:rPr>
        <w:t xml:space="preserve"> </w:t>
      </w:r>
      <w:r w:rsidR="00712BE7" w:rsidRPr="00920145">
        <w:rPr>
          <w:rStyle w:val="ui-provider"/>
          <w:rFonts w:ascii="Verdana" w:hAnsi="Verdana"/>
          <w:sz w:val="20"/>
          <w:szCs w:val="20"/>
        </w:rPr>
        <w:t xml:space="preserve">z działalnością </w:t>
      </w:r>
      <w:r w:rsidR="00712BE7" w:rsidRPr="00920145">
        <w:rPr>
          <w:rStyle w:val="ui-provider"/>
          <w:rFonts w:ascii="Verdana" w:hAnsi="Verdana"/>
          <w:sz w:val="20"/>
          <w:szCs w:val="20"/>
        </w:rPr>
        <w:br/>
        <w:t>z zakresu zapewniania płynności</w:t>
      </w:r>
      <w:r w:rsidR="00712BE7" w:rsidRPr="00920145">
        <w:rPr>
          <w:rFonts w:ascii="Verdana" w:hAnsi="Verdana" w:cs="Arial"/>
          <w:bCs/>
          <w:sz w:val="20"/>
          <w:szCs w:val="20"/>
        </w:rPr>
        <w:t>,”;</w:t>
      </w:r>
    </w:p>
    <w:p w14:paraId="36424665" w14:textId="25B31C39" w:rsidR="00DB07F2" w:rsidRPr="00920145" w:rsidRDefault="00DB07F2" w:rsidP="008362AE">
      <w:pPr>
        <w:pStyle w:val="Akapitzlist"/>
        <w:numPr>
          <w:ilvl w:val="0"/>
          <w:numId w:val="91"/>
        </w:numPr>
        <w:tabs>
          <w:tab w:val="clear" w:pos="737"/>
          <w:tab w:val="num" w:pos="1134"/>
        </w:tabs>
        <w:spacing w:after="120" w:line="360" w:lineRule="auto"/>
        <w:ind w:left="1134"/>
        <w:contextualSpacing w:val="0"/>
        <w:jc w:val="both"/>
        <w:rPr>
          <w:rFonts w:ascii="Verdana" w:hAnsi="Verdana" w:cs="Arial"/>
          <w:sz w:val="20"/>
          <w:szCs w:val="20"/>
        </w:rPr>
      </w:pPr>
      <w:r w:rsidRPr="00920145">
        <w:rPr>
          <w:rFonts w:ascii="Verdana" w:hAnsi="Verdana" w:cs="Arial"/>
          <w:sz w:val="20"/>
          <w:szCs w:val="20"/>
        </w:rPr>
        <w:t>ust. 2 otrzymuje brzmienie;</w:t>
      </w:r>
    </w:p>
    <w:p w14:paraId="46B0CCD9" w14:textId="243AA3BB" w:rsidR="00DB07F2" w:rsidRPr="00920145" w:rsidRDefault="00DB07F2" w:rsidP="008362AE">
      <w:pPr>
        <w:pStyle w:val="Akapitzlist"/>
        <w:tabs>
          <w:tab w:val="num" w:pos="1134"/>
        </w:tabs>
        <w:spacing w:after="240" w:line="360" w:lineRule="auto"/>
        <w:ind w:left="1134"/>
        <w:contextualSpacing w:val="0"/>
        <w:jc w:val="both"/>
        <w:rPr>
          <w:rFonts w:ascii="Verdana" w:hAnsi="Verdana" w:cs="Arial"/>
          <w:bCs/>
          <w:sz w:val="20"/>
        </w:rPr>
      </w:pPr>
      <w:r w:rsidRPr="00920145">
        <w:rPr>
          <w:rFonts w:ascii="Verdana" w:hAnsi="Verdana" w:cs="Arial"/>
          <w:sz w:val="20"/>
          <w:szCs w:val="20"/>
        </w:rPr>
        <w:t xml:space="preserve">„2. </w:t>
      </w:r>
      <w:r w:rsidRPr="00920145">
        <w:rPr>
          <w:rFonts w:ascii="Verdana" w:hAnsi="Verdana" w:cs="Arial"/>
          <w:bCs/>
          <w:sz w:val="20"/>
        </w:rPr>
        <w:t>Oznaczenia wskaźnika typu działania, o którym mowa w ust. 1 pkt 5), stosuje się zgodnie ze specyfikacją systemu transakcyjnego.”;</w:t>
      </w:r>
    </w:p>
    <w:p w14:paraId="78A80B28" w14:textId="779B07B8" w:rsidR="00DB07F2" w:rsidRPr="00920145" w:rsidRDefault="001A27CD" w:rsidP="008362AE">
      <w:pPr>
        <w:pStyle w:val="Akapitzlist"/>
        <w:numPr>
          <w:ilvl w:val="0"/>
          <w:numId w:val="91"/>
        </w:numPr>
        <w:tabs>
          <w:tab w:val="clear" w:pos="737"/>
          <w:tab w:val="num" w:pos="1134"/>
        </w:tabs>
        <w:spacing w:after="240" w:line="360" w:lineRule="auto"/>
        <w:ind w:left="1134"/>
        <w:contextualSpacing w:val="0"/>
        <w:jc w:val="both"/>
        <w:rPr>
          <w:rFonts w:ascii="Verdana" w:hAnsi="Verdana" w:cs="Arial"/>
          <w:bCs/>
          <w:sz w:val="20"/>
        </w:rPr>
      </w:pPr>
      <w:r w:rsidRPr="00920145">
        <w:rPr>
          <w:rFonts w:ascii="Verdana" w:hAnsi="Verdana" w:cs="Arial"/>
          <w:bCs/>
          <w:sz w:val="20"/>
        </w:rPr>
        <w:lastRenderedPageBreak/>
        <w:t>w ust. 3 wyraz „rodzaje” zastępuje się wyraz</w:t>
      </w:r>
      <w:r w:rsidR="008B3FBA" w:rsidRPr="00920145">
        <w:rPr>
          <w:rFonts w:ascii="Verdana" w:hAnsi="Verdana" w:cs="Arial"/>
          <w:bCs/>
          <w:sz w:val="20"/>
        </w:rPr>
        <w:t>em</w:t>
      </w:r>
      <w:r w:rsidRPr="00920145">
        <w:rPr>
          <w:rFonts w:ascii="Verdana" w:hAnsi="Verdana" w:cs="Arial"/>
          <w:bCs/>
          <w:sz w:val="20"/>
        </w:rPr>
        <w:t xml:space="preserve"> „oznaczenia”;</w:t>
      </w:r>
    </w:p>
    <w:p w14:paraId="2C30D430" w14:textId="68082A66" w:rsidR="001A27CD" w:rsidRPr="00920145" w:rsidRDefault="001A27CD" w:rsidP="00F8716B">
      <w:pPr>
        <w:pStyle w:val="Akapitzlist"/>
        <w:numPr>
          <w:ilvl w:val="0"/>
          <w:numId w:val="4"/>
        </w:numPr>
        <w:spacing w:after="120" w:line="360" w:lineRule="auto"/>
        <w:ind w:left="709" w:hanging="425"/>
        <w:contextualSpacing w:val="0"/>
        <w:jc w:val="both"/>
        <w:rPr>
          <w:rFonts w:ascii="Verdana" w:hAnsi="Verdana" w:cs="Arial"/>
          <w:sz w:val="20"/>
          <w:szCs w:val="20"/>
        </w:rPr>
      </w:pPr>
      <w:r w:rsidRPr="00920145">
        <w:rPr>
          <w:rFonts w:ascii="Verdana" w:hAnsi="Verdana" w:cs="Arial"/>
          <w:sz w:val="20"/>
          <w:szCs w:val="20"/>
        </w:rPr>
        <w:t>w § 13a ust. 1 otrzymuje brzmienie:</w:t>
      </w:r>
    </w:p>
    <w:p w14:paraId="174EA6F5" w14:textId="7DB8A74A" w:rsidR="001A27CD" w:rsidRPr="00920145" w:rsidRDefault="001A27CD" w:rsidP="00A23201">
      <w:pPr>
        <w:pStyle w:val="Akapitzlist"/>
        <w:spacing w:after="240" w:line="360" w:lineRule="auto"/>
        <w:ind w:left="709"/>
        <w:contextualSpacing w:val="0"/>
        <w:jc w:val="both"/>
        <w:rPr>
          <w:rFonts w:ascii="Verdana" w:hAnsi="Verdana" w:cs="Vrinda"/>
          <w:sz w:val="20"/>
          <w:szCs w:val="20"/>
        </w:rPr>
      </w:pPr>
      <w:r w:rsidRPr="00920145">
        <w:rPr>
          <w:rFonts w:ascii="Verdana" w:hAnsi="Verdana" w:cs="Vrinda"/>
          <w:sz w:val="20"/>
          <w:szCs w:val="20"/>
        </w:rPr>
        <w:t xml:space="preserve">„1. </w:t>
      </w:r>
      <w:r w:rsidRPr="00920145">
        <w:rPr>
          <w:rFonts w:ascii="Verdana" w:hAnsi="Verdana" w:cs="Vrinda"/>
          <w:bCs/>
          <w:sz w:val="20"/>
          <w:szCs w:val="20"/>
        </w:rPr>
        <w:t xml:space="preserve">Członek giełdy nie później niż do godziny 12:00 dnia sesyjnego następującego po dniu przekazania danego zlecenia maklerskiego przekazuje Giełdzie </w:t>
      </w:r>
      <w:r w:rsidRPr="00920145">
        <w:rPr>
          <w:rFonts w:ascii="Verdana" w:hAnsi="Verdana" w:cs="Vrinda"/>
          <w:sz w:val="20"/>
          <w:szCs w:val="20"/>
        </w:rPr>
        <w:t>(w uzgodnionej</w:t>
      </w:r>
      <w:r w:rsidR="009C4BE8" w:rsidRPr="00920145">
        <w:rPr>
          <w:rFonts w:ascii="Verdana" w:hAnsi="Verdana" w:cs="Vrinda"/>
          <w:sz w:val="20"/>
          <w:szCs w:val="20"/>
        </w:rPr>
        <w:t xml:space="preserve"> z </w:t>
      </w:r>
      <w:r w:rsidRPr="00920145">
        <w:rPr>
          <w:rFonts w:ascii="Verdana" w:hAnsi="Verdana" w:cs="Vrinda"/>
          <w:sz w:val="20"/>
          <w:szCs w:val="20"/>
        </w:rPr>
        <w:t xml:space="preserve">Giełdą formie elektronicznej) </w:t>
      </w:r>
      <w:r w:rsidRPr="00920145">
        <w:rPr>
          <w:rFonts w:ascii="Verdana" w:hAnsi="Verdana" w:cs="Vrinda"/>
          <w:bCs/>
          <w:sz w:val="20"/>
          <w:szCs w:val="20"/>
        </w:rPr>
        <w:t xml:space="preserve">kody pełne </w:t>
      </w:r>
      <w:r w:rsidRPr="00920145">
        <w:rPr>
          <w:rFonts w:ascii="Verdana" w:hAnsi="Verdana" w:cs="Vrinda"/>
          <w:sz w:val="20"/>
          <w:szCs w:val="20"/>
        </w:rPr>
        <w:t xml:space="preserve">odpowiadające kodom skróconym zawartym w danym zleceniu, chyba, że członek giełdy przekazał już dany kod pełny w związku z wcześniejszymi zleceniami.”;   </w:t>
      </w:r>
    </w:p>
    <w:p w14:paraId="19A15452" w14:textId="756E3F2C" w:rsidR="001A27CD" w:rsidRPr="00920145" w:rsidRDefault="001A27CD" w:rsidP="00F8716B">
      <w:pPr>
        <w:pStyle w:val="Akapitzlist"/>
        <w:numPr>
          <w:ilvl w:val="0"/>
          <w:numId w:val="4"/>
        </w:numPr>
        <w:spacing w:after="120" w:line="360" w:lineRule="auto"/>
        <w:ind w:left="709" w:hanging="425"/>
        <w:contextualSpacing w:val="0"/>
        <w:jc w:val="both"/>
        <w:rPr>
          <w:rFonts w:ascii="Verdana" w:hAnsi="Verdana" w:cs="Vrinda"/>
          <w:sz w:val="20"/>
          <w:szCs w:val="20"/>
        </w:rPr>
      </w:pPr>
      <w:r w:rsidRPr="00920145">
        <w:rPr>
          <w:rFonts w:ascii="Verdana" w:hAnsi="Verdana" w:cs="Vrinda"/>
          <w:sz w:val="20"/>
          <w:szCs w:val="20"/>
        </w:rPr>
        <w:t>w § 14:</w:t>
      </w:r>
    </w:p>
    <w:p w14:paraId="0E74B41D" w14:textId="6E6308D0" w:rsidR="001A27CD" w:rsidRPr="00920145" w:rsidRDefault="001A27CD" w:rsidP="008362AE">
      <w:pPr>
        <w:pStyle w:val="Akapitzlist"/>
        <w:numPr>
          <w:ilvl w:val="0"/>
          <w:numId w:val="92"/>
        </w:numPr>
        <w:tabs>
          <w:tab w:val="clear" w:pos="737"/>
          <w:tab w:val="num" w:pos="1134"/>
        </w:tabs>
        <w:spacing w:after="120" w:line="360" w:lineRule="auto"/>
        <w:ind w:left="1134"/>
        <w:contextualSpacing w:val="0"/>
        <w:jc w:val="both"/>
        <w:rPr>
          <w:rFonts w:ascii="Verdana" w:hAnsi="Verdana" w:cs="Vrinda"/>
          <w:sz w:val="20"/>
          <w:szCs w:val="20"/>
        </w:rPr>
      </w:pPr>
      <w:r w:rsidRPr="00920145">
        <w:rPr>
          <w:rFonts w:ascii="Verdana" w:hAnsi="Verdana" w:cs="Vrinda"/>
          <w:sz w:val="20"/>
          <w:szCs w:val="20"/>
        </w:rPr>
        <w:t>ust. 2 i 3 otrzymują brzmienie:</w:t>
      </w:r>
    </w:p>
    <w:p w14:paraId="7B168DE6" w14:textId="414574CB" w:rsidR="001A27CD" w:rsidRPr="00920145" w:rsidRDefault="001A27CD" w:rsidP="008362AE">
      <w:pPr>
        <w:pStyle w:val="Akapitzlist"/>
        <w:tabs>
          <w:tab w:val="num" w:pos="1134"/>
        </w:tabs>
        <w:spacing w:after="120" w:line="360" w:lineRule="auto"/>
        <w:ind w:left="1134"/>
        <w:contextualSpacing w:val="0"/>
        <w:jc w:val="both"/>
        <w:rPr>
          <w:rFonts w:ascii="Verdana" w:hAnsi="Verdana" w:cs="Arial"/>
          <w:bCs/>
          <w:sz w:val="20"/>
          <w:szCs w:val="20"/>
        </w:rPr>
      </w:pPr>
      <w:r w:rsidRPr="00920145">
        <w:rPr>
          <w:rFonts w:ascii="Verdana" w:hAnsi="Verdana" w:cs="Vrinda"/>
          <w:sz w:val="20"/>
          <w:szCs w:val="20"/>
        </w:rPr>
        <w:t xml:space="preserve">„2. </w:t>
      </w:r>
      <w:r w:rsidRPr="00920145">
        <w:rPr>
          <w:rFonts w:ascii="Verdana" w:hAnsi="Verdana" w:cs="Arial"/>
          <w:bCs/>
          <w:sz w:val="20"/>
          <w:szCs w:val="20"/>
        </w:rPr>
        <w:t xml:space="preserve">Maksymalne wielkości, o których mowa w ust. 1 pkt 1, 2 i 3, obowiązujące </w:t>
      </w:r>
      <w:r w:rsidRPr="00920145">
        <w:rPr>
          <w:rFonts w:ascii="Verdana" w:hAnsi="Verdana"/>
          <w:sz w:val="20"/>
          <w:szCs w:val="20"/>
        </w:rPr>
        <w:t>dla instrumentów należących do danego segmentu notowań, określone są odpowiednio w Rozdziale 8 lub 9</w:t>
      </w:r>
      <w:r w:rsidRPr="00920145">
        <w:rPr>
          <w:rFonts w:ascii="Verdana" w:hAnsi="Verdana" w:cs="Arial"/>
          <w:bCs/>
          <w:sz w:val="20"/>
          <w:szCs w:val="20"/>
        </w:rPr>
        <w:t xml:space="preserve">. </w:t>
      </w:r>
    </w:p>
    <w:p w14:paraId="2B4E9DF4" w14:textId="608D9132" w:rsidR="001A27CD" w:rsidRPr="00920145" w:rsidRDefault="001A27CD" w:rsidP="008362AE">
      <w:pPr>
        <w:tabs>
          <w:tab w:val="num" w:pos="1134"/>
        </w:tabs>
        <w:spacing w:after="240" w:line="360" w:lineRule="auto"/>
        <w:ind w:left="1134"/>
        <w:jc w:val="both"/>
        <w:rPr>
          <w:rFonts w:ascii="Verdana" w:hAnsi="Verdana" w:cs="Arial"/>
          <w:bCs/>
          <w:sz w:val="20"/>
          <w:szCs w:val="20"/>
        </w:rPr>
      </w:pPr>
      <w:r w:rsidRPr="00920145">
        <w:rPr>
          <w:rFonts w:ascii="Verdana" w:hAnsi="Verdana" w:cs="Arial"/>
          <w:bCs/>
          <w:sz w:val="20"/>
          <w:szCs w:val="20"/>
        </w:rPr>
        <w:t xml:space="preserve">3. Jeżeli w danym zleceniu maklerskim przekroczono określoną dla instrumentów należących do </w:t>
      </w:r>
      <w:r w:rsidRPr="00920145">
        <w:rPr>
          <w:rFonts w:ascii="Verdana" w:hAnsi="Verdana" w:cs="Arial"/>
          <w:sz w:val="20"/>
          <w:szCs w:val="20"/>
        </w:rPr>
        <w:t xml:space="preserve">danego segmentu notowań </w:t>
      </w:r>
      <w:r w:rsidRPr="00920145">
        <w:rPr>
          <w:rFonts w:ascii="Verdana" w:hAnsi="Verdana" w:cs="Arial"/>
          <w:bCs/>
          <w:sz w:val="20"/>
          <w:szCs w:val="20"/>
        </w:rPr>
        <w:t>maksymalną wielkość, o której  mowa w ust. 1 pkt 1, 2 lub 3, zlecenie takie jest odrzucane.”;</w:t>
      </w:r>
    </w:p>
    <w:p w14:paraId="3A877EC1" w14:textId="7561A40A" w:rsidR="001A27CD" w:rsidRPr="00920145" w:rsidRDefault="001A27CD" w:rsidP="008362AE">
      <w:pPr>
        <w:pStyle w:val="Akapitzlist"/>
        <w:numPr>
          <w:ilvl w:val="0"/>
          <w:numId w:val="92"/>
        </w:numPr>
        <w:tabs>
          <w:tab w:val="clear" w:pos="737"/>
          <w:tab w:val="num" w:pos="1134"/>
        </w:tabs>
        <w:spacing w:after="240" w:line="360" w:lineRule="auto"/>
        <w:ind w:left="1134"/>
        <w:contextualSpacing w:val="0"/>
        <w:jc w:val="both"/>
        <w:rPr>
          <w:rFonts w:ascii="Verdana" w:hAnsi="Verdana" w:cs="Vrinda"/>
          <w:sz w:val="20"/>
          <w:szCs w:val="20"/>
        </w:rPr>
      </w:pPr>
      <w:r w:rsidRPr="00920145">
        <w:rPr>
          <w:rFonts w:ascii="Verdana" w:hAnsi="Verdana" w:cs="Vrinda"/>
          <w:sz w:val="20"/>
          <w:szCs w:val="20"/>
        </w:rPr>
        <w:t>uchyla się ust. 4;</w:t>
      </w:r>
    </w:p>
    <w:p w14:paraId="0067448B" w14:textId="30A75376" w:rsidR="00674216" w:rsidRPr="00920145" w:rsidRDefault="00674216" w:rsidP="008362AE">
      <w:pPr>
        <w:pStyle w:val="Akapitzlist"/>
        <w:numPr>
          <w:ilvl w:val="0"/>
          <w:numId w:val="92"/>
        </w:numPr>
        <w:tabs>
          <w:tab w:val="clear" w:pos="737"/>
          <w:tab w:val="num" w:pos="1134"/>
        </w:tabs>
        <w:spacing w:after="240" w:line="360" w:lineRule="auto"/>
        <w:ind w:left="1134"/>
        <w:contextualSpacing w:val="0"/>
        <w:jc w:val="both"/>
        <w:rPr>
          <w:rFonts w:ascii="Verdana" w:hAnsi="Verdana" w:cs="Vrinda"/>
          <w:sz w:val="20"/>
          <w:szCs w:val="20"/>
        </w:rPr>
      </w:pPr>
      <w:r w:rsidRPr="00920145">
        <w:rPr>
          <w:rFonts w:ascii="Verdana" w:hAnsi="Verdana" w:cs="Vrinda"/>
          <w:sz w:val="20"/>
          <w:szCs w:val="20"/>
        </w:rPr>
        <w:t xml:space="preserve">w ust. 6 </w:t>
      </w:r>
      <w:r w:rsidR="009C4BE8" w:rsidRPr="00920145">
        <w:rPr>
          <w:rFonts w:ascii="Verdana" w:hAnsi="Verdana" w:cs="Vrinda"/>
          <w:sz w:val="20"/>
          <w:szCs w:val="20"/>
        </w:rPr>
        <w:t>przecinek</w:t>
      </w:r>
      <w:r w:rsidR="00045F61" w:rsidRPr="00920145">
        <w:rPr>
          <w:rFonts w:ascii="Verdana" w:hAnsi="Verdana" w:cs="Vrinda"/>
          <w:sz w:val="20"/>
          <w:szCs w:val="20"/>
        </w:rPr>
        <w:t xml:space="preserve"> po pkt 3 zastępuje się kropką oraz </w:t>
      </w:r>
      <w:r w:rsidRPr="00920145">
        <w:rPr>
          <w:rFonts w:ascii="Verdana" w:hAnsi="Verdana" w:cs="Vrinda"/>
          <w:sz w:val="20"/>
          <w:szCs w:val="20"/>
        </w:rPr>
        <w:t>uchyla się pkt 4);</w:t>
      </w:r>
    </w:p>
    <w:p w14:paraId="2006F407" w14:textId="5388B3CE" w:rsidR="00674216" w:rsidRPr="00920145" w:rsidRDefault="00674216" w:rsidP="008362AE">
      <w:pPr>
        <w:pStyle w:val="Akapitzlist"/>
        <w:numPr>
          <w:ilvl w:val="0"/>
          <w:numId w:val="92"/>
        </w:numPr>
        <w:tabs>
          <w:tab w:val="clear" w:pos="737"/>
          <w:tab w:val="num" w:pos="1134"/>
        </w:tabs>
        <w:spacing w:after="120" w:line="360" w:lineRule="auto"/>
        <w:ind w:left="1134"/>
        <w:contextualSpacing w:val="0"/>
        <w:jc w:val="both"/>
        <w:rPr>
          <w:rFonts w:ascii="Verdana" w:hAnsi="Verdana" w:cs="Vrinda"/>
          <w:sz w:val="20"/>
          <w:szCs w:val="20"/>
        </w:rPr>
      </w:pPr>
      <w:r w:rsidRPr="00920145">
        <w:rPr>
          <w:rFonts w:ascii="Verdana" w:hAnsi="Verdana" w:cs="Vrinda"/>
          <w:sz w:val="20"/>
          <w:szCs w:val="20"/>
        </w:rPr>
        <w:t>ust. 7 otrzymuje brzmienie:</w:t>
      </w:r>
    </w:p>
    <w:p w14:paraId="4F7DFEBE" w14:textId="208CE46B" w:rsidR="00674216" w:rsidRPr="00920145" w:rsidRDefault="00674216" w:rsidP="008362AE">
      <w:pPr>
        <w:pStyle w:val="Akapitzlist"/>
        <w:tabs>
          <w:tab w:val="num" w:pos="1134"/>
        </w:tabs>
        <w:spacing w:after="240" w:line="360" w:lineRule="auto"/>
        <w:ind w:left="1134"/>
        <w:contextualSpacing w:val="0"/>
        <w:jc w:val="both"/>
        <w:rPr>
          <w:rFonts w:ascii="Verdana" w:hAnsi="Verdana"/>
          <w:sz w:val="20"/>
          <w:szCs w:val="20"/>
        </w:rPr>
      </w:pPr>
      <w:r w:rsidRPr="00920145">
        <w:rPr>
          <w:rFonts w:ascii="Verdana" w:hAnsi="Verdana" w:cs="Vrinda"/>
          <w:sz w:val="20"/>
          <w:szCs w:val="20"/>
        </w:rPr>
        <w:t xml:space="preserve">„7. </w:t>
      </w:r>
      <w:r w:rsidRPr="00920145">
        <w:rPr>
          <w:rFonts w:ascii="Verdana" w:hAnsi="Verdana"/>
          <w:sz w:val="20"/>
          <w:szCs w:val="20"/>
        </w:rPr>
        <w:t>Za górne ograniczenie wahań kursów, o którym mowa w ust. 6 pkt 3), uznaje się wartość górnych statycznych ograniczeń wahań kursów.”;</w:t>
      </w:r>
    </w:p>
    <w:p w14:paraId="58239F55" w14:textId="64A5FB6A" w:rsidR="001E6C29" w:rsidRPr="00920145" w:rsidRDefault="001E6C29" w:rsidP="00F8716B">
      <w:pPr>
        <w:pStyle w:val="Akapitzlist"/>
        <w:numPr>
          <w:ilvl w:val="0"/>
          <w:numId w:val="4"/>
        </w:numPr>
        <w:spacing w:after="120" w:line="360" w:lineRule="auto"/>
        <w:ind w:left="709" w:hanging="425"/>
        <w:contextualSpacing w:val="0"/>
        <w:jc w:val="both"/>
        <w:rPr>
          <w:rFonts w:ascii="Verdana" w:hAnsi="Verdana" w:cs="Vrinda"/>
          <w:sz w:val="20"/>
          <w:szCs w:val="20"/>
        </w:rPr>
      </w:pPr>
      <w:r w:rsidRPr="00920145">
        <w:rPr>
          <w:rFonts w:ascii="Verdana" w:hAnsi="Verdana" w:cs="Vrinda"/>
          <w:sz w:val="20"/>
          <w:szCs w:val="20"/>
        </w:rPr>
        <w:t>w § 15 ust. 2 otrzymuje brzmienie:</w:t>
      </w:r>
    </w:p>
    <w:p w14:paraId="690A7308" w14:textId="0FE78FB6" w:rsidR="001E6C29" w:rsidRPr="00920145" w:rsidRDefault="001E6C29" w:rsidP="005E442D">
      <w:pPr>
        <w:pStyle w:val="Akapitzlist"/>
        <w:spacing w:after="120" w:line="360" w:lineRule="auto"/>
        <w:ind w:left="709" w:firstLine="425"/>
        <w:contextualSpacing w:val="0"/>
        <w:jc w:val="both"/>
        <w:rPr>
          <w:rFonts w:ascii="Verdana" w:hAnsi="Verdana" w:cs="Vrinda"/>
          <w:sz w:val="20"/>
          <w:szCs w:val="20"/>
        </w:rPr>
      </w:pPr>
      <w:r w:rsidRPr="00920145">
        <w:rPr>
          <w:rFonts w:ascii="Verdana" w:hAnsi="Verdana" w:cs="Vrinda"/>
          <w:sz w:val="20"/>
          <w:szCs w:val="20"/>
        </w:rPr>
        <w:t xml:space="preserve">„2. </w:t>
      </w:r>
      <w:r w:rsidRPr="00920145">
        <w:rPr>
          <w:rFonts w:ascii="Verdana" w:hAnsi="Verdana" w:cs="Arial"/>
          <w:sz w:val="20"/>
          <w:szCs w:val="20"/>
        </w:rPr>
        <w:t xml:space="preserve">Zlecenia </w:t>
      </w:r>
      <w:r w:rsidRPr="00920145">
        <w:rPr>
          <w:rFonts w:ascii="Verdana" w:hAnsi="Verdana"/>
          <w:sz w:val="20"/>
          <w:szCs w:val="20"/>
        </w:rPr>
        <w:t xml:space="preserve">LIMIT </w:t>
      </w:r>
      <w:r w:rsidRPr="00920145">
        <w:rPr>
          <w:rFonts w:ascii="Verdana" w:hAnsi="Verdana" w:cs="Arial"/>
          <w:sz w:val="20"/>
          <w:szCs w:val="20"/>
        </w:rPr>
        <w:t xml:space="preserve">mogą być składane: </w:t>
      </w:r>
    </w:p>
    <w:p w14:paraId="50EBE979" w14:textId="683E6247" w:rsidR="001E6C29" w:rsidRPr="00920145" w:rsidRDefault="001E6C29" w:rsidP="000B52EA">
      <w:pPr>
        <w:numPr>
          <w:ilvl w:val="0"/>
          <w:numId w:val="14"/>
        </w:numPr>
        <w:tabs>
          <w:tab w:val="left" w:pos="1134"/>
        </w:tabs>
        <w:spacing w:after="120" w:line="360" w:lineRule="auto"/>
        <w:ind w:left="1134" w:firstLine="0"/>
        <w:jc w:val="both"/>
        <w:rPr>
          <w:rFonts w:ascii="Verdana" w:hAnsi="Verdana"/>
          <w:sz w:val="20"/>
          <w:szCs w:val="20"/>
        </w:rPr>
      </w:pPr>
      <w:r w:rsidRPr="00920145">
        <w:rPr>
          <w:rFonts w:ascii="Verdana" w:hAnsi="Verdana"/>
          <w:sz w:val="20"/>
          <w:szCs w:val="20"/>
        </w:rPr>
        <w:t xml:space="preserve">w systemie notowań ciągłych – </w:t>
      </w:r>
      <w:r w:rsidRPr="00920145">
        <w:rPr>
          <w:rFonts w:ascii="Verdana" w:hAnsi="Verdana" w:cs="Arial"/>
          <w:sz w:val="20"/>
          <w:szCs w:val="20"/>
        </w:rPr>
        <w:t>we wszystkich fazach sesji giełdowej,</w:t>
      </w:r>
      <w:r w:rsidRPr="00920145">
        <w:rPr>
          <w:rFonts w:ascii="Verdana" w:hAnsi="Verdana"/>
          <w:sz w:val="20"/>
          <w:szCs w:val="20"/>
        </w:rPr>
        <w:t xml:space="preserve"> w tym w trakcie równoważenia, </w:t>
      </w:r>
    </w:p>
    <w:p w14:paraId="0568B28F" w14:textId="1BB3FF60" w:rsidR="00950E6C" w:rsidRPr="00920145" w:rsidRDefault="001E6C29" w:rsidP="000B52EA">
      <w:pPr>
        <w:numPr>
          <w:ilvl w:val="0"/>
          <w:numId w:val="14"/>
        </w:numPr>
        <w:tabs>
          <w:tab w:val="left" w:pos="1134"/>
        </w:tabs>
        <w:spacing w:after="240" w:line="360" w:lineRule="auto"/>
        <w:ind w:left="1134" w:firstLine="0"/>
        <w:jc w:val="both"/>
        <w:rPr>
          <w:rFonts w:ascii="Verdana" w:hAnsi="Verdana"/>
          <w:sz w:val="20"/>
          <w:szCs w:val="20"/>
        </w:rPr>
      </w:pPr>
      <w:r w:rsidRPr="00920145">
        <w:rPr>
          <w:rFonts w:ascii="Verdana" w:hAnsi="Verdana"/>
          <w:sz w:val="20"/>
          <w:szCs w:val="20"/>
        </w:rPr>
        <w:t xml:space="preserve">w systemie kursu jednolitego - </w:t>
      </w:r>
      <w:r w:rsidRPr="00920145">
        <w:rPr>
          <w:rFonts w:ascii="Verdana" w:hAnsi="Verdana" w:cs="Arial"/>
          <w:sz w:val="20"/>
          <w:szCs w:val="20"/>
        </w:rPr>
        <w:t>we wszystkich fazach sesji giełdowej, w tym w trakcie równoważenia.</w:t>
      </w:r>
      <w:r w:rsidR="00D11C72" w:rsidRPr="00920145">
        <w:rPr>
          <w:rFonts w:ascii="Verdana" w:hAnsi="Verdana"/>
          <w:sz w:val="20"/>
          <w:szCs w:val="20"/>
        </w:rPr>
        <w:t>”;</w:t>
      </w:r>
    </w:p>
    <w:p w14:paraId="6358D153" w14:textId="77777777" w:rsidR="00950E6C" w:rsidRPr="00920145" w:rsidRDefault="00950E6C">
      <w:pPr>
        <w:spacing w:after="0" w:line="240" w:lineRule="auto"/>
        <w:rPr>
          <w:rFonts w:ascii="Verdana" w:hAnsi="Verdana"/>
          <w:sz w:val="20"/>
          <w:szCs w:val="20"/>
        </w:rPr>
      </w:pPr>
      <w:r w:rsidRPr="00920145">
        <w:rPr>
          <w:rFonts w:ascii="Verdana" w:hAnsi="Verdana"/>
          <w:sz w:val="20"/>
          <w:szCs w:val="20"/>
        </w:rPr>
        <w:br w:type="page"/>
      </w:r>
    </w:p>
    <w:p w14:paraId="66626D5D" w14:textId="05C6A972" w:rsidR="001E6C29" w:rsidRPr="00920145" w:rsidRDefault="00D11C72" w:rsidP="00F8716B">
      <w:pPr>
        <w:pStyle w:val="Akapitzlist"/>
        <w:numPr>
          <w:ilvl w:val="0"/>
          <w:numId w:val="4"/>
        </w:numPr>
        <w:spacing w:after="120" w:line="360" w:lineRule="auto"/>
        <w:ind w:left="709" w:hanging="425"/>
        <w:contextualSpacing w:val="0"/>
        <w:jc w:val="both"/>
        <w:rPr>
          <w:rFonts w:ascii="Verdana" w:hAnsi="Verdana" w:cs="Vrinda"/>
          <w:sz w:val="20"/>
          <w:szCs w:val="20"/>
        </w:rPr>
      </w:pPr>
      <w:r w:rsidRPr="00920145">
        <w:rPr>
          <w:rFonts w:ascii="Verdana" w:hAnsi="Verdana" w:cs="Vrinda"/>
          <w:sz w:val="20"/>
          <w:szCs w:val="20"/>
        </w:rPr>
        <w:lastRenderedPageBreak/>
        <w:t>§ 16 otrzymuje brzmienie:</w:t>
      </w:r>
    </w:p>
    <w:p w14:paraId="315F2799" w14:textId="5B6799CC" w:rsidR="00D11C72" w:rsidRPr="00920145" w:rsidRDefault="00D11C72" w:rsidP="00A23201">
      <w:pPr>
        <w:pStyle w:val="Akapitzlist"/>
        <w:spacing w:after="120" w:line="360" w:lineRule="auto"/>
        <w:ind w:left="709"/>
        <w:contextualSpacing w:val="0"/>
        <w:jc w:val="both"/>
        <w:rPr>
          <w:rFonts w:ascii="Verdana" w:hAnsi="Verdana" w:cs="Vrinda"/>
          <w:sz w:val="20"/>
          <w:szCs w:val="20"/>
        </w:rPr>
      </w:pPr>
      <w:r w:rsidRPr="00920145">
        <w:rPr>
          <w:rFonts w:ascii="Verdana" w:hAnsi="Verdana" w:cs="Vrinda"/>
          <w:sz w:val="20"/>
          <w:szCs w:val="20"/>
        </w:rPr>
        <w:t>„§ 16</w:t>
      </w:r>
    </w:p>
    <w:p w14:paraId="0083A031" w14:textId="6CA718EF" w:rsidR="00D11C72" w:rsidRPr="00920145" w:rsidRDefault="00D11C72" w:rsidP="00A23201">
      <w:pPr>
        <w:tabs>
          <w:tab w:val="left" w:pos="142"/>
        </w:tabs>
        <w:spacing w:line="360" w:lineRule="auto"/>
        <w:rPr>
          <w:rFonts w:ascii="Verdana" w:hAnsi="Verdana" w:cs="Arial"/>
          <w:b/>
          <w:szCs w:val="20"/>
        </w:rPr>
      </w:pPr>
      <w:r w:rsidRPr="00920145">
        <w:rPr>
          <w:rFonts w:cs="Arial"/>
          <w:b/>
          <w:szCs w:val="20"/>
        </w:rPr>
        <w:tab/>
      </w:r>
      <w:r w:rsidRPr="00920145">
        <w:rPr>
          <w:rFonts w:cs="Arial"/>
          <w:b/>
          <w:szCs w:val="20"/>
        </w:rPr>
        <w:tab/>
      </w:r>
      <w:r w:rsidRPr="00920145">
        <w:rPr>
          <w:rFonts w:ascii="Verdana" w:hAnsi="Verdana" w:cs="Arial"/>
          <w:b/>
          <w:sz w:val="20"/>
          <w:szCs w:val="18"/>
        </w:rPr>
        <w:t xml:space="preserve">Zlecenia po każdej cenie (zlecenia PKC)  </w:t>
      </w:r>
    </w:p>
    <w:p w14:paraId="54A51E17" w14:textId="77777777" w:rsidR="00D11C72" w:rsidRPr="00920145" w:rsidRDefault="00D11C72" w:rsidP="00F8716B">
      <w:pPr>
        <w:numPr>
          <w:ilvl w:val="0"/>
          <w:numId w:val="15"/>
        </w:numPr>
        <w:tabs>
          <w:tab w:val="left" w:pos="567"/>
          <w:tab w:val="left" w:pos="993"/>
        </w:tabs>
        <w:spacing w:after="120" w:line="360" w:lineRule="auto"/>
        <w:ind w:firstLine="334"/>
        <w:jc w:val="both"/>
        <w:rPr>
          <w:rFonts w:ascii="Verdana" w:hAnsi="Verdana"/>
          <w:sz w:val="20"/>
          <w:szCs w:val="20"/>
        </w:rPr>
      </w:pPr>
      <w:r w:rsidRPr="00920145">
        <w:rPr>
          <w:rFonts w:ascii="Verdana" w:hAnsi="Verdana"/>
          <w:sz w:val="20"/>
          <w:szCs w:val="20"/>
        </w:rPr>
        <w:t>Zlecenie PKC nie zawiera limitu ceny.</w:t>
      </w:r>
    </w:p>
    <w:p w14:paraId="5D802B3A" w14:textId="77777777" w:rsidR="00D11C72" w:rsidRPr="00920145" w:rsidRDefault="00D11C72" w:rsidP="00C6538A">
      <w:pPr>
        <w:numPr>
          <w:ilvl w:val="0"/>
          <w:numId w:val="15"/>
        </w:numPr>
        <w:tabs>
          <w:tab w:val="left" w:pos="567"/>
          <w:tab w:val="left" w:pos="993"/>
        </w:tabs>
        <w:spacing w:after="0" w:line="360" w:lineRule="auto"/>
        <w:ind w:firstLine="334"/>
        <w:jc w:val="both"/>
        <w:rPr>
          <w:rFonts w:ascii="Verdana" w:hAnsi="Verdana" w:cs="Arial"/>
          <w:sz w:val="20"/>
          <w:szCs w:val="18"/>
        </w:rPr>
      </w:pPr>
      <w:r w:rsidRPr="00920145">
        <w:rPr>
          <w:rFonts w:ascii="Verdana" w:hAnsi="Verdana" w:cs="Arial"/>
          <w:sz w:val="20"/>
          <w:szCs w:val="18"/>
        </w:rPr>
        <w:t xml:space="preserve">Zlecenia </w:t>
      </w:r>
      <w:r w:rsidRPr="00920145">
        <w:rPr>
          <w:rFonts w:ascii="Verdana" w:hAnsi="Verdana"/>
          <w:sz w:val="20"/>
          <w:szCs w:val="18"/>
        </w:rPr>
        <w:t>PKC</w:t>
      </w:r>
      <w:r w:rsidRPr="00920145">
        <w:rPr>
          <w:rFonts w:ascii="Verdana" w:hAnsi="Verdana" w:cs="Arial"/>
          <w:sz w:val="20"/>
          <w:szCs w:val="18"/>
        </w:rPr>
        <w:t xml:space="preserve"> mogą być składane: </w:t>
      </w:r>
    </w:p>
    <w:p w14:paraId="19073154" w14:textId="4A081BA9" w:rsidR="00D11C72" w:rsidRPr="00920145" w:rsidRDefault="00D11C72" w:rsidP="00C6538A">
      <w:pPr>
        <w:numPr>
          <w:ilvl w:val="2"/>
          <w:numId w:val="17"/>
        </w:numPr>
        <w:tabs>
          <w:tab w:val="left" w:pos="1418"/>
        </w:tabs>
        <w:spacing w:after="0" w:line="360" w:lineRule="auto"/>
        <w:ind w:left="1418" w:hanging="142"/>
        <w:jc w:val="both"/>
        <w:rPr>
          <w:rFonts w:ascii="Verdana" w:hAnsi="Verdana"/>
          <w:sz w:val="20"/>
          <w:szCs w:val="18"/>
        </w:rPr>
      </w:pPr>
      <w:r w:rsidRPr="00920145">
        <w:rPr>
          <w:rFonts w:ascii="Verdana" w:hAnsi="Verdana"/>
          <w:sz w:val="20"/>
          <w:szCs w:val="18"/>
        </w:rPr>
        <w:t xml:space="preserve">w systemie notowań ciągłych - </w:t>
      </w:r>
      <w:r w:rsidRPr="00920145">
        <w:rPr>
          <w:rFonts w:ascii="Verdana" w:hAnsi="Verdana" w:cs="Arial"/>
          <w:sz w:val="20"/>
          <w:szCs w:val="18"/>
        </w:rPr>
        <w:t>we wszystkich fazach sesji giełdowej</w:t>
      </w:r>
      <w:r w:rsidRPr="00920145">
        <w:rPr>
          <w:rFonts w:ascii="Verdana" w:hAnsi="Verdana"/>
          <w:sz w:val="20"/>
          <w:szCs w:val="18"/>
        </w:rPr>
        <w:t xml:space="preserve">, </w:t>
      </w:r>
      <w:r w:rsidR="007677E1" w:rsidRPr="00920145">
        <w:rPr>
          <w:rFonts w:ascii="Verdana" w:hAnsi="Verdana"/>
          <w:sz w:val="20"/>
          <w:szCs w:val="18"/>
        </w:rPr>
        <w:br/>
      </w:r>
      <w:r w:rsidRPr="00920145">
        <w:rPr>
          <w:rFonts w:ascii="Verdana" w:hAnsi="Verdana"/>
          <w:sz w:val="20"/>
          <w:szCs w:val="18"/>
        </w:rPr>
        <w:t xml:space="preserve">w tym w trakcie równoważenia,   </w:t>
      </w:r>
    </w:p>
    <w:p w14:paraId="43FC3483" w14:textId="341A006E" w:rsidR="00D11C72" w:rsidRPr="00920145" w:rsidRDefault="00D11C72" w:rsidP="00C6538A">
      <w:pPr>
        <w:numPr>
          <w:ilvl w:val="2"/>
          <w:numId w:val="17"/>
        </w:numPr>
        <w:tabs>
          <w:tab w:val="left" w:pos="1418"/>
        </w:tabs>
        <w:spacing w:after="120" w:line="360" w:lineRule="auto"/>
        <w:ind w:left="1418" w:hanging="142"/>
        <w:jc w:val="both"/>
        <w:rPr>
          <w:rFonts w:ascii="Verdana" w:hAnsi="Verdana"/>
          <w:sz w:val="20"/>
          <w:szCs w:val="18"/>
        </w:rPr>
      </w:pPr>
      <w:r w:rsidRPr="00920145">
        <w:rPr>
          <w:rFonts w:ascii="Verdana" w:hAnsi="Verdana"/>
          <w:sz w:val="20"/>
          <w:szCs w:val="18"/>
        </w:rPr>
        <w:t xml:space="preserve">w systemie kursu jednolitego – </w:t>
      </w:r>
      <w:r w:rsidRPr="00920145">
        <w:rPr>
          <w:rFonts w:ascii="Verdana" w:hAnsi="Verdana" w:cs="Arial"/>
          <w:sz w:val="20"/>
          <w:szCs w:val="18"/>
        </w:rPr>
        <w:t xml:space="preserve">we wszystkich fazach sesji giełdowej, </w:t>
      </w:r>
      <w:r w:rsidR="007677E1" w:rsidRPr="00920145">
        <w:rPr>
          <w:rFonts w:ascii="Verdana" w:hAnsi="Verdana" w:cs="Arial"/>
          <w:sz w:val="20"/>
          <w:szCs w:val="18"/>
        </w:rPr>
        <w:br/>
      </w:r>
      <w:r w:rsidRPr="00920145">
        <w:rPr>
          <w:rFonts w:ascii="Verdana" w:hAnsi="Verdana" w:cs="Arial"/>
          <w:sz w:val="20"/>
          <w:szCs w:val="18"/>
        </w:rPr>
        <w:t>w tym w trakcie równoważenia</w:t>
      </w:r>
      <w:r w:rsidRPr="00920145">
        <w:rPr>
          <w:rFonts w:ascii="Verdana" w:hAnsi="Verdana"/>
          <w:sz w:val="20"/>
          <w:szCs w:val="18"/>
        </w:rPr>
        <w:t xml:space="preserve">. </w:t>
      </w:r>
    </w:p>
    <w:p w14:paraId="3D776CFE" w14:textId="648F5439" w:rsidR="00D11C72" w:rsidRPr="00920145" w:rsidRDefault="00D11C72" w:rsidP="00F8716B">
      <w:pPr>
        <w:numPr>
          <w:ilvl w:val="0"/>
          <w:numId w:val="15"/>
        </w:numPr>
        <w:tabs>
          <w:tab w:val="left" w:pos="567"/>
          <w:tab w:val="left" w:pos="993"/>
        </w:tabs>
        <w:spacing w:after="120" w:line="360" w:lineRule="auto"/>
        <w:ind w:left="709" w:firstLine="0"/>
        <w:jc w:val="both"/>
        <w:rPr>
          <w:rFonts w:ascii="Verdana" w:hAnsi="Verdana"/>
          <w:sz w:val="20"/>
          <w:szCs w:val="18"/>
        </w:rPr>
      </w:pPr>
      <w:r w:rsidRPr="00920145">
        <w:rPr>
          <w:rFonts w:ascii="Verdana" w:hAnsi="Verdana" w:cs="Arial"/>
          <w:sz w:val="20"/>
          <w:szCs w:val="18"/>
        </w:rPr>
        <w:t xml:space="preserve">Z zastrzeżeniem ust. 4, w fazie notowań ciągłych zlecenie PKC realizowane jest po najlepszych możliwych cenach zleceń przeciwstawnych oczekujących na realizację w arkuszu zleceń. </w:t>
      </w:r>
      <w:r w:rsidRPr="00920145">
        <w:rPr>
          <w:rFonts w:ascii="Verdana" w:hAnsi="Verdana"/>
          <w:sz w:val="20"/>
          <w:szCs w:val="18"/>
        </w:rPr>
        <w:t xml:space="preserve">W przypadku częściowej realizacji zlecenia PKC, </w:t>
      </w:r>
      <w:r w:rsidRPr="00920145">
        <w:rPr>
          <w:rFonts w:ascii="Verdana" w:hAnsi="Verdana" w:cs="Arial"/>
          <w:sz w:val="20"/>
          <w:szCs w:val="18"/>
        </w:rPr>
        <w:t>niezrealizowana część tego zlecenia traci ważność.</w:t>
      </w:r>
    </w:p>
    <w:p w14:paraId="299D193A" w14:textId="29EF6466" w:rsidR="00D11C72" w:rsidRPr="00920145" w:rsidRDefault="00D11C72" w:rsidP="00F8716B">
      <w:pPr>
        <w:numPr>
          <w:ilvl w:val="0"/>
          <w:numId w:val="15"/>
        </w:numPr>
        <w:tabs>
          <w:tab w:val="left" w:pos="567"/>
          <w:tab w:val="left" w:pos="993"/>
        </w:tabs>
        <w:spacing w:after="120" w:line="360" w:lineRule="auto"/>
        <w:ind w:left="709" w:firstLine="0"/>
        <w:jc w:val="both"/>
        <w:rPr>
          <w:rFonts w:ascii="Verdana" w:hAnsi="Verdana"/>
          <w:sz w:val="20"/>
          <w:szCs w:val="18"/>
        </w:rPr>
      </w:pPr>
      <w:r w:rsidRPr="00920145">
        <w:rPr>
          <w:rFonts w:ascii="Verdana" w:hAnsi="Verdana" w:cs="Arial"/>
          <w:sz w:val="20"/>
          <w:szCs w:val="18"/>
        </w:rPr>
        <w:t xml:space="preserve">W przypadku, gdy w chwili przyjęcia zlecenia PKC </w:t>
      </w:r>
      <w:r w:rsidRPr="00920145">
        <w:rPr>
          <w:rFonts w:ascii="Verdana" w:hAnsi="Verdana"/>
          <w:sz w:val="20"/>
          <w:szCs w:val="20"/>
        </w:rPr>
        <w:t xml:space="preserve">w fazie notowań ciągłych lub fazie dogrywki </w:t>
      </w:r>
      <w:r w:rsidRPr="00920145">
        <w:rPr>
          <w:rFonts w:ascii="Verdana" w:hAnsi="Verdana" w:cs="Arial"/>
          <w:sz w:val="20"/>
          <w:szCs w:val="18"/>
        </w:rPr>
        <w:t xml:space="preserve">w arkuszu zleceń brak jest zleceń przeciwstawnych, zlecenie PKC traci ważność. </w:t>
      </w:r>
    </w:p>
    <w:p w14:paraId="0ADD8E74" w14:textId="516AAEB6" w:rsidR="00D11C72" w:rsidRPr="00920145" w:rsidRDefault="00D11C72" w:rsidP="00F8716B">
      <w:pPr>
        <w:numPr>
          <w:ilvl w:val="0"/>
          <w:numId w:val="15"/>
        </w:numPr>
        <w:tabs>
          <w:tab w:val="left" w:pos="567"/>
          <w:tab w:val="left" w:pos="993"/>
        </w:tabs>
        <w:spacing w:after="120" w:line="360" w:lineRule="auto"/>
        <w:ind w:left="709" w:firstLine="0"/>
        <w:jc w:val="both"/>
        <w:rPr>
          <w:rFonts w:ascii="Verdana" w:hAnsi="Verdana"/>
          <w:sz w:val="20"/>
          <w:szCs w:val="18"/>
        </w:rPr>
      </w:pPr>
      <w:r w:rsidRPr="00920145">
        <w:rPr>
          <w:rFonts w:ascii="Verdana" w:hAnsi="Verdana" w:cs="Arial"/>
          <w:sz w:val="20"/>
          <w:szCs w:val="18"/>
        </w:rPr>
        <w:t xml:space="preserve">Zlecenia PKC mają taki sam priorytet realizacji jak zlecenia PCR, i tak samo jak zlecenia PCR - mają najwyższy priorytet realizacji ze względu na cenę. </w:t>
      </w:r>
    </w:p>
    <w:p w14:paraId="7AA6BF4A" w14:textId="68CEDFE6" w:rsidR="00D11C72" w:rsidRPr="00920145" w:rsidRDefault="00D11C72" w:rsidP="00F8716B">
      <w:pPr>
        <w:numPr>
          <w:ilvl w:val="0"/>
          <w:numId w:val="15"/>
        </w:numPr>
        <w:tabs>
          <w:tab w:val="left" w:pos="567"/>
          <w:tab w:val="left" w:pos="993"/>
        </w:tabs>
        <w:spacing w:after="120" w:line="360" w:lineRule="auto"/>
        <w:ind w:left="709" w:firstLine="0"/>
        <w:jc w:val="both"/>
        <w:rPr>
          <w:rFonts w:ascii="Verdana" w:hAnsi="Verdana"/>
          <w:sz w:val="20"/>
          <w:szCs w:val="18"/>
        </w:rPr>
      </w:pPr>
      <w:r w:rsidRPr="00920145">
        <w:rPr>
          <w:rFonts w:ascii="Verdana" w:hAnsi="Verdana"/>
          <w:sz w:val="20"/>
          <w:szCs w:val="18"/>
        </w:rPr>
        <w:t xml:space="preserve">Z zastrzeżeniem ust. 8, jeżeli w systemie kursu jednolitego w fazie aukcji otwarcia zlecenie PKC nie zostanie zrealizowane to zlecenie to (lub jego niezrealizowana część) traci ważność.  </w:t>
      </w:r>
    </w:p>
    <w:p w14:paraId="6A0563E7" w14:textId="77777777" w:rsidR="00D11C72" w:rsidRPr="00920145" w:rsidRDefault="00D11C72" w:rsidP="00F8716B">
      <w:pPr>
        <w:numPr>
          <w:ilvl w:val="0"/>
          <w:numId w:val="15"/>
        </w:numPr>
        <w:tabs>
          <w:tab w:val="left" w:pos="567"/>
          <w:tab w:val="left" w:pos="993"/>
        </w:tabs>
        <w:spacing w:after="120" w:line="360" w:lineRule="auto"/>
        <w:ind w:left="709" w:firstLine="0"/>
        <w:jc w:val="both"/>
        <w:rPr>
          <w:rFonts w:ascii="Verdana" w:hAnsi="Verdana"/>
          <w:sz w:val="20"/>
          <w:szCs w:val="18"/>
        </w:rPr>
      </w:pPr>
      <w:r w:rsidRPr="00920145">
        <w:rPr>
          <w:rFonts w:ascii="Verdana" w:hAnsi="Verdana"/>
          <w:sz w:val="20"/>
          <w:szCs w:val="18"/>
        </w:rPr>
        <w:t xml:space="preserve">Z zastrzeżeniem ust. 8, jeżeli w systemie notowań ciągłych: </w:t>
      </w:r>
    </w:p>
    <w:p w14:paraId="6BD69604" w14:textId="77777777" w:rsidR="00D11C72" w:rsidRPr="00920145" w:rsidRDefault="00D11C72" w:rsidP="00F8716B">
      <w:pPr>
        <w:numPr>
          <w:ilvl w:val="0"/>
          <w:numId w:val="16"/>
        </w:numPr>
        <w:spacing w:after="120" w:line="360" w:lineRule="auto"/>
        <w:ind w:left="993" w:firstLine="0"/>
        <w:jc w:val="both"/>
        <w:rPr>
          <w:rFonts w:ascii="Verdana" w:hAnsi="Verdana"/>
          <w:sz w:val="20"/>
          <w:szCs w:val="18"/>
        </w:rPr>
      </w:pPr>
      <w:r w:rsidRPr="00920145">
        <w:rPr>
          <w:rFonts w:ascii="Verdana" w:hAnsi="Verdana"/>
          <w:sz w:val="20"/>
          <w:szCs w:val="18"/>
        </w:rPr>
        <w:t>w fazie aukcji otwarcia zlecenie PKC nie zostanie zrealizowane to zlecenie to (lub jego niezrealizowana część) traci ważność, </w:t>
      </w:r>
    </w:p>
    <w:p w14:paraId="22461662" w14:textId="63706C72" w:rsidR="00D11C72" w:rsidRPr="00920145" w:rsidRDefault="00D11C72" w:rsidP="00F8716B">
      <w:pPr>
        <w:numPr>
          <w:ilvl w:val="0"/>
          <w:numId w:val="16"/>
        </w:numPr>
        <w:spacing w:after="120" w:line="360" w:lineRule="auto"/>
        <w:ind w:left="993" w:firstLine="0"/>
        <w:jc w:val="both"/>
        <w:rPr>
          <w:rFonts w:ascii="Verdana" w:hAnsi="Verdana"/>
          <w:sz w:val="20"/>
          <w:szCs w:val="18"/>
        </w:rPr>
      </w:pPr>
      <w:r w:rsidRPr="00920145">
        <w:rPr>
          <w:rFonts w:ascii="Verdana" w:hAnsi="Verdana"/>
          <w:sz w:val="20"/>
          <w:szCs w:val="18"/>
        </w:rPr>
        <w:t xml:space="preserve">w fazie aukcji zamknięcia zlecenie PKC nie zostanie zrealizowane to zlecenie to (lub jego niezrealizowana część) traci ważność. </w:t>
      </w:r>
    </w:p>
    <w:p w14:paraId="75D57C0C" w14:textId="6678FB24" w:rsidR="00D11C72" w:rsidRPr="00920145" w:rsidRDefault="00D11C72" w:rsidP="00F8716B">
      <w:pPr>
        <w:numPr>
          <w:ilvl w:val="0"/>
          <w:numId w:val="15"/>
        </w:numPr>
        <w:tabs>
          <w:tab w:val="left" w:pos="567"/>
          <w:tab w:val="left" w:pos="993"/>
        </w:tabs>
        <w:spacing w:after="120" w:line="360" w:lineRule="auto"/>
        <w:ind w:left="709" w:firstLine="0"/>
        <w:jc w:val="both"/>
        <w:rPr>
          <w:rFonts w:ascii="Verdana" w:hAnsi="Verdana"/>
          <w:sz w:val="20"/>
          <w:szCs w:val="18"/>
        </w:rPr>
      </w:pPr>
      <w:bookmarkStart w:id="11" w:name="_Hlk199240175"/>
      <w:r w:rsidRPr="00920145">
        <w:rPr>
          <w:rFonts w:ascii="Verdana" w:hAnsi="Verdana"/>
          <w:sz w:val="20"/>
          <w:szCs w:val="18"/>
        </w:rPr>
        <w:t xml:space="preserve">W przypadku, gdy </w:t>
      </w:r>
      <w:r w:rsidR="000B52EA" w:rsidRPr="00920145">
        <w:rPr>
          <w:rFonts w:ascii="Verdana" w:hAnsi="Verdana"/>
          <w:sz w:val="20"/>
          <w:szCs w:val="18"/>
        </w:rPr>
        <w:t xml:space="preserve">bezpośrednio </w:t>
      </w:r>
      <w:r w:rsidRPr="00920145">
        <w:rPr>
          <w:rFonts w:ascii="Verdana" w:hAnsi="Verdana"/>
          <w:sz w:val="20"/>
          <w:szCs w:val="18"/>
        </w:rPr>
        <w:t xml:space="preserve">po fazie aukcji otwarcia/fazie aukcji zamknięcia następuje równoważenie, utrata ważności zlecenia PKC (lub jego niezrealizowanej części) następuje po zakończeniu tego równoważenia. </w:t>
      </w:r>
    </w:p>
    <w:bookmarkEnd w:id="11"/>
    <w:p w14:paraId="1A04DF62" w14:textId="2CDAEA86" w:rsidR="00D11C72" w:rsidRPr="00920145" w:rsidRDefault="00D11C72" w:rsidP="00F8716B">
      <w:pPr>
        <w:numPr>
          <w:ilvl w:val="0"/>
          <w:numId w:val="15"/>
        </w:numPr>
        <w:tabs>
          <w:tab w:val="left" w:pos="567"/>
          <w:tab w:val="left" w:pos="993"/>
        </w:tabs>
        <w:spacing w:after="120" w:line="360" w:lineRule="auto"/>
        <w:ind w:left="709" w:firstLine="0"/>
        <w:jc w:val="both"/>
        <w:rPr>
          <w:rFonts w:ascii="Verdana" w:hAnsi="Verdana"/>
          <w:sz w:val="20"/>
          <w:szCs w:val="18"/>
        </w:rPr>
      </w:pPr>
      <w:r w:rsidRPr="00920145">
        <w:rPr>
          <w:rFonts w:ascii="Verdana" w:hAnsi="Verdana" w:cs="Arial"/>
          <w:sz w:val="20"/>
          <w:szCs w:val="18"/>
        </w:rPr>
        <w:t>W fazie notowań ciągłych i fazie dogrywki zlecenia PKC mogą być składane wyłącznie z oznaczeniem ważności WIA, WLA, WNF lub WNZ, z zastrzeżeniem ust. 10.</w:t>
      </w:r>
    </w:p>
    <w:p w14:paraId="47FA725E" w14:textId="27B3BDAE" w:rsidR="00D11C72" w:rsidRPr="00920145" w:rsidRDefault="00D11C72" w:rsidP="00F8716B">
      <w:pPr>
        <w:numPr>
          <w:ilvl w:val="0"/>
          <w:numId w:val="15"/>
        </w:numPr>
        <w:tabs>
          <w:tab w:val="left" w:pos="567"/>
          <w:tab w:val="left" w:pos="993"/>
          <w:tab w:val="left" w:pos="1134"/>
        </w:tabs>
        <w:spacing w:after="120" w:line="360" w:lineRule="auto"/>
        <w:ind w:left="709" w:firstLine="0"/>
        <w:jc w:val="both"/>
        <w:rPr>
          <w:rFonts w:ascii="Verdana" w:hAnsi="Verdana"/>
          <w:sz w:val="20"/>
          <w:szCs w:val="18"/>
        </w:rPr>
      </w:pPr>
      <w:r w:rsidRPr="00920145">
        <w:rPr>
          <w:rFonts w:ascii="Verdana" w:hAnsi="Verdana" w:cs="Arial"/>
          <w:sz w:val="20"/>
          <w:szCs w:val="18"/>
        </w:rPr>
        <w:lastRenderedPageBreak/>
        <w:t>W fazie aukcji otwarcia/fazie aukcji zamknięcia oraz w trakcie równoważenia zlecenia PKC mogą być składane wyłącznie z oznaczeniem ważności WNF lub WNZ.</w:t>
      </w:r>
    </w:p>
    <w:p w14:paraId="6E0249BA" w14:textId="699F0DDC" w:rsidR="00D11C72" w:rsidRPr="00920145" w:rsidRDefault="00D11C72" w:rsidP="00F8716B">
      <w:pPr>
        <w:numPr>
          <w:ilvl w:val="0"/>
          <w:numId w:val="15"/>
        </w:numPr>
        <w:tabs>
          <w:tab w:val="left" w:pos="567"/>
          <w:tab w:val="left" w:pos="993"/>
          <w:tab w:val="left" w:pos="1134"/>
        </w:tabs>
        <w:spacing w:after="120" w:line="360" w:lineRule="auto"/>
        <w:ind w:left="709" w:firstLine="0"/>
        <w:jc w:val="both"/>
        <w:rPr>
          <w:rFonts w:ascii="Verdana" w:hAnsi="Verdana"/>
          <w:sz w:val="20"/>
          <w:szCs w:val="18"/>
        </w:rPr>
      </w:pPr>
      <w:r w:rsidRPr="00920145">
        <w:rPr>
          <w:rFonts w:ascii="Verdana" w:hAnsi="Verdana" w:cs="Arial"/>
          <w:sz w:val="20"/>
          <w:szCs w:val="18"/>
        </w:rPr>
        <w:t xml:space="preserve">Jeżeli po przyjęciu zlecenia z oznaczeniem ważności WIA w arkuszu zleceń brak jest zleceń przeciwstawnych z limitem ceny umożliwiającym zawarcie transakcji po kursie zgodnym z ograniczeniami wahań kursów, zlecenie PKC </w:t>
      </w:r>
      <w:r w:rsidR="007677E1" w:rsidRPr="00920145">
        <w:rPr>
          <w:rFonts w:ascii="Verdana" w:hAnsi="Verdana" w:cs="Arial"/>
          <w:sz w:val="20"/>
          <w:szCs w:val="18"/>
        </w:rPr>
        <w:br/>
      </w:r>
      <w:r w:rsidRPr="00920145">
        <w:rPr>
          <w:rFonts w:ascii="Verdana" w:hAnsi="Verdana" w:cs="Arial"/>
          <w:sz w:val="20"/>
          <w:szCs w:val="18"/>
        </w:rPr>
        <w:t>z oznaczeniem ważności WIA traci ważność.</w:t>
      </w:r>
    </w:p>
    <w:p w14:paraId="30840512" w14:textId="34EDF150" w:rsidR="00D11C72" w:rsidRPr="00920145" w:rsidRDefault="00D11C72" w:rsidP="00F8716B">
      <w:pPr>
        <w:numPr>
          <w:ilvl w:val="0"/>
          <w:numId w:val="15"/>
        </w:numPr>
        <w:tabs>
          <w:tab w:val="left" w:pos="567"/>
          <w:tab w:val="left" w:pos="993"/>
          <w:tab w:val="left" w:pos="1134"/>
        </w:tabs>
        <w:spacing w:after="240" w:line="360" w:lineRule="auto"/>
        <w:ind w:left="709" w:firstLine="0"/>
        <w:jc w:val="both"/>
        <w:rPr>
          <w:rFonts w:ascii="Verdana" w:hAnsi="Verdana"/>
          <w:sz w:val="20"/>
          <w:szCs w:val="18"/>
        </w:rPr>
      </w:pPr>
      <w:r w:rsidRPr="00920145">
        <w:rPr>
          <w:rFonts w:ascii="Verdana" w:hAnsi="Verdana" w:cs="Arial"/>
          <w:sz w:val="20"/>
          <w:szCs w:val="20"/>
        </w:rPr>
        <w:t xml:space="preserve">W przypadku, gdy </w:t>
      </w:r>
      <w:r w:rsidRPr="00920145">
        <w:rPr>
          <w:rFonts w:ascii="Verdana" w:hAnsi="Verdana"/>
          <w:sz w:val="20"/>
          <w:szCs w:val="20"/>
        </w:rPr>
        <w:t>na zakończenie fazy aukcji otwarcia</w:t>
      </w:r>
      <w:r w:rsidR="007677E1" w:rsidRPr="00920145">
        <w:rPr>
          <w:rFonts w:ascii="Verdana" w:hAnsi="Verdana"/>
          <w:sz w:val="20"/>
          <w:szCs w:val="20"/>
        </w:rPr>
        <w:t xml:space="preserve">, </w:t>
      </w:r>
      <w:r w:rsidRPr="00920145">
        <w:rPr>
          <w:rFonts w:ascii="Verdana" w:hAnsi="Verdana"/>
          <w:sz w:val="20"/>
          <w:szCs w:val="20"/>
        </w:rPr>
        <w:t xml:space="preserve">fazy aukcji zamknięcia lub równoważenia </w:t>
      </w:r>
      <w:r w:rsidRPr="00920145">
        <w:rPr>
          <w:rFonts w:ascii="Verdana" w:hAnsi="Verdana" w:cs="Arial"/>
          <w:sz w:val="20"/>
          <w:szCs w:val="20"/>
        </w:rPr>
        <w:t xml:space="preserve">w arkuszu zleceń istnieją zlecenia PKC i PCR, </w:t>
      </w:r>
      <w:r w:rsidR="007677E1" w:rsidRPr="00920145">
        <w:rPr>
          <w:rFonts w:ascii="Verdana" w:hAnsi="Verdana" w:cs="Arial"/>
          <w:sz w:val="20"/>
          <w:szCs w:val="20"/>
        </w:rPr>
        <w:br/>
      </w:r>
      <w:r w:rsidRPr="00920145">
        <w:rPr>
          <w:rFonts w:ascii="Verdana" w:hAnsi="Verdana" w:cs="Arial"/>
          <w:sz w:val="20"/>
          <w:szCs w:val="20"/>
        </w:rPr>
        <w:t>o kolejności ich realizacji decyduje priorytet czasu ich przyjęcia do arkusza zleceń.”;</w:t>
      </w:r>
    </w:p>
    <w:p w14:paraId="7D3C2A6C" w14:textId="0DEE0B42" w:rsidR="00674216" w:rsidRPr="00920145" w:rsidRDefault="0051465A" w:rsidP="00F8716B">
      <w:pPr>
        <w:pStyle w:val="Akapitzlist"/>
        <w:numPr>
          <w:ilvl w:val="0"/>
          <w:numId w:val="4"/>
        </w:numPr>
        <w:spacing w:after="120" w:line="360" w:lineRule="auto"/>
        <w:ind w:left="709" w:hanging="425"/>
        <w:contextualSpacing w:val="0"/>
        <w:jc w:val="both"/>
        <w:rPr>
          <w:rFonts w:ascii="Verdana" w:hAnsi="Verdana" w:cs="Vrinda"/>
          <w:sz w:val="20"/>
          <w:szCs w:val="20"/>
        </w:rPr>
      </w:pPr>
      <w:r w:rsidRPr="00920145">
        <w:rPr>
          <w:rFonts w:ascii="Verdana" w:hAnsi="Verdana" w:cs="Vrinda"/>
          <w:sz w:val="20"/>
          <w:szCs w:val="20"/>
        </w:rPr>
        <w:t>§ 17 otrzymuje brzmienie:</w:t>
      </w:r>
    </w:p>
    <w:p w14:paraId="00329AA7" w14:textId="0A94743F" w:rsidR="0051465A" w:rsidRPr="00920145" w:rsidRDefault="0051465A" w:rsidP="00A23201">
      <w:pPr>
        <w:pStyle w:val="Akapitzlist"/>
        <w:spacing w:after="120" w:line="360" w:lineRule="auto"/>
        <w:ind w:left="709"/>
        <w:contextualSpacing w:val="0"/>
        <w:jc w:val="both"/>
        <w:rPr>
          <w:rFonts w:ascii="Verdana" w:hAnsi="Verdana" w:cs="Vrinda"/>
          <w:sz w:val="20"/>
          <w:szCs w:val="20"/>
        </w:rPr>
      </w:pPr>
      <w:r w:rsidRPr="00920145">
        <w:rPr>
          <w:rFonts w:ascii="Verdana" w:hAnsi="Verdana" w:cs="Vrinda"/>
          <w:sz w:val="20"/>
          <w:szCs w:val="20"/>
        </w:rPr>
        <w:t>„§ 17</w:t>
      </w:r>
    </w:p>
    <w:p w14:paraId="370DE769" w14:textId="77777777" w:rsidR="0013712D" w:rsidRPr="00920145" w:rsidRDefault="0013712D" w:rsidP="00A23201">
      <w:pPr>
        <w:spacing w:line="360" w:lineRule="auto"/>
        <w:ind w:firstLine="708"/>
        <w:rPr>
          <w:rFonts w:ascii="Verdana" w:hAnsi="Verdana"/>
          <w:b/>
          <w:sz w:val="20"/>
          <w:szCs w:val="20"/>
        </w:rPr>
      </w:pPr>
      <w:r w:rsidRPr="00920145">
        <w:rPr>
          <w:rFonts w:ascii="Verdana" w:hAnsi="Verdana"/>
          <w:b/>
          <w:sz w:val="20"/>
          <w:szCs w:val="20"/>
        </w:rPr>
        <w:t>Zlecenia po cenie rynkowej (zlecenia PCR)</w:t>
      </w:r>
    </w:p>
    <w:p w14:paraId="2B736EDA" w14:textId="77777777" w:rsidR="0013712D" w:rsidRPr="00920145" w:rsidRDefault="0013712D" w:rsidP="00F8716B">
      <w:pPr>
        <w:numPr>
          <w:ilvl w:val="0"/>
          <w:numId w:val="18"/>
        </w:numPr>
        <w:tabs>
          <w:tab w:val="left" w:pos="993"/>
        </w:tabs>
        <w:spacing w:after="120" w:line="360" w:lineRule="auto"/>
        <w:ind w:firstLine="312"/>
        <w:jc w:val="both"/>
        <w:rPr>
          <w:rFonts w:ascii="Verdana" w:hAnsi="Verdana"/>
          <w:sz w:val="20"/>
          <w:szCs w:val="20"/>
        </w:rPr>
      </w:pPr>
      <w:r w:rsidRPr="00920145">
        <w:rPr>
          <w:rFonts w:ascii="Verdana" w:hAnsi="Verdana"/>
          <w:sz w:val="20"/>
          <w:szCs w:val="20"/>
        </w:rPr>
        <w:t>Zlecenie PCR nie zawiera limitu ceny.</w:t>
      </w:r>
    </w:p>
    <w:p w14:paraId="06707485" w14:textId="77777777" w:rsidR="0013712D" w:rsidRPr="00920145" w:rsidRDefault="0013712D" w:rsidP="00C6538A">
      <w:pPr>
        <w:numPr>
          <w:ilvl w:val="0"/>
          <w:numId w:val="18"/>
        </w:numPr>
        <w:tabs>
          <w:tab w:val="left" w:pos="993"/>
        </w:tabs>
        <w:spacing w:after="0" w:line="360" w:lineRule="auto"/>
        <w:ind w:firstLine="312"/>
        <w:jc w:val="both"/>
        <w:rPr>
          <w:rFonts w:ascii="Verdana" w:hAnsi="Verdana" w:cs="Arial"/>
          <w:sz w:val="20"/>
          <w:szCs w:val="18"/>
        </w:rPr>
      </w:pPr>
      <w:r w:rsidRPr="00920145">
        <w:rPr>
          <w:rFonts w:ascii="Verdana" w:hAnsi="Verdana" w:cs="Arial"/>
          <w:sz w:val="20"/>
          <w:szCs w:val="18"/>
        </w:rPr>
        <w:t>Zlecenia PCR mogą być składane</w:t>
      </w:r>
      <w:r w:rsidRPr="00920145">
        <w:rPr>
          <w:rFonts w:ascii="Verdana" w:hAnsi="Verdana"/>
          <w:sz w:val="20"/>
          <w:szCs w:val="18"/>
        </w:rPr>
        <w:t xml:space="preserve">: </w:t>
      </w:r>
    </w:p>
    <w:p w14:paraId="2332C532" w14:textId="659A648B" w:rsidR="0013712D" w:rsidRPr="00920145" w:rsidRDefault="0013712D" w:rsidP="00C6538A">
      <w:pPr>
        <w:numPr>
          <w:ilvl w:val="0"/>
          <w:numId w:val="19"/>
        </w:numPr>
        <w:tabs>
          <w:tab w:val="left" w:pos="1276"/>
        </w:tabs>
        <w:spacing w:after="0" w:line="360" w:lineRule="auto"/>
        <w:ind w:left="1276" w:hanging="283"/>
        <w:jc w:val="both"/>
        <w:rPr>
          <w:rFonts w:ascii="Verdana" w:hAnsi="Verdana" w:cs="Arial"/>
          <w:sz w:val="20"/>
          <w:szCs w:val="18"/>
        </w:rPr>
      </w:pPr>
      <w:r w:rsidRPr="00920145">
        <w:rPr>
          <w:rFonts w:ascii="Verdana" w:hAnsi="Verdana"/>
          <w:sz w:val="20"/>
          <w:szCs w:val="18"/>
        </w:rPr>
        <w:t xml:space="preserve">w systemie notowań ciągłych - </w:t>
      </w:r>
      <w:r w:rsidRPr="00920145">
        <w:rPr>
          <w:rFonts w:ascii="Verdana" w:hAnsi="Verdana" w:cs="Arial"/>
          <w:sz w:val="20"/>
          <w:szCs w:val="18"/>
        </w:rPr>
        <w:t xml:space="preserve">we wszystkich fazach sesji giełdowej, </w:t>
      </w:r>
      <w:r w:rsidR="007677E1" w:rsidRPr="00920145">
        <w:rPr>
          <w:rFonts w:ascii="Verdana" w:hAnsi="Verdana" w:cs="Arial"/>
          <w:sz w:val="20"/>
          <w:szCs w:val="18"/>
        </w:rPr>
        <w:br/>
      </w:r>
      <w:r w:rsidRPr="00920145">
        <w:rPr>
          <w:rFonts w:ascii="Verdana" w:hAnsi="Verdana" w:cs="Arial"/>
          <w:sz w:val="20"/>
          <w:szCs w:val="18"/>
        </w:rPr>
        <w:t xml:space="preserve">w tym w trakcie równoważenia, </w:t>
      </w:r>
    </w:p>
    <w:p w14:paraId="6DC3CF73" w14:textId="6AFD2ED9" w:rsidR="0013712D" w:rsidRPr="00920145" w:rsidRDefault="0013712D" w:rsidP="00F8716B">
      <w:pPr>
        <w:numPr>
          <w:ilvl w:val="0"/>
          <w:numId w:val="19"/>
        </w:numPr>
        <w:tabs>
          <w:tab w:val="left" w:pos="1276"/>
        </w:tabs>
        <w:spacing w:after="120" w:line="360" w:lineRule="auto"/>
        <w:ind w:left="1276" w:hanging="283"/>
        <w:jc w:val="both"/>
        <w:rPr>
          <w:rFonts w:ascii="Verdana" w:hAnsi="Verdana" w:cs="Arial"/>
          <w:sz w:val="20"/>
          <w:szCs w:val="18"/>
        </w:rPr>
      </w:pPr>
      <w:r w:rsidRPr="00920145">
        <w:rPr>
          <w:rFonts w:ascii="Verdana" w:hAnsi="Verdana"/>
          <w:sz w:val="20"/>
          <w:szCs w:val="18"/>
        </w:rPr>
        <w:t xml:space="preserve">w systemie kursu jednolitego -  </w:t>
      </w:r>
      <w:r w:rsidRPr="00920145">
        <w:rPr>
          <w:rFonts w:ascii="Verdana" w:hAnsi="Verdana" w:cs="Arial"/>
          <w:sz w:val="20"/>
          <w:szCs w:val="18"/>
        </w:rPr>
        <w:t>we wszystkich fazach sesji giełdowej, w tym w trakcie równoważenia</w:t>
      </w:r>
      <w:r w:rsidRPr="00920145">
        <w:rPr>
          <w:rFonts w:ascii="Verdana" w:hAnsi="Verdana"/>
          <w:sz w:val="20"/>
          <w:szCs w:val="18"/>
        </w:rPr>
        <w:t xml:space="preserve">. </w:t>
      </w:r>
    </w:p>
    <w:p w14:paraId="0BFA6924" w14:textId="6090A077" w:rsidR="0013712D" w:rsidRPr="00920145" w:rsidRDefault="0013712D" w:rsidP="00F8716B">
      <w:pPr>
        <w:numPr>
          <w:ilvl w:val="0"/>
          <w:numId w:val="18"/>
        </w:numPr>
        <w:tabs>
          <w:tab w:val="clear" w:pos="397"/>
          <w:tab w:val="num" w:pos="993"/>
        </w:tabs>
        <w:spacing w:after="120" w:line="360" w:lineRule="auto"/>
        <w:ind w:left="709" w:firstLine="0"/>
        <w:jc w:val="both"/>
        <w:rPr>
          <w:rFonts w:ascii="Verdana" w:hAnsi="Verdana" w:cs="Arial"/>
          <w:sz w:val="20"/>
          <w:szCs w:val="18"/>
        </w:rPr>
      </w:pPr>
      <w:r w:rsidRPr="00920145">
        <w:rPr>
          <w:rFonts w:ascii="Verdana" w:hAnsi="Verdana" w:cs="Arial"/>
          <w:sz w:val="20"/>
          <w:szCs w:val="18"/>
        </w:rPr>
        <w:t>Z zastrzeżeniem ust. 4, w fazie notowań ciągłych zlecenie PCR realizowane jest po najlepszej możliwej cenie zlecenia przeciwstawnego oczekującego na realizację w arkuszu zleceń.</w:t>
      </w:r>
      <w:r w:rsidRPr="00920145">
        <w:rPr>
          <w:rFonts w:ascii="Verdana" w:hAnsi="Verdana"/>
          <w:sz w:val="20"/>
          <w:szCs w:val="18"/>
        </w:rPr>
        <w:t xml:space="preserve"> W przypadku częściowej realizacji zlecenia PCR, niezrealizowana część tego traci ważność.</w:t>
      </w:r>
    </w:p>
    <w:p w14:paraId="20A02F05" w14:textId="0B8D42A9" w:rsidR="0013712D" w:rsidRPr="00920145" w:rsidRDefault="0013712D" w:rsidP="00F8716B">
      <w:pPr>
        <w:numPr>
          <w:ilvl w:val="0"/>
          <w:numId w:val="18"/>
        </w:numPr>
        <w:tabs>
          <w:tab w:val="clear" w:pos="397"/>
          <w:tab w:val="num" w:pos="993"/>
        </w:tabs>
        <w:spacing w:after="120" w:line="360" w:lineRule="auto"/>
        <w:ind w:left="709" w:firstLine="0"/>
        <w:jc w:val="both"/>
        <w:rPr>
          <w:rFonts w:ascii="Verdana" w:hAnsi="Verdana" w:cs="Arial"/>
          <w:sz w:val="20"/>
          <w:szCs w:val="18"/>
        </w:rPr>
      </w:pPr>
      <w:r w:rsidRPr="00920145">
        <w:rPr>
          <w:rFonts w:ascii="Verdana" w:hAnsi="Verdana" w:cs="Arial"/>
          <w:sz w:val="20"/>
          <w:szCs w:val="18"/>
        </w:rPr>
        <w:t xml:space="preserve">W przypadku, gdy w chwili przyjęcia zlecenia PCR </w:t>
      </w:r>
      <w:r w:rsidRPr="00920145">
        <w:rPr>
          <w:rFonts w:ascii="Verdana" w:hAnsi="Verdana"/>
          <w:sz w:val="20"/>
          <w:szCs w:val="20"/>
        </w:rPr>
        <w:t xml:space="preserve">w fazie notowań ciągłych lub fazie dogrywki </w:t>
      </w:r>
      <w:r w:rsidRPr="00920145">
        <w:rPr>
          <w:rFonts w:ascii="Verdana" w:hAnsi="Verdana" w:cs="Arial"/>
          <w:sz w:val="20"/>
          <w:szCs w:val="18"/>
        </w:rPr>
        <w:t>w arkuszu zleceń brak jest zleceń przeciwstawnych, zlecenie PCR traci ważność</w:t>
      </w:r>
      <w:r w:rsidRPr="00920145">
        <w:rPr>
          <w:rFonts w:ascii="Verdana" w:hAnsi="Verdana"/>
          <w:sz w:val="20"/>
          <w:szCs w:val="18"/>
        </w:rPr>
        <w:t>.</w:t>
      </w:r>
    </w:p>
    <w:p w14:paraId="62AC7893" w14:textId="0CA54CB7" w:rsidR="0013712D" w:rsidRPr="00920145" w:rsidRDefault="0013712D" w:rsidP="00F8716B">
      <w:pPr>
        <w:numPr>
          <w:ilvl w:val="0"/>
          <w:numId w:val="18"/>
        </w:numPr>
        <w:tabs>
          <w:tab w:val="clear" w:pos="397"/>
          <w:tab w:val="num" w:pos="993"/>
        </w:tabs>
        <w:spacing w:after="120" w:line="360" w:lineRule="auto"/>
        <w:ind w:left="709" w:firstLine="0"/>
        <w:jc w:val="both"/>
        <w:rPr>
          <w:rFonts w:ascii="Verdana" w:hAnsi="Verdana" w:cs="Arial"/>
          <w:sz w:val="20"/>
          <w:szCs w:val="18"/>
        </w:rPr>
      </w:pPr>
      <w:r w:rsidRPr="00920145">
        <w:rPr>
          <w:rFonts w:ascii="Verdana" w:hAnsi="Verdana" w:cs="Arial"/>
          <w:sz w:val="20"/>
          <w:szCs w:val="18"/>
        </w:rPr>
        <w:t xml:space="preserve">Zlecenia PCR mają taki sam priorytet realizacji jak zlecenia PKC, i tak samo jak zlecenia PKC - mają najwyższy priorytet realizacji ze względu na cenę. </w:t>
      </w:r>
    </w:p>
    <w:p w14:paraId="0D9A980A" w14:textId="46BB47AE" w:rsidR="0013712D" w:rsidRPr="00920145" w:rsidRDefault="0013712D" w:rsidP="00F8716B">
      <w:pPr>
        <w:numPr>
          <w:ilvl w:val="0"/>
          <w:numId w:val="18"/>
        </w:numPr>
        <w:tabs>
          <w:tab w:val="clear" w:pos="397"/>
          <w:tab w:val="num" w:pos="993"/>
        </w:tabs>
        <w:spacing w:after="120" w:line="360" w:lineRule="auto"/>
        <w:ind w:left="709" w:firstLine="0"/>
        <w:jc w:val="both"/>
        <w:rPr>
          <w:rFonts w:ascii="Verdana" w:hAnsi="Verdana" w:cs="Arial"/>
          <w:sz w:val="20"/>
          <w:szCs w:val="18"/>
        </w:rPr>
      </w:pPr>
      <w:r w:rsidRPr="00920145">
        <w:rPr>
          <w:rFonts w:ascii="Verdana" w:hAnsi="Verdana"/>
          <w:sz w:val="20"/>
          <w:szCs w:val="18"/>
        </w:rPr>
        <w:t>Z zastrzeżeniem ust. 8, jeżeli w systemie kursu jednolitego w fazie aukcji otwarcia zlecenie PCR nie zostanie zrealizowane to zlecenie to (lub jego niezrealizowana część) traci ważność.</w:t>
      </w:r>
    </w:p>
    <w:p w14:paraId="19B9CAEF" w14:textId="77777777" w:rsidR="00F909B2" w:rsidRPr="00920145" w:rsidRDefault="00F909B2" w:rsidP="00F909B2">
      <w:pPr>
        <w:spacing w:after="120" w:line="360" w:lineRule="auto"/>
        <w:ind w:left="709"/>
        <w:jc w:val="both"/>
        <w:rPr>
          <w:rFonts w:ascii="Verdana" w:hAnsi="Verdana" w:cs="Arial"/>
          <w:sz w:val="20"/>
          <w:szCs w:val="18"/>
        </w:rPr>
      </w:pPr>
    </w:p>
    <w:p w14:paraId="7EC77C0A" w14:textId="77777777" w:rsidR="0013712D" w:rsidRPr="00920145" w:rsidRDefault="0013712D" w:rsidP="00F8716B">
      <w:pPr>
        <w:numPr>
          <w:ilvl w:val="0"/>
          <w:numId w:val="18"/>
        </w:numPr>
        <w:tabs>
          <w:tab w:val="clear" w:pos="397"/>
          <w:tab w:val="num" w:pos="993"/>
        </w:tabs>
        <w:spacing w:after="120" w:line="360" w:lineRule="auto"/>
        <w:ind w:left="709" w:firstLine="0"/>
        <w:jc w:val="both"/>
        <w:rPr>
          <w:rFonts w:ascii="Verdana" w:hAnsi="Verdana" w:cs="Arial"/>
          <w:sz w:val="20"/>
          <w:szCs w:val="18"/>
        </w:rPr>
      </w:pPr>
      <w:r w:rsidRPr="00920145">
        <w:rPr>
          <w:rFonts w:ascii="Verdana" w:hAnsi="Verdana"/>
          <w:sz w:val="20"/>
          <w:szCs w:val="18"/>
        </w:rPr>
        <w:lastRenderedPageBreak/>
        <w:t xml:space="preserve">Z zastrzeżeniem ust. 8, jeżeli w systemie notowań ciągłych: </w:t>
      </w:r>
    </w:p>
    <w:p w14:paraId="45EE859E" w14:textId="77777777" w:rsidR="0013712D" w:rsidRPr="00920145" w:rsidRDefault="0013712D" w:rsidP="000B52EA">
      <w:pPr>
        <w:numPr>
          <w:ilvl w:val="0"/>
          <w:numId w:val="20"/>
        </w:numPr>
        <w:tabs>
          <w:tab w:val="left" w:pos="1276"/>
        </w:tabs>
        <w:spacing w:after="0" w:line="360" w:lineRule="auto"/>
        <w:ind w:left="1276" w:hanging="283"/>
        <w:jc w:val="both"/>
        <w:rPr>
          <w:rFonts w:ascii="Verdana" w:hAnsi="Verdana"/>
          <w:sz w:val="20"/>
          <w:szCs w:val="18"/>
        </w:rPr>
      </w:pPr>
      <w:r w:rsidRPr="00920145">
        <w:rPr>
          <w:rFonts w:ascii="Verdana" w:hAnsi="Verdana"/>
          <w:sz w:val="20"/>
          <w:szCs w:val="18"/>
        </w:rPr>
        <w:t>w fazie aukcji otwarcia zlecenie PCR nie zostanie zrealizowane to zlecenie to (lub jego niezrealizowana część) traci ważność, </w:t>
      </w:r>
    </w:p>
    <w:p w14:paraId="6A88CD25" w14:textId="54F2F508" w:rsidR="0013712D" w:rsidRPr="00920145" w:rsidRDefault="0013712D" w:rsidP="000B52EA">
      <w:pPr>
        <w:numPr>
          <w:ilvl w:val="0"/>
          <w:numId w:val="20"/>
        </w:numPr>
        <w:tabs>
          <w:tab w:val="left" w:pos="1276"/>
        </w:tabs>
        <w:spacing w:after="120" w:line="360" w:lineRule="auto"/>
        <w:ind w:left="1276" w:hanging="283"/>
        <w:jc w:val="both"/>
        <w:rPr>
          <w:rFonts w:ascii="Verdana" w:hAnsi="Verdana"/>
          <w:sz w:val="20"/>
          <w:szCs w:val="18"/>
        </w:rPr>
      </w:pPr>
      <w:r w:rsidRPr="00920145">
        <w:rPr>
          <w:rFonts w:ascii="Verdana" w:hAnsi="Verdana"/>
          <w:sz w:val="20"/>
          <w:szCs w:val="18"/>
        </w:rPr>
        <w:t xml:space="preserve">w fazie aukcji zamknięcia zlecenie PCR nie zostanie zrealizowane to zlecenie to (lub jego niezrealizowana część) traci ważność. </w:t>
      </w:r>
    </w:p>
    <w:p w14:paraId="1D3300FA" w14:textId="17E79C46" w:rsidR="0013712D" w:rsidRPr="00920145" w:rsidRDefault="0013712D" w:rsidP="00F8716B">
      <w:pPr>
        <w:numPr>
          <w:ilvl w:val="0"/>
          <w:numId w:val="18"/>
        </w:numPr>
        <w:tabs>
          <w:tab w:val="clear" w:pos="397"/>
          <w:tab w:val="num" w:pos="993"/>
        </w:tabs>
        <w:spacing w:after="120" w:line="360" w:lineRule="auto"/>
        <w:ind w:left="709" w:firstLine="0"/>
        <w:jc w:val="both"/>
        <w:rPr>
          <w:rFonts w:ascii="Verdana" w:hAnsi="Verdana"/>
          <w:sz w:val="20"/>
          <w:szCs w:val="18"/>
        </w:rPr>
      </w:pPr>
      <w:bookmarkStart w:id="12" w:name="_Hlk199240251"/>
      <w:r w:rsidRPr="00920145">
        <w:rPr>
          <w:rFonts w:ascii="Verdana" w:hAnsi="Verdana"/>
          <w:sz w:val="20"/>
          <w:szCs w:val="18"/>
        </w:rPr>
        <w:t xml:space="preserve">W przypadku, gdy </w:t>
      </w:r>
      <w:r w:rsidR="000B52EA" w:rsidRPr="00920145">
        <w:rPr>
          <w:rFonts w:ascii="Verdana" w:hAnsi="Verdana"/>
          <w:sz w:val="20"/>
          <w:szCs w:val="18"/>
        </w:rPr>
        <w:t>bezpo</w:t>
      </w:r>
      <w:r w:rsidR="00D75F19" w:rsidRPr="00920145">
        <w:rPr>
          <w:rFonts w:ascii="Verdana" w:hAnsi="Verdana"/>
          <w:sz w:val="20"/>
          <w:szCs w:val="18"/>
        </w:rPr>
        <w:t xml:space="preserve">średnio </w:t>
      </w:r>
      <w:r w:rsidRPr="00920145">
        <w:rPr>
          <w:rFonts w:ascii="Verdana" w:hAnsi="Verdana"/>
          <w:sz w:val="20"/>
          <w:szCs w:val="18"/>
        </w:rPr>
        <w:t xml:space="preserve">po fazie aukcji otwarcia/fazie aukcji zamknięcia następuje równoważenie, utrata ważności zlecenia PCR (lub jego niezrealizowanej części)  następuje po zakończeniu tego równoważenia. </w:t>
      </w:r>
    </w:p>
    <w:bookmarkEnd w:id="12"/>
    <w:p w14:paraId="48B925F3" w14:textId="3758B330" w:rsidR="0013712D" w:rsidRPr="00920145" w:rsidRDefault="0013712D" w:rsidP="00F8716B">
      <w:pPr>
        <w:numPr>
          <w:ilvl w:val="0"/>
          <w:numId w:val="18"/>
        </w:numPr>
        <w:tabs>
          <w:tab w:val="clear" w:pos="397"/>
          <w:tab w:val="num" w:pos="993"/>
        </w:tabs>
        <w:spacing w:after="120" w:line="360" w:lineRule="auto"/>
        <w:ind w:left="709" w:firstLine="0"/>
        <w:jc w:val="both"/>
        <w:rPr>
          <w:rFonts w:ascii="Verdana" w:hAnsi="Verdana"/>
          <w:sz w:val="20"/>
          <w:szCs w:val="18"/>
        </w:rPr>
      </w:pPr>
      <w:r w:rsidRPr="00920145">
        <w:rPr>
          <w:rFonts w:ascii="Verdana" w:hAnsi="Verdana" w:cs="Arial"/>
          <w:sz w:val="20"/>
          <w:szCs w:val="18"/>
        </w:rPr>
        <w:t>W fazie notowań ciągłych i fazie dogrywki zlecenia PCR mogą być składane wyłącznie z oznaczeniem ważności  WIA, WLA, WNF lub WNZ, z zastrzeżeniem ust. 10.</w:t>
      </w:r>
    </w:p>
    <w:p w14:paraId="01F1BEC9" w14:textId="36D04AF6" w:rsidR="0013712D" w:rsidRPr="00920145" w:rsidRDefault="0013712D" w:rsidP="00F8716B">
      <w:pPr>
        <w:numPr>
          <w:ilvl w:val="0"/>
          <w:numId w:val="18"/>
        </w:numPr>
        <w:tabs>
          <w:tab w:val="clear" w:pos="397"/>
          <w:tab w:val="num" w:pos="993"/>
          <w:tab w:val="left" w:pos="1134"/>
        </w:tabs>
        <w:spacing w:after="120" w:line="360" w:lineRule="auto"/>
        <w:ind w:left="709" w:firstLine="0"/>
        <w:jc w:val="both"/>
        <w:rPr>
          <w:rFonts w:ascii="Verdana" w:hAnsi="Verdana"/>
          <w:sz w:val="20"/>
          <w:szCs w:val="18"/>
        </w:rPr>
      </w:pPr>
      <w:r w:rsidRPr="00920145">
        <w:rPr>
          <w:rFonts w:ascii="Verdana" w:hAnsi="Verdana" w:cs="Arial"/>
          <w:sz w:val="20"/>
          <w:szCs w:val="18"/>
        </w:rPr>
        <w:t>W fazie aukcji otwarcia/aukcji zamknięcia oraz w trakcie równoważenia zlecenia PCR mogą być składane wyłącznie z oznaczeniem ważności WNF lub WNZ.</w:t>
      </w:r>
    </w:p>
    <w:p w14:paraId="3230E0E3" w14:textId="6F102579" w:rsidR="0013712D" w:rsidRPr="00920145" w:rsidRDefault="0013712D" w:rsidP="00F8716B">
      <w:pPr>
        <w:numPr>
          <w:ilvl w:val="0"/>
          <w:numId w:val="18"/>
        </w:numPr>
        <w:tabs>
          <w:tab w:val="clear" w:pos="397"/>
          <w:tab w:val="num" w:pos="993"/>
          <w:tab w:val="left" w:pos="1134"/>
        </w:tabs>
        <w:spacing w:after="120" w:line="360" w:lineRule="auto"/>
        <w:ind w:left="709" w:firstLine="0"/>
        <w:jc w:val="both"/>
        <w:rPr>
          <w:rFonts w:ascii="Verdana" w:hAnsi="Verdana"/>
          <w:sz w:val="20"/>
          <w:szCs w:val="18"/>
        </w:rPr>
      </w:pPr>
      <w:r w:rsidRPr="00920145">
        <w:rPr>
          <w:rFonts w:ascii="Verdana" w:hAnsi="Verdana" w:cs="Arial"/>
          <w:sz w:val="20"/>
          <w:szCs w:val="18"/>
        </w:rPr>
        <w:t xml:space="preserve">Jeżeli po przyjęciu zlecenia z oznaczeniem ważności WIA w arkuszu zleceń brak jest zleceń przeciwstawnych z limitem ceny umożliwiającym zawarcie transakcji po kursie zgodnym z ograniczeniami wahań kursów, zlecenie PCR </w:t>
      </w:r>
      <w:r w:rsidR="007677E1" w:rsidRPr="00920145">
        <w:rPr>
          <w:rFonts w:ascii="Verdana" w:hAnsi="Verdana" w:cs="Arial"/>
          <w:sz w:val="20"/>
          <w:szCs w:val="18"/>
        </w:rPr>
        <w:br/>
      </w:r>
      <w:r w:rsidRPr="00920145">
        <w:rPr>
          <w:rFonts w:ascii="Verdana" w:hAnsi="Verdana" w:cs="Arial"/>
          <w:sz w:val="20"/>
          <w:szCs w:val="18"/>
        </w:rPr>
        <w:t>z oznaczeniem ważności WIA traci ważność.</w:t>
      </w:r>
    </w:p>
    <w:p w14:paraId="18304354" w14:textId="0639A3CF" w:rsidR="0013712D" w:rsidRPr="00920145" w:rsidRDefault="0013712D" w:rsidP="00F8716B">
      <w:pPr>
        <w:numPr>
          <w:ilvl w:val="0"/>
          <w:numId w:val="18"/>
        </w:numPr>
        <w:tabs>
          <w:tab w:val="clear" w:pos="397"/>
          <w:tab w:val="num" w:pos="993"/>
          <w:tab w:val="left" w:pos="1134"/>
        </w:tabs>
        <w:spacing w:after="240" w:line="360" w:lineRule="auto"/>
        <w:ind w:left="709" w:firstLine="0"/>
        <w:jc w:val="both"/>
        <w:rPr>
          <w:rFonts w:ascii="Verdana" w:hAnsi="Verdana"/>
          <w:sz w:val="20"/>
          <w:szCs w:val="18"/>
        </w:rPr>
      </w:pPr>
      <w:r w:rsidRPr="00920145">
        <w:rPr>
          <w:rFonts w:ascii="Verdana" w:hAnsi="Verdana" w:cs="Arial"/>
          <w:sz w:val="20"/>
          <w:szCs w:val="20"/>
        </w:rPr>
        <w:t xml:space="preserve">W przypadku, gdy </w:t>
      </w:r>
      <w:r w:rsidRPr="00920145">
        <w:rPr>
          <w:rFonts w:ascii="Verdana" w:hAnsi="Verdana"/>
          <w:sz w:val="20"/>
          <w:szCs w:val="20"/>
        </w:rPr>
        <w:t>na zakończenie fazy aukcji otwarcia</w:t>
      </w:r>
      <w:r w:rsidR="007677E1" w:rsidRPr="00920145">
        <w:rPr>
          <w:rFonts w:ascii="Verdana" w:hAnsi="Verdana"/>
          <w:sz w:val="20"/>
          <w:szCs w:val="20"/>
        </w:rPr>
        <w:t xml:space="preserve">, </w:t>
      </w:r>
      <w:r w:rsidRPr="00920145">
        <w:rPr>
          <w:rFonts w:ascii="Verdana" w:hAnsi="Verdana"/>
          <w:sz w:val="20"/>
          <w:szCs w:val="20"/>
        </w:rPr>
        <w:t xml:space="preserve">fazy aukcji zamknięcia lub równoważenia </w:t>
      </w:r>
      <w:r w:rsidRPr="00920145">
        <w:rPr>
          <w:rFonts w:ascii="Verdana" w:hAnsi="Verdana" w:cs="Arial"/>
          <w:sz w:val="20"/>
          <w:szCs w:val="20"/>
        </w:rPr>
        <w:t xml:space="preserve">w arkuszu zleceń istnieją zlecenia PCR i PKC, o kolejności ich realizacji decyduje priorytet czasu ich przyjęcia do arkusza zleceń.”; </w:t>
      </w:r>
    </w:p>
    <w:p w14:paraId="7C3C5758" w14:textId="3B01A92F" w:rsidR="0051465A" w:rsidRPr="00920145" w:rsidRDefault="005E295F" w:rsidP="00F8716B">
      <w:pPr>
        <w:pStyle w:val="Akapitzlist"/>
        <w:numPr>
          <w:ilvl w:val="0"/>
          <w:numId w:val="4"/>
        </w:numPr>
        <w:spacing w:after="120" w:line="360" w:lineRule="auto"/>
        <w:ind w:left="709" w:hanging="425"/>
        <w:contextualSpacing w:val="0"/>
        <w:jc w:val="both"/>
        <w:rPr>
          <w:rFonts w:ascii="Verdana" w:hAnsi="Verdana" w:cs="Vrinda"/>
          <w:sz w:val="20"/>
          <w:szCs w:val="20"/>
        </w:rPr>
      </w:pPr>
      <w:r w:rsidRPr="00920145">
        <w:rPr>
          <w:rFonts w:ascii="Verdana" w:hAnsi="Verdana" w:cs="Vrinda"/>
          <w:sz w:val="20"/>
          <w:szCs w:val="20"/>
        </w:rPr>
        <w:t>w § 18:</w:t>
      </w:r>
    </w:p>
    <w:p w14:paraId="49C433BC" w14:textId="3B08661A" w:rsidR="005E295F" w:rsidRPr="00920145" w:rsidRDefault="005E295F" w:rsidP="005E442D">
      <w:pPr>
        <w:pStyle w:val="Akapitzlist"/>
        <w:numPr>
          <w:ilvl w:val="1"/>
          <w:numId w:val="3"/>
        </w:numPr>
        <w:tabs>
          <w:tab w:val="clear" w:pos="737"/>
          <w:tab w:val="num" w:pos="1134"/>
        </w:tabs>
        <w:spacing w:after="120" w:line="360" w:lineRule="auto"/>
        <w:ind w:left="1134"/>
        <w:contextualSpacing w:val="0"/>
        <w:jc w:val="both"/>
        <w:rPr>
          <w:rFonts w:ascii="Verdana" w:hAnsi="Verdana" w:cs="Vrinda"/>
          <w:sz w:val="20"/>
          <w:szCs w:val="20"/>
        </w:rPr>
      </w:pPr>
      <w:r w:rsidRPr="00920145">
        <w:rPr>
          <w:rFonts w:ascii="Verdana" w:hAnsi="Verdana" w:cs="Vrinda"/>
          <w:sz w:val="20"/>
          <w:szCs w:val="20"/>
        </w:rPr>
        <w:t>ust. 2 otrzymuje brzmienie:</w:t>
      </w:r>
    </w:p>
    <w:p w14:paraId="19F602FC" w14:textId="04E8C8ED" w:rsidR="005E295F" w:rsidRPr="00920145" w:rsidRDefault="005E442D" w:rsidP="005E442D">
      <w:pPr>
        <w:tabs>
          <w:tab w:val="num" w:pos="1134"/>
        </w:tabs>
        <w:spacing w:after="120" w:line="360" w:lineRule="auto"/>
        <w:jc w:val="both"/>
        <w:rPr>
          <w:rFonts w:ascii="Verdana" w:hAnsi="Verdana" w:cs="Vrinda"/>
          <w:sz w:val="20"/>
          <w:szCs w:val="20"/>
        </w:rPr>
      </w:pPr>
      <w:r w:rsidRPr="00920145">
        <w:rPr>
          <w:rFonts w:ascii="Verdana" w:hAnsi="Verdana" w:cs="Vrinda"/>
          <w:sz w:val="20"/>
          <w:szCs w:val="20"/>
        </w:rPr>
        <w:tab/>
      </w:r>
      <w:r w:rsidR="005E295F" w:rsidRPr="00920145">
        <w:rPr>
          <w:rFonts w:ascii="Verdana" w:hAnsi="Verdana" w:cs="Vrinda"/>
          <w:sz w:val="20"/>
          <w:szCs w:val="20"/>
        </w:rPr>
        <w:t xml:space="preserve">„2. </w:t>
      </w:r>
      <w:r w:rsidR="005E295F" w:rsidRPr="00920145">
        <w:rPr>
          <w:rFonts w:ascii="Verdana" w:hAnsi="Verdana" w:cs="Arial"/>
          <w:sz w:val="20"/>
          <w:szCs w:val="20"/>
        </w:rPr>
        <w:t xml:space="preserve">Zlecenia STOP mogą być składane:  </w:t>
      </w:r>
    </w:p>
    <w:p w14:paraId="0DDD2B55" w14:textId="595674DA" w:rsidR="005E295F" w:rsidRPr="00920145" w:rsidRDefault="005E295F" w:rsidP="005E442D">
      <w:pPr>
        <w:numPr>
          <w:ilvl w:val="0"/>
          <w:numId w:val="21"/>
        </w:numPr>
        <w:tabs>
          <w:tab w:val="clear" w:pos="794"/>
          <w:tab w:val="num" w:pos="1134"/>
        </w:tabs>
        <w:spacing w:after="0" w:line="360" w:lineRule="auto"/>
        <w:ind w:left="1134" w:firstLine="0"/>
        <w:jc w:val="both"/>
        <w:rPr>
          <w:rFonts w:ascii="Verdana" w:hAnsi="Verdana"/>
          <w:sz w:val="20"/>
          <w:szCs w:val="20"/>
        </w:rPr>
      </w:pPr>
      <w:r w:rsidRPr="00920145">
        <w:rPr>
          <w:rFonts w:ascii="Verdana" w:hAnsi="Verdana" w:cs="Arial"/>
          <w:sz w:val="20"/>
          <w:szCs w:val="20"/>
        </w:rPr>
        <w:t xml:space="preserve">w systemie notowań ciągłych </w:t>
      </w:r>
      <w:r w:rsidRPr="00920145">
        <w:rPr>
          <w:rFonts w:ascii="Verdana" w:hAnsi="Verdana"/>
          <w:sz w:val="20"/>
          <w:szCs w:val="20"/>
        </w:rPr>
        <w:t xml:space="preserve">- </w:t>
      </w:r>
      <w:r w:rsidRPr="00920145">
        <w:rPr>
          <w:rFonts w:ascii="Verdana" w:hAnsi="Verdana" w:cs="Arial"/>
          <w:sz w:val="20"/>
          <w:szCs w:val="20"/>
        </w:rPr>
        <w:t xml:space="preserve">we wszystkich fazach sesji giełdowej, </w:t>
      </w:r>
      <w:r w:rsidR="00DE3673" w:rsidRPr="00920145">
        <w:rPr>
          <w:rFonts w:ascii="Verdana" w:hAnsi="Verdana" w:cs="Arial"/>
          <w:sz w:val="20"/>
          <w:szCs w:val="20"/>
        </w:rPr>
        <w:br/>
      </w:r>
      <w:r w:rsidRPr="00920145">
        <w:rPr>
          <w:rFonts w:ascii="Verdana" w:hAnsi="Verdana" w:cs="Arial"/>
          <w:sz w:val="20"/>
          <w:szCs w:val="20"/>
        </w:rPr>
        <w:t>w tym w trakcie równoważenia</w:t>
      </w:r>
      <w:r w:rsidRPr="00920145">
        <w:rPr>
          <w:rFonts w:ascii="Verdana" w:hAnsi="Verdana"/>
          <w:sz w:val="20"/>
          <w:szCs w:val="20"/>
        </w:rPr>
        <w:t>,</w:t>
      </w:r>
    </w:p>
    <w:p w14:paraId="778A9153" w14:textId="7D2B9D5A" w:rsidR="005E295F" w:rsidRPr="00920145" w:rsidRDefault="005E295F" w:rsidP="005E442D">
      <w:pPr>
        <w:numPr>
          <w:ilvl w:val="0"/>
          <w:numId w:val="21"/>
        </w:numPr>
        <w:tabs>
          <w:tab w:val="clear" w:pos="794"/>
          <w:tab w:val="num" w:pos="1134"/>
        </w:tabs>
        <w:spacing w:after="120" w:line="360" w:lineRule="auto"/>
        <w:ind w:left="1134" w:firstLine="0"/>
        <w:jc w:val="both"/>
        <w:rPr>
          <w:rFonts w:ascii="Verdana" w:hAnsi="Verdana"/>
          <w:sz w:val="20"/>
          <w:szCs w:val="20"/>
        </w:rPr>
      </w:pPr>
      <w:r w:rsidRPr="00920145">
        <w:rPr>
          <w:rFonts w:ascii="Verdana" w:hAnsi="Verdana" w:cs="Arial"/>
          <w:sz w:val="20"/>
          <w:szCs w:val="20"/>
        </w:rPr>
        <w:t>w systemie kursu jednolitego</w:t>
      </w:r>
      <w:r w:rsidRPr="00920145">
        <w:rPr>
          <w:rFonts w:ascii="Verdana" w:hAnsi="Verdana"/>
          <w:sz w:val="20"/>
          <w:szCs w:val="20"/>
        </w:rPr>
        <w:t xml:space="preserve"> - </w:t>
      </w:r>
      <w:r w:rsidRPr="00920145">
        <w:rPr>
          <w:rFonts w:ascii="Verdana" w:hAnsi="Verdana" w:cs="Arial"/>
          <w:sz w:val="20"/>
          <w:szCs w:val="20"/>
        </w:rPr>
        <w:t>we wszystkich fazach sesji giełdowej, w tym w trakcie równoważenia.”;</w:t>
      </w:r>
    </w:p>
    <w:p w14:paraId="0D407471" w14:textId="334D1583" w:rsidR="008010ED" w:rsidRPr="00920145" w:rsidRDefault="008010ED" w:rsidP="005E442D">
      <w:pPr>
        <w:pStyle w:val="Akapitzlist"/>
        <w:numPr>
          <w:ilvl w:val="0"/>
          <w:numId w:val="93"/>
        </w:numPr>
        <w:tabs>
          <w:tab w:val="num" w:pos="1134"/>
        </w:tabs>
        <w:spacing w:after="120" w:line="360" w:lineRule="auto"/>
        <w:ind w:left="1134"/>
        <w:jc w:val="both"/>
        <w:rPr>
          <w:rFonts w:ascii="Verdana" w:hAnsi="Verdana" w:cs="Arial"/>
          <w:sz w:val="20"/>
          <w:szCs w:val="20"/>
        </w:rPr>
      </w:pPr>
      <w:r w:rsidRPr="00920145">
        <w:rPr>
          <w:rFonts w:ascii="Verdana" w:hAnsi="Verdana" w:cs="Arial"/>
          <w:sz w:val="20"/>
          <w:szCs w:val="20"/>
        </w:rPr>
        <w:t>ust. 5 i 6 otrzymują brzmienie:</w:t>
      </w:r>
    </w:p>
    <w:p w14:paraId="604C82BB" w14:textId="1E8FD279" w:rsidR="008010ED" w:rsidRPr="00920145" w:rsidRDefault="008010ED" w:rsidP="005E442D">
      <w:pPr>
        <w:tabs>
          <w:tab w:val="num" w:pos="1134"/>
        </w:tabs>
        <w:spacing w:after="120" w:line="360" w:lineRule="auto"/>
        <w:ind w:left="1134"/>
        <w:jc w:val="both"/>
        <w:rPr>
          <w:rFonts w:ascii="Verdana" w:hAnsi="Verdana" w:cs="Arial"/>
          <w:bCs/>
          <w:sz w:val="20"/>
          <w:szCs w:val="20"/>
        </w:rPr>
      </w:pPr>
      <w:r w:rsidRPr="00920145">
        <w:rPr>
          <w:rFonts w:ascii="Verdana" w:hAnsi="Verdana" w:cs="Arial"/>
          <w:sz w:val="20"/>
          <w:szCs w:val="20"/>
        </w:rPr>
        <w:t xml:space="preserve">„5. </w:t>
      </w:r>
      <w:r w:rsidRPr="00920145">
        <w:rPr>
          <w:rFonts w:ascii="Verdana" w:hAnsi="Verdana" w:cs="Arial"/>
          <w:bCs/>
          <w:sz w:val="20"/>
          <w:szCs w:val="20"/>
        </w:rPr>
        <w:t xml:space="preserve">Jeżeli po określeniu kursu jednolitego lub kursu zamknięcia spełniającego warunki, o których mowa w ust. 3, następuje faza dogrywki, zlecenie STOP spełniające warunki aktywacji podlega ujawnieniu w arkuszu zleceń w tej fazie.  </w:t>
      </w:r>
    </w:p>
    <w:p w14:paraId="7240326C" w14:textId="6834F2A4" w:rsidR="008010ED" w:rsidRPr="00920145" w:rsidRDefault="006058BB" w:rsidP="00C6538A">
      <w:pPr>
        <w:spacing w:after="120" w:line="360" w:lineRule="auto"/>
        <w:ind w:left="851"/>
        <w:jc w:val="both"/>
        <w:rPr>
          <w:rFonts w:ascii="Verdana" w:hAnsi="Verdana" w:cs="Arial"/>
          <w:sz w:val="20"/>
          <w:szCs w:val="20"/>
        </w:rPr>
      </w:pPr>
      <w:r w:rsidRPr="00920145">
        <w:rPr>
          <w:rFonts w:ascii="Verdana" w:hAnsi="Verdana" w:cs="Arial"/>
          <w:bCs/>
          <w:sz w:val="20"/>
          <w:szCs w:val="20"/>
        </w:rPr>
        <w:lastRenderedPageBreak/>
        <w:t>6.</w:t>
      </w:r>
      <w:r w:rsidRPr="00920145">
        <w:rPr>
          <w:rFonts w:ascii="Verdana" w:hAnsi="Verdana" w:cs="Arial"/>
          <w:sz w:val="20"/>
          <w:szCs w:val="20"/>
        </w:rPr>
        <w:t xml:space="preserve"> </w:t>
      </w:r>
      <w:r w:rsidR="008010ED" w:rsidRPr="00920145">
        <w:rPr>
          <w:rFonts w:ascii="Verdana" w:hAnsi="Verdana" w:cs="Arial"/>
          <w:sz w:val="20"/>
          <w:szCs w:val="20"/>
        </w:rPr>
        <w:t>W przypadku aktywowania zlecenia STOP Loss zlecenie to jest dodawane do arkusza zleceń</w:t>
      </w:r>
      <w:r w:rsidR="008010ED" w:rsidRPr="00920145">
        <w:rPr>
          <w:rFonts w:ascii="Verdana" w:hAnsi="Verdana" w:cs="Arial"/>
          <w:b/>
          <w:sz w:val="20"/>
          <w:szCs w:val="20"/>
        </w:rPr>
        <w:t xml:space="preserve"> </w:t>
      </w:r>
      <w:r w:rsidR="008010ED" w:rsidRPr="00920145">
        <w:rPr>
          <w:rFonts w:ascii="Verdana" w:hAnsi="Verdana" w:cs="Arial"/>
          <w:sz w:val="20"/>
          <w:szCs w:val="20"/>
        </w:rPr>
        <w:t>jako</w:t>
      </w:r>
      <w:r w:rsidR="008010ED" w:rsidRPr="00920145">
        <w:rPr>
          <w:rFonts w:ascii="Verdana" w:hAnsi="Verdana" w:cs="Arial"/>
          <w:b/>
          <w:sz w:val="20"/>
          <w:szCs w:val="20"/>
        </w:rPr>
        <w:t xml:space="preserve"> </w:t>
      </w:r>
      <w:r w:rsidR="008010ED" w:rsidRPr="00920145">
        <w:rPr>
          <w:rFonts w:ascii="Verdana" w:hAnsi="Verdana" w:cs="Arial"/>
          <w:sz w:val="20"/>
          <w:szCs w:val="20"/>
        </w:rPr>
        <w:t>zlecenie PKC z oznaczeniem ważności WIA, natomiast w przypadku aktywowania zlecenia STOP Limit - jako zlecenie LIMIT.</w:t>
      </w:r>
      <w:r w:rsidR="00027CEE" w:rsidRPr="00920145">
        <w:rPr>
          <w:rFonts w:ascii="Verdana" w:hAnsi="Verdana" w:cs="Arial"/>
          <w:sz w:val="20"/>
          <w:szCs w:val="20"/>
        </w:rPr>
        <w:t>”;</w:t>
      </w:r>
      <w:r w:rsidR="008010ED" w:rsidRPr="00920145">
        <w:rPr>
          <w:rFonts w:ascii="Verdana" w:hAnsi="Verdana" w:cs="Arial"/>
          <w:sz w:val="20"/>
          <w:szCs w:val="20"/>
        </w:rPr>
        <w:t xml:space="preserve"> </w:t>
      </w:r>
    </w:p>
    <w:p w14:paraId="6E5DD3F0" w14:textId="43240EBE" w:rsidR="006058BB" w:rsidRPr="00920145" w:rsidRDefault="006058BB" w:rsidP="005E442D">
      <w:pPr>
        <w:pStyle w:val="Akapitzlist"/>
        <w:numPr>
          <w:ilvl w:val="0"/>
          <w:numId w:val="93"/>
        </w:numPr>
        <w:tabs>
          <w:tab w:val="clear" w:pos="794"/>
          <w:tab w:val="num" w:pos="1134"/>
        </w:tabs>
        <w:spacing w:after="120" w:line="360" w:lineRule="auto"/>
        <w:ind w:left="1134"/>
        <w:rPr>
          <w:rFonts w:ascii="Verdana" w:hAnsi="Verdana"/>
          <w:sz w:val="20"/>
          <w:szCs w:val="20"/>
        </w:rPr>
      </w:pPr>
      <w:r w:rsidRPr="00920145">
        <w:rPr>
          <w:rFonts w:ascii="Verdana" w:hAnsi="Verdana"/>
          <w:sz w:val="20"/>
          <w:szCs w:val="20"/>
        </w:rPr>
        <w:t>ust. 13 otrzymuje brzmienie:</w:t>
      </w:r>
    </w:p>
    <w:p w14:paraId="4FCBEDF3" w14:textId="3AB7712A" w:rsidR="006058BB" w:rsidRPr="00920145" w:rsidRDefault="006058BB" w:rsidP="005E442D">
      <w:pPr>
        <w:spacing w:after="240" w:line="360" w:lineRule="auto"/>
        <w:ind w:left="1134"/>
        <w:jc w:val="both"/>
        <w:rPr>
          <w:rFonts w:ascii="Verdana" w:hAnsi="Verdana"/>
          <w:sz w:val="20"/>
          <w:szCs w:val="20"/>
        </w:rPr>
      </w:pPr>
      <w:r w:rsidRPr="00920145">
        <w:rPr>
          <w:rFonts w:ascii="Verdana" w:hAnsi="Verdana"/>
          <w:sz w:val="20"/>
          <w:szCs w:val="20"/>
        </w:rPr>
        <w:t xml:space="preserve">„13. </w:t>
      </w:r>
      <w:r w:rsidRPr="00920145">
        <w:rPr>
          <w:rFonts w:ascii="Verdana" w:hAnsi="Verdana" w:cs="Arial"/>
          <w:sz w:val="20"/>
          <w:szCs w:val="20"/>
        </w:rPr>
        <w:t>W fazie aukcji otwarcia</w:t>
      </w:r>
      <w:r w:rsidR="00DE3673" w:rsidRPr="00920145">
        <w:rPr>
          <w:rFonts w:ascii="Verdana" w:hAnsi="Verdana" w:cs="Arial"/>
          <w:sz w:val="20"/>
          <w:szCs w:val="20"/>
        </w:rPr>
        <w:t xml:space="preserve">, </w:t>
      </w:r>
      <w:r w:rsidRPr="00920145">
        <w:rPr>
          <w:rFonts w:ascii="Verdana" w:hAnsi="Verdana" w:cs="Arial"/>
          <w:sz w:val="20"/>
          <w:szCs w:val="20"/>
        </w:rPr>
        <w:t>fazie aukcji zamknięcia oraz w trakcie równoważenia</w:t>
      </w:r>
      <w:r w:rsidRPr="00920145" w:rsidDel="00252275">
        <w:rPr>
          <w:rFonts w:ascii="Verdana" w:hAnsi="Verdana" w:cs="Arial"/>
          <w:sz w:val="20"/>
          <w:szCs w:val="20"/>
        </w:rPr>
        <w:t xml:space="preserve"> </w:t>
      </w:r>
      <w:r w:rsidRPr="00920145">
        <w:rPr>
          <w:rFonts w:ascii="Verdana" w:hAnsi="Verdana" w:cs="Arial"/>
          <w:sz w:val="20"/>
          <w:szCs w:val="20"/>
        </w:rPr>
        <w:t xml:space="preserve">zlecenia STOP nie są ujawniane w arkuszu zleceń.”; </w:t>
      </w:r>
    </w:p>
    <w:p w14:paraId="12011D40" w14:textId="23E109DA" w:rsidR="006058BB" w:rsidRPr="00920145" w:rsidRDefault="009571E1" w:rsidP="00F8716B">
      <w:pPr>
        <w:pStyle w:val="Akapitzlist"/>
        <w:numPr>
          <w:ilvl w:val="0"/>
          <w:numId w:val="4"/>
        </w:numPr>
        <w:spacing w:after="240" w:line="360" w:lineRule="auto"/>
        <w:ind w:left="709" w:hanging="425"/>
        <w:contextualSpacing w:val="0"/>
        <w:jc w:val="both"/>
        <w:rPr>
          <w:rFonts w:ascii="Verdana" w:hAnsi="Verdana"/>
          <w:sz w:val="20"/>
          <w:szCs w:val="20"/>
        </w:rPr>
      </w:pPr>
      <w:r w:rsidRPr="00920145">
        <w:rPr>
          <w:rFonts w:ascii="Verdana" w:hAnsi="Verdana"/>
          <w:sz w:val="20"/>
          <w:szCs w:val="20"/>
        </w:rPr>
        <w:t>uchyla się § 19;</w:t>
      </w:r>
    </w:p>
    <w:p w14:paraId="0B43B236" w14:textId="3EE09CD3" w:rsidR="009571E1" w:rsidRPr="00920145" w:rsidRDefault="009571E1" w:rsidP="00F8716B">
      <w:pPr>
        <w:pStyle w:val="Akapitzlist"/>
        <w:numPr>
          <w:ilvl w:val="0"/>
          <w:numId w:val="4"/>
        </w:numPr>
        <w:spacing w:after="120" w:line="360" w:lineRule="auto"/>
        <w:ind w:left="709" w:hanging="425"/>
        <w:contextualSpacing w:val="0"/>
        <w:jc w:val="both"/>
        <w:rPr>
          <w:rFonts w:ascii="Verdana" w:hAnsi="Verdana"/>
          <w:sz w:val="20"/>
          <w:szCs w:val="20"/>
        </w:rPr>
      </w:pPr>
      <w:r w:rsidRPr="00920145">
        <w:rPr>
          <w:rFonts w:ascii="Verdana" w:hAnsi="Verdana"/>
          <w:sz w:val="20"/>
          <w:szCs w:val="20"/>
        </w:rPr>
        <w:t>w § 20</w:t>
      </w:r>
      <w:r w:rsidR="009A6C2A" w:rsidRPr="00920145">
        <w:rPr>
          <w:rFonts w:ascii="Verdana" w:hAnsi="Verdana"/>
          <w:sz w:val="20"/>
          <w:szCs w:val="20"/>
        </w:rPr>
        <w:t xml:space="preserve"> w ust. 1</w:t>
      </w:r>
      <w:r w:rsidRPr="00920145">
        <w:rPr>
          <w:rFonts w:ascii="Verdana" w:hAnsi="Verdana"/>
          <w:sz w:val="20"/>
          <w:szCs w:val="20"/>
        </w:rPr>
        <w:t xml:space="preserve"> kropkę po pkt 6) zastępuje się przecinkiem oraz dodaje się pkt 7) i 8), w brzmieniu:</w:t>
      </w:r>
    </w:p>
    <w:p w14:paraId="41651ACF" w14:textId="567BD00F" w:rsidR="009571E1" w:rsidRPr="00920145" w:rsidRDefault="009571E1" w:rsidP="00A23201">
      <w:pPr>
        <w:pStyle w:val="Akapitzlist"/>
        <w:spacing w:after="120" w:line="360" w:lineRule="auto"/>
        <w:ind w:left="709"/>
        <w:contextualSpacing w:val="0"/>
        <w:jc w:val="both"/>
        <w:rPr>
          <w:rFonts w:ascii="Verdana" w:hAnsi="Verdana"/>
          <w:sz w:val="20"/>
          <w:szCs w:val="20"/>
        </w:rPr>
      </w:pPr>
      <w:r w:rsidRPr="00920145">
        <w:rPr>
          <w:rFonts w:ascii="Verdana" w:hAnsi="Verdana"/>
          <w:sz w:val="20"/>
          <w:szCs w:val="20"/>
        </w:rPr>
        <w:t xml:space="preserve">„7) </w:t>
      </w:r>
      <w:r w:rsidRPr="00920145">
        <w:rPr>
          <w:rFonts w:ascii="Verdana" w:hAnsi="Verdana"/>
          <w:bCs/>
          <w:sz w:val="20"/>
          <w:szCs w:val="20"/>
        </w:rPr>
        <w:t xml:space="preserve">„Wykonaj i Anuluj” (WIA), </w:t>
      </w:r>
    </w:p>
    <w:p w14:paraId="5EC2437A" w14:textId="270B3B03" w:rsidR="009571E1" w:rsidRPr="00920145" w:rsidRDefault="009571E1" w:rsidP="00C41D20">
      <w:pPr>
        <w:pStyle w:val="Akapitzlist"/>
        <w:numPr>
          <w:ilvl w:val="0"/>
          <w:numId w:val="2"/>
        </w:numPr>
        <w:spacing w:after="240" w:line="360" w:lineRule="auto"/>
        <w:jc w:val="both"/>
        <w:rPr>
          <w:rFonts w:ascii="Verdana" w:hAnsi="Verdana" w:cs="Arial"/>
          <w:bCs/>
          <w:sz w:val="20"/>
          <w:szCs w:val="20"/>
        </w:rPr>
      </w:pPr>
      <w:r w:rsidRPr="00920145">
        <w:rPr>
          <w:rFonts w:ascii="Verdana" w:hAnsi="Verdana"/>
          <w:bCs/>
          <w:sz w:val="20"/>
          <w:szCs w:val="20"/>
        </w:rPr>
        <w:t>„Wykonaj lub Anuluj” (WLA)</w:t>
      </w:r>
      <w:r w:rsidRPr="00920145">
        <w:rPr>
          <w:rFonts w:ascii="Verdana" w:hAnsi="Verdana" w:cs="Arial"/>
          <w:bCs/>
          <w:sz w:val="20"/>
          <w:szCs w:val="20"/>
        </w:rPr>
        <w:t>.”;</w:t>
      </w:r>
    </w:p>
    <w:p w14:paraId="4E04BE74" w14:textId="6B41D2B0" w:rsidR="00C41D20" w:rsidRPr="00920145" w:rsidRDefault="00C41D20" w:rsidP="00C41D20">
      <w:pPr>
        <w:pStyle w:val="Akapitzlist"/>
        <w:spacing w:after="240" w:line="360" w:lineRule="auto"/>
        <w:ind w:left="927"/>
        <w:jc w:val="both"/>
        <w:rPr>
          <w:rFonts w:ascii="Verdana" w:hAnsi="Verdana" w:cs="Arial"/>
          <w:bCs/>
          <w:sz w:val="20"/>
          <w:szCs w:val="20"/>
        </w:rPr>
      </w:pPr>
    </w:p>
    <w:p w14:paraId="573C9E13" w14:textId="77777777" w:rsidR="00C41D20" w:rsidRPr="00920145" w:rsidRDefault="00C41D20" w:rsidP="00C41D20">
      <w:pPr>
        <w:pStyle w:val="Akapitzlist"/>
        <w:spacing w:after="240" w:line="360" w:lineRule="auto"/>
        <w:ind w:left="927"/>
        <w:jc w:val="both"/>
        <w:rPr>
          <w:rFonts w:ascii="Verdana" w:hAnsi="Verdana" w:cs="Arial"/>
          <w:bCs/>
          <w:sz w:val="20"/>
          <w:szCs w:val="20"/>
        </w:rPr>
      </w:pPr>
    </w:p>
    <w:p w14:paraId="3819894F" w14:textId="143D3901" w:rsidR="009571E1" w:rsidRPr="00920145" w:rsidRDefault="009571E1" w:rsidP="00F8716B">
      <w:pPr>
        <w:pStyle w:val="Akapitzlist"/>
        <w:numPr>
          <w:ilvl w:val="0"/>
          <w:numId w:val="4"/>
        </w:numPr>
        <w:spacing w:after="120" w:line="360" w:lineRule="auto"/>
        <w:ind w:left="709" w:hanging="425"/>
        <w:contextualSpacing w:val="0"/>
        <w:jc w:val="both"/>
        <w:rPr>
          <w:rFonts w:ascii="Verdana" w:hAnsi="Verdana"/>
          <w:bCs/>
          <w:sz w:val="20"/>
          <w:szCs w:val="20"/>
        </w:rPr>
      </w:pPr>
      <w:r w:rsidRPr="00920145">
        <w:rPr>
          <w:rFonts w:ascii="Verdana" w:hAnsi="Verdana"/>
          <w:bCs/>
          <w:sz w:val="20"/>
          <w:szCs w:val="20"/>
        </w:rPr>
        <w:t>w § 24 zdanie pierwsze otrzymuje brzmienie:</w:t>
      </w:r>
    </w:p>
    <w:p w14:paraId="0BC0914F" w14:textId="4404AFC9" w:rsidR="009571E1" w:rsidRPr="00920145" w:rsidRDefault="009571E1" w:rsidP="00A23201">
      <w:pPr>
        <w:pStyle w:val="Akapitzlist"/>
        <w:spacing w:after="240" w:line="360" w:lineRule="auto"/>
        <w:ind w:left="709"/>
        <w:contextualSpacing w:val="0"/>
        <w:jc w:val="both"/>
        <w:rPr>
          <w:rFonts w:ascii="Verdana" w:hAnsi="Verdana" w:cs="Arial"/>
          <w:sz w:val="20"/>
          <w:szCs w:val="20"/>
        </w:rPr>
      </w:pPr>
      <w:r w:rsidRPr="00920145">
        <w:rPr>
          <w:rFonts w:ascii="Verdana" w:hAnsi="Verdana"/>
          <w:bCs/>
          <w:sz w:val="20"/>
          <w:szCs w:val="20"/>
        </w:rPr>
        <w:t>„</w:t>
      </w:r>
      <w:r w:rsidRPr="00920145">
        <w:rPr>
          <w:rFonts w:ascii="Verdana" w:hAnsi="Verdana" w:cs="Arial"/>
          <w:sz w:val="20"/>
          <w:szCs w:val="20"/>
        </w:rPr>
        <w:t>Zlecenie z oznaczeniem WDC jest ważne nie dłużej niż do godziny określonej w tym zleceniu, w dniu jego złożenia na giełdę, jednak nie dłużej niż do końca sesji giełdowej w tym dniu.”;</w:t>
      </w:r>
    </w:p>
    <w:p w14:paraId="02D88917" w14:textId="6B3DCB99" w:rsidR="009571E1" w:rsidRPr="00920145" w:rsidRDefault="009571E1" w:rsidP="00F8716B">
      <w:pPr>
        <w:pStyle w:val="Akapitzlist"/>
        <w:numPr>
          <w:ilvl w:val="0"/>
          <w:numId w:val="4"/>
        </w:numPr>
        <w:spacing w:after="120" w:line="360" w:lineRule="auto"/>
        <w:ind w:left="709" w:hanging="425"/>
        <w:contextualSpacing w:val="0"/>
        <w:jc w:val="both"/>
        <w:rPr>
          <w:rFonts w:ascii="Verdana" w:hAnsi="Verdana"/>
          <w:bCs/>
          <w:sz w:val="20"/>
          <w:szCs w:val="20"/>
        </w:rPr>
      </w:pPr>
      <w:r w:rsidRPr="00920145">
        <w:rPr>
          <w:rFonts w:ascii="Verdana" w:hAnsi="Verdana"/>
          <w:bCs/>
          <w:sz w:val="20"/>
          <w:szCs w:val="20"/>
        </w:rPr>
        <w:t>w § 25:</w:t>
      </w:r>
    </w:p>
    <w:p w14:paraId="3CB88B25" w14:textId="447A367D" w:rsidR="009571E1" w:rsidRPr="00920145" w:rsidRDefault="009571E1" w:rsidP="005E442D">
      <w:pPr>
        <w:pStyle w:val="Akapitzlist"/>
        <w:numPr>
          <w:ilvl w:val="0"/>
          <w:numId w:val="94"/>
        </w:numPr>
        <w:tabs>
          <w:tab w:val="clear" w:pos="737"/>
          <w:tab w:val="num" w:pos="1134"/>
        </w:tabs>
        <w:spacing w:after="120" w:line="360" w:lineRule="auto"/>
        <w:ind w:left="1134" w:hanging="425"/>
        <w:contextualSpacing w:val="0"/>
        <w:jc w:val="both"/>
        <w:rPr>
          <w:rFonts w:ascii="Verdana" w:hAnsi="Verdana"/>
          <w:bCs/>
          <w:sz w:val="20"/>
          <w:szCs w:val="20"/>
        </w:rPr>
      </w:pPr>
      <w:r w:rsidRPr="00920145">
        <w:rPr>
          <w:rFonts w:ascii="Verdana" w:hAnsi="Verdana"/>
          <w:bCs/>
          <w:sz w:val="20"/>
          <w:szCs w:val="20"/>
        </w:rPr>
        <w:t>ust. 1 otrzymuje brzmienie:</w:t>
      </w:r>
    </w:p>
    <w:p w14:paraId="0FCE062A" w14:textId="4E951CEE" w:rsidR="009571E1" w:rsidRPr="00920145" w:rsidRDefault="005E442D" w:rsidP="005E442D">
      <w:pPr>
        <w:pStyle w:val="Akapitzlist"/>
        <w:tabs>
          <w:tab w:val="num" w:pos="1134"/>
        </w:tabs>
        <w:spacing w:after="120" w:line="360" w:lineRule="auto"/>
        <w:ind w:left="1134" w:hanging="425"/>
        <w:contextualSpacing w:val="0"/>
        <w:jc w:val="both"/>
        <w:rPr>
          <w:rFonts w:ascii="Verdana" w:hAnsi="Verdana"/>
          <w:sz w:val="20"/>
          <w:szCs w:val="20"/>
        </w:rPr>
      </w:pPr>
      <w:r w:rsidRPr="00920145">
        <w:rPr>
          <w:rFonts w:ascii="Verdana" w:hAnsi="Verdana"/>
          <w:bCs/>
          <w:sz w:val="20"/>
          <w:szCs w:val="20"/>
        </w:rPr>
        <w:tab/>
      </w:r>
      <w:r w:rsidR="009571E1" w:rsidRPr="00920145">
        <w:rPr>
          <w:rFonts w:ascii="Verdana" w:hAnsi="Verdana"/>
          <w:bCs/>
          <w:sz w:val="20"/>
          <w:szCs w:val="20"/>
        </w:rPr>
        <w:t xml:space="preserve">„1. </w:t>
      </w:r>
      <w:r w:rsidR="009571E1" w:rsidRPr="00920145">
        <w:rPr>
          <w:rFonts w:ascii="Verdana" w:hAnsi="Verdana"/>
          <w:sz w:val="20"/>
          <w:szCs w:val="20"/>
        </w:rPr>
        <w:t xml:space="preserve">Zlecenie z oznaczeniem WNF jest ważne do zakończenia odpowiednio najbliższej fazy aukcji otwarcia, fazy aukcji zamknięcia albo równoważenia w dniu złożenia zlecenia na giełdę.”; </w:t>
      </w:r>
    </w:p>
    <w:p w14:paraId="2E0E0197" w14:textId="55342358" w:rsidR="009571E1" w:rsidRPr="00920145" w:rsidRDefault="009571E1" w:rsidP="005E442D">
      <w:pPr>
        <w:pStyle w:val="Akapitzlist"/>
        <w:numPr>
          <w:ilvl w:val="0"/>
          <w:numId w:val="94"/>
        </w:numPr>
        <w:tabs>
          <w:tab w:val="clear" w:pos="737"/>
          <w:tab w:val="num" w:pos="1134"/>
        </w:tabs>
        <w:spacing w:after="120" w:line="360" w:lineRule="auto"/>
        <w:ind w:left="1134" w:hanging="425"/>
        <w:contextualSpacing w:val="0"/>
        <w:jc w:val="both"/>
        <w:rPr>
          <w:rFonts w:ascii="Verdana" w:hAnsi="Verdana"/>
          <w:sz w:val="20"/>
          <w:szCs w:val="20"/>
        </w:rPr>
      </w:pPr>
      <w:r w:rsidRPr="00920145">
        <w:rPr>
          <w:rFonts w:ascii="Verdana" w:hAnsi="Verdana"/>
          <w:sz w:val="20"/>
          <w:szCs w:val="20"/>
        </w:rPr>
        <w:t>w ust. 2 zdanie pierwsze otrzymuje brzmienie:</w:t>
      </w:r>
    </w:p>
    <w:p w14:paraId="58337FD5" w14:textId="4983ACC7" w:rsidR="009571E1" w:rsidRPr="00920145" w:rsidRDefault="005E442D" w:rsidP="005E442D">
      <w:pPr>
        <w:pStyle w:val="Akapitzlist"/>
        <w:tabs>
          <w:tab w:val="num" w:pos="1134"/>
        </w:tabs>
        <w:spacing w:after="240" w:line="360" w:lineRule="auto"/>
        <w:ind w:left="1134" w:hanging="425"/>
        <w:contextualSpacing w:val="0"/>
        <w:jc w:val="both"/>
        <w:rPr>
          <w:rFonts w:ascii="Verdana" w:hAnsi="Verdana" w:cs="Arial"/>
          <w:sz w:val="20"/>
          <w:szCs w:val="20"/>
        </w:rPr>
      </w:pPr>
      <w:r w:rsidRPr="00920145">
        <w:rPr>
          <w:rFonts w:ascii="Verdana" w:hAnsi="Verdana"/>
          <w:sz w:val="20"/>
          <w:szCs w:val="20"/>
        </w:rPr>
        <w:tab/>
      </w:r>
      <w:r w:rsidR="009571E1" w:rsidRPr="00920145">
        <w:rPr>
          <w:rFonts w:ascii="Verdana" w:hAnsi="Verdana"/>
          <w:sz w:val="20"/>
          <w:szCs w:val="20"/>
        </w:rPr>
        <w:t>„</w:t>
      </w:r>
      <w:r w:rsidR="009571E1" w:rsidRPr="00920145">
        <w:rPr>
          <w:rFonts w:ascii="Verdana" w:hAnsi="Verdana" w:cs="Arial"/>
          <w:sz w:val="20"/>
          <w:szCs w:val="20"/>
        </w:rPr>
        <w:t>Zlecenie z tym oznaczeniem może być złożone na giełdę w każdej fazie sesji, w której mogą być składane zlecenia danego rodzaju, jednak do arkusza zleceń jest dodawane w chwili rozpoczęcia odpowiednio najbliższej fazy aukcji otwarcia, fazy aukcji zamknięcia albo równoważenia.”;</w:t>
      </w:r>
    </w:p>
    <w:p w14:paraId="6E79A737" w14:textId="63F2E01E" w:rsidR="00D02717" w:rsidRPr="00920145" w:rsidRDefault="00D02717" w:rsidP="00F8716B">
      <w:pPr>
        <w:pStyle w:val="Akapitzlist"/>
        <w:numPr>
          <w:ilvl w:val="0"/>
          <w:numId w:val="4"/>
        </w:numPr>
        <w:spacing w:after="120" w:line="360" w:lineRule="auto"/>
        <w:ind w:left="709" w:hanging="425"/>
        <w:contextualSpacing w:val="0"/>
        <w:jc w:val="both"/>
        <w:rPr>
          <w:rFonts w:ascii="Verdana" w:hAnsi="Verdana"/>
          <w:bCs/>
          <w:sz w:val="20"/>
          <w:szCs w:val="20"/>
        </w:rPr>
      </w:pPr>
      <w:r w:rsidRPr="00920145">
        <w:rPr>
          <w:rFonts w:ascii="Verdana" w:hAnsi="Verdana"/>
          <w:bCs/>
          <w:sz w:val="20"/>
          <w:szCs w:val="20"/>
        </w:rPr>
        <w:t>w § 26:</w:t>
      </w:r>
    </w:p>
    <w:p w14:paraId="533209CE" w14:textId="77777777" w:rsidR="002110D9" w:rsidRPr="00920145" w:rsidRDefault="00D02717" w:rsidP="005E442D">
      <w:pPr>
        <w:pStyle w:val="Akapitzlist"/>
        <w:numPr>
          <w:ilvl w:val="0"/>
          <w:numId w:val="95"/>
        </w:numPr>
        <w:tabs>
          <w:tab w:val="clear" w:pos="737"/>
          <w:tab w:val="num" w:pos="1134"/>
        </w:tabs>
        <w:spacing w:after="120" w:line="360" w:lineRule="auto"/>
        <w:ind w:left="1134" w:hanging="425"/>
        <w:contextualSpacing w:val="0"/>
        <w:jc w:val="both"/>
        <w:rPr>
          <w:rFonts w:ascii="Verdana" w:hAnsi="Verdana"/>
          <w:bCs/>
          <w:sz w:val="20"/>
          <w:szCs w:val="20"/>
        </w:rPr>
      </w:pPr>
      <w:r w:rsidRPr="00920145">
        <w:rPr>
          <w:rFonts w:ascii="Verdana" w:hAnsi="Verdana"/>
          <w:bCs/>
          <w:sz w:val="20"/>
          <w:szCs w:val="20"/>
        </w:rPr>
        <w:t>w ust. 1 wyrazy „fazy zamknięcia” zastępuje się wyrazami „fazy aukcji zamknięcia”;</w:t>
      </w:r>
    </w:p>
    <w:p w14:paraId="27A4F74D" w14:textId="01E89894" w:rsidR="00D02717" w:rsidRPr="00920145" w:rsidRDefault="00D02717" w:rsidP="005E442D">
      <w:pPr>
        <w:pStyle w:val="Akapitzlist"/>
        <w:numPr>
          <w:ilvl w:val="0"/>
          <w:numId w:val="95"/>
        </w:numPr>
        <w:tabs>
          <w:tab w:val="clear" w:pos="737"/>
          <w:tab w:val="num" w:pos="1134"/>
        </w:tabs>
        <w:spacing w:after="240" w:line="360" w:lineRule="auto"/>
        <w:ind w:left="1134" w:hanging="425"/>
        <w:contextualSpacing w:val="0"/>
        <w:jc w:val="both"/>
        <w:rPr>
          <w:rFonts w:ascii="Verdana" w:hAnsi="Verdana"/>
          <w:bCs/>
          <w:sz w:val="20"/>
          <w:szCs w:val="20"/>
        </w:rPr>
      </w:pPr>
      <w:r w:rsidRPr="00920145">
        <w:rPr>
          <w:rFonts w:ascii="Verdana" w:hAnsi="Verdana"/>
          <w:bCs/>
          <w:sz w:val="20"/>
          <w:szCs w:val="20"/>
        </w:rPr>
        <w:lastRenderedPageBreak/>
        <w:t>w ust. 2 wyrazy „fazy przed zamknięciem” zastępuje się wyrazami „fazy aukcji zamknięcia”;</w:t>
      </w:r>
    </w:p>
    <w:p w14:paraId="288E6134" w14:textId="47DA4FCB" w:rsidR="00D02717" w:rsidRPr="00920145" w:rsidRDefault="00604442" w:rsidP="008362AE">
      <w:pPr>
        <w:pStyle w:val="Nagwek3"/>
      </w:pPr>
      <w:r w:rsidRPr="00920145">
        <w:t xml:space="preserve">w Rozdziale </w:t>
      </w:r>
      <w:r w:rsidR="00F9348C" w:rsidRPr="00920145">
        <w:t>4</w:t>
      </w:r>
      <w:r w:rsidRPr="00920145">
        <w:t xml:space="preserve"> </w:t>
      </w:r>
      <w:r w:rsidR="00B60A17" w:rsidRPr="00920145">
        <w:t>skreśla się wyrazy</w:t>
      </w:r>
      <w:r w:rsidR="003C0F2E" w:rsidRPr="00920145">
        <w:t xml:space="preserve"> „</w:t>
      </w:r>
      <w:r w:rsidR="00D02717" w:rsidRPr="00920145">
        <w:t>Oddział 4</w:t>
      </w:r>
      <w:r w:rsidR="003C0F2E" w:rsidRPr="00920145">
        <w:t>” oraz „</w:t>
      </w:r>
      <w:bookmarkStart w:id="13" w:name="_Hlk198900193"/>
      <w:r w:rsidR="003C0F2E" w:rsidRPr="00920145">
        <w:t xml:space="preserve">Dodatkowe rodzaje ważności zleceń maklerskich”, zaś </w:t>
      </w:r>
      <w:bookmarkEnd w:id="13"/>
      <w:r w:rsidR="00D02717" w:rsidRPr="00920145">
        <w:t>Oddziały 5</w:t>
      </w:r>
      <w:r w:rsidR="003C0F2E" w:rsidRPr="00920145">
        <w:t xml:space="preserve">, 6, 7, 8 i </w:t>
      </w:r>
      <w:r w:rsidR="00D02717" w:rsidRPr="00920145">
        <w:t>9 oznacza się odpowiednio jako Oddziały 4</w:t>
      </w:r>
      <w:r w:rsidR="003C0F2E" w:rsidRPr="00920145">
        <w:t xml:space="preserve">, 5, 6, 7 i </w:t>
      </w:r>
      <w:r w:rsidR="00D02717" w:rsidRPr="00920145">
        <w:t>8;</w:t>
      </w:r>
    </w:p>
    <w:p w14:paraId="25FE072B" w14:textId="19D54B53" w:rsidR="00D02717" w:rsidRPr="00920145" w:rsidRDefault="00430189" w:rsidP="00F8716B">
      <w:pPr>
        <w:pStyle w:val="Akapitzlist"/>
        <w:numPr>
          <w:ilvl w:val="0"/>
          <w:numId w:val="4"/>
        </w:numPr>
        <w:spacing w:after="240" w:line="360" w:lineRule="auto"/>
        <w:ind w:left="709" w:hanging="425"/>
        <w:contextualSpacing w:val="0"/>
        <w:jc w:val="both"/>
        <w:rPr>
          <w:rFonts w:ascii="Verdana" w:hAnsi="Verdana"/>
          <w:bCs/>
          <w:sz w:val="20"/>
          <w:szCs w:val="20"/>
        </w:rPr>
      </w:pPr>
      <w:r w:rsidRPr="00920145">
        <w:rPr>
          <w:rFonts w:ascii="Verdana" w:hAnsi="Verdana"/>
          <w:bCs/>
          <w:sz w:val="20"/>
          <w:szCs w:val="20"/>
        </w:rPr>
        <w:t xml:space="preserve">w § 27 w ust. 3 wyrazy „zlecenia WIA” zastępuje się wyrazami „zlecenia </w:t>
      </w:r>
      <w:r w:rsidR="003C0F2E" w:rsidRPr="00920145">
        <w:rPr>
          <w:rFonts w:ascii="Verdana" w:hAnsi="Verdana"/>
          <w:bCs/>
          <w:sz w:val="20"/>
          <w:szCs w:val="20"/>
        </w:rPr>
        <w:br/>
      </w:r>
      <w:r w:rsidRPr="00920145">
        <w:rPr>
          <w:rFonts w:ascii="Verdana" w:hAnsi="Verdana"/>
          <w:bCs/>
          <w:sz w:val="20"/>
          <w:szCs w:val="20"/>
        </w:rPr>
        <w:t>z oznaczeniem WIA”;</w:t>
      </w:r>
    </w:p>
    <w:p w14:paraId="6D1AD9B7" w14:textId="19316B78" w:rsidR="00430189" w:rsidRPr="00920145" w:rsidRDefault="00430189" w:rsidP="00F8716B">
      <w:pPr>
        <w:pStyle w:val="Akapitzlist"/>
        <w:numPr>
          <w:ilvl w:val="0"/>
          <w:numId w:val="4"/>
        </w:numPr>
        <w:spacing w:after="120" w:line="360" w:lineRule="auto"/>
        <w:ind w:left="709" w:hanging="425"/>
        <w:contextualSpacing w:val="0"/>
        <w:jc w:val="both"/>
        <w:rPr>
          <w:rFonts w:ascii="Verdana" w:hAnsi="Verdana"/>
          <w:bCs/>
          <w:sz w:val="20"/>
          <w:szCs w:val="20"/>
        </w:rPr>
      </w:pPr>
      <w:r w:rsidRPr="00920145">
        <w:rPr>
          <w:rFonts w:ascii="Verdana" w:hAnsi="Verdana"/>
          <w:bCs/>
          <w:sz w:val="20"/>
          <w:szCs w:val="20"/>
        </w:rPr>
        <w:t>w § 28 ust. 3 otrzymuje brzmienie:</w:t>
      </w:r>
    </w:p>
    <w:p w14:paraId="58A0D270" w14:textId="7713F3D5" w:rsidR="00430189" w:rsidRPr="00920145" w:rsidRDefault="00430189" w:rsidP="00A23201">
      <w:pPr>
        <w:pStyle w:val="Akapitzlist"/>
        <w:spacing w:after="240" w:line="360" w:lineRule="auto"/>
        <w:ind w:left="709"/>
        <w:contextualSpacing w:val="0"/>
        <w:jc w:val="both"/>
        <w:rPr>
          <w:rFonts w:ascii="Verdana" w:hAnsi="Verdana" w:cs="Arial"/>
          <w:sz w:val="20"/>
          <w:szCs w:val="20"/>
        </w:rPr>
      </w:pPr>
      <w:r w:rsidRPr="00920145">
        <w:rPr>
          <w:rFonts w:ascii="Verdana" w:hAnsi="Verdana"/>
          <w:bCs/>
          <w:sz w:val="20"/>
          <w:szCs w:val="20"/>
        </w:rPr>
        <w:t xml:space="preserve">„3. </w:t>
      </w:r>
      <w:r w:rsidRPr="00920145">
        <w:rPr>
          <w:rFonts w:ascii="Verdana" w:hAnsi="Verdana" w:cs="Arial"/>
          <w:sz w:val="20"/>
          <w:szCs w:val="20"/>
        </w:rPr>
        <w:t xml:space="preserve">Jeżeli po przyjęciu zlecenia z oznaczeniem WLA w arkuszu zleceń brak jest zleceń przeciwstawnych z limitami ceny umożliwiającymi zawarcie transakcji po kursach zgodnych z ograniczeniami wahań kursów, zlecenie z oznaczeniem WLA traci ważność.”; </w:t>
      </w:r>
    </w:p>
    <w:p w14:paraId="537E2E16" w14:textId="4AD93A6B" w:rsidR="00430189" w:rsidRPr="00920145" w:rsidRDefault="005A1B6F" w:rsidP="00F8716B">
      <w:pPr>
        <w:pStyle w:val="Akapitzlist"/>
        <w:numPr>
          <w:ilvl w:val="0"/>
          <w:numId w:val="4"/>
        </w:numPr>
        <w:spacing w:after="240" w:line="360" w:lineRule="auto"/>
        <w:ind w:left="709" w:hanging="425"/>
        <w:contextualSpacing w:val="0"/>
        <w:jc w:val="both"/>
        <w:rPr>
          <w:rFonts w:ascii="Verdana" w:hAnsi="Verdana"/>
          <w:bCs/>
          <w:sz w:val="20"/>
          <w:szCs w:val="20"/>
        </w:rPr>
      </w:pPr>
      <w:r w:rsidRPr="00920145">
        <w:rPr>
          <w:rFonts w:ascii="Verdana" w:hAnsi="Verdana"/>
          <w:bCs/>
          <w:sz w:val="20"/>
          <w:szCs w:val="20"/>
        </w:rPr>
        <w:t>§ 29</w:t>
      </w:r>
      <w:r w:rsidR="002110D9" w:rsidRPr="00920145">
        <w:rPr>
          <w:rFonts w:ascii="Verdana" w:hAnsi="Verdana"/>
          <w:bCs/>
          <w:sz w:val="20"/>
          <w:szCs w:val="20"/>
        </w:rPr>
        <w:t xml:space="preserve"> uchyla się</w:t>
      </w:r>
      <w:r w:rsidRPr="00920145">
        <w:rPr>
          <w:rFonts w:ascii="Verdana" w:hAnsi="Verdana"/>
          <w:bCs/>
          <w:sz w:val="20"/>
          <w:szCs w:val="20"/>
        </w:rPr>
        <w:t>;</w:t>
      </w:r>
    </w:p>
    <w:p w14:paraId="2710F92A" w14:textId="7AE5C425" w:rsidR="005A1B6F" w:rsidRPr="00920145" w:rsidRDefault="005A1B6F" w:rsidP="00F8716B">
      <w:pPr>
        <w:pStyle w:val="Akapitzlist"/>
        <w:numPr>
          <w:ilvl w:val="0"/>
          <w:numId w:val="4"/>
        </w:numPr>
        <w:spacing w:after="120" w:line="360" w:lineRule="auto"/>
        <w:ind w:left="709" w:hanging="425"/>
        <w:contextualSpacing w:val="0"/>
        <w:jc w:val="both"/>
        <w:rPr>
          <w:rFonts w:ascii="Verdana" w:hAnsi="Verdana"/>
          <w:bCs/>
          <w:sz w:val="20"/>
          <w:szCs w:val="20"/>
        </w:rPr>
      </w:pPr>
      <w:r w:rsidRPr="00920145">
        <w:rPr>
          <w:rFonts w:ascii="Verdana" w:hAnsi="Verdana"/>
          <w:bCs/>
          <w:sz w:val="20"/>
          <w:szCs w:val="20"/>
        </w:rPr>
        <w:t>w § 30:</w:t>
      </w:r>
    </w:p>
    <w:p w14:paraId="5BA2ADBC" w14:textId="4237F159" w:rsidR="005A1B6F" w:rsidRPr="00920145" w:rsidRDefault="005A1B6F" w:rsidP="005E442D">
      <w:pPr>
        <w:pStyle w:val="Akapitzlist"/>
        <w:numPr>
          <w:ilvl w:val="0"/>
          <w:numId w:val="96"/>
        </w:numPr>
        <w:spacing w:after="120" w:line="360" w:lineRule="auto"/>
        <w:ind w:left="1134" w:hanging="425"/>
        <w:contextualSpacing w:val="0"/>
        <w:jc w:val="both"/>
        <w:rPr>
          <w:rFonts w:ascii="Verdana" w:hAnsi="Verdana"/>
          <w:bCs/>
          <w:sz w:val="20"/>
          <w:szCs w:val="20"/>
        </w:rPr>
      </w:pPr>
      <w:r w:rsidRPr="00920145">
        <w:rPr>
          <w:rFonts w:ascii="Verdana" w:hAnsi="Verdana"/>
          <w:bCs/>
          <w:sz w:val="20"/>
          <w:szCs w:val="20"/>
        </w:rPr>
        <w:t>ust. 5 – 7 otrzymują brzmienie:</w:t>
      </w:r>
    </w:p>
    <w:p w14:paraId="52AB7BCF" w14:textId="40AD1C7A" w:rsidR="005A1B6F" w:rsidRPr="00920145" w:rsidRDefault="005A1B6F" w:rsidP="005E442D">
      <w:pPr>
        <w:pStyle w:val="Akapitzlist"/>
        <w:spacing w:after="120" w:line="360" w:lineRule="auto"/>
        <w:ind w:left="1134"/>
        <w:contextualSpacing w:val="0"/>
        <w:jc w:val="both"/>
        <w:rPr>
          <w:rFonts w:ascii="Verdana" w:hAnsi="Verdana" w:cs="Arial"/>
          <w:sz w:val="20"/>
          <w:szCs w:val="20"/>
        </w:rPr>
      </w:pPr>
      <w:r w:rsidRPr="00920145">
        <w:rPr>
          <w:rFonts w:ascii="Verdana" w:hAnsi="Verdana"/>
          <w:bCs/>
          <w:sz w:val="20"/>
          <w:szCs w:val="20"/>
        </w:rPr>
        <w:t xml:space="preserve">„5. </w:t>
      </w:r>
      <w:r w:rsidRPr="00920145">
        <w:rPr>
          <w:rFonts w:ascii="Verdana" w:hAnsi="Verdana" w:cs="Arial"/>
          <w:sz w:val="20"/>
          <w:szCs w:val="20"/>
        </w:rPr>
        <w:t>W przypadku zleceń z tym samym limitem ceny o kolejności realizacji wielkości ujawnionej zlecenia decyduje czas jej ujawnienia w arkuszu. Modyfikacja wielkości ujawnianej powoduje utratę priorytetu czasu ujawnienia tej części zlecenia w arkuszu.</w:t>
      </w:r>
    </w:p>
    <w:p w14:paraId="17B98B7E" w14:textId="18C11403" w:rsidR="005A1B6F" w:rsidRPr="00920145" w:rsidRDefault="00842960" w:rsidP="005E442D">
      <w:pPr>
        <w:spacing w:after="120" w:line="360" w:lineRule="auto"/>
        <w:ind w:left="1134"/>
        <w:jc w:val="both"/>
        <w:rPr>
          <w:rFonts w:ascii="Verdana" w:hAnsi="Verdana" w:cs="Arial"/>
          <w:sz w:val="20"/>
          <w:szCs w:val="20"/>
        </w:rPr>
      </w:pPr>
      <w:r w:rsidRPr="00920145">
        <w:rPr>
          <w:rFonts w:ascii="Verdana" w:hAnsi="Verdana" w:cs="Arial"/>
          <w:bCs/>
          <w:sz w:val="20"/>
          <w:szCs w:val="20"/>
        </w:rPr>
        <w:t>6.</w:t>
      </w:r>
      <w:r w:rsidRPr="00920145">
        <w:rPr>
          <w:rFonts w:ascii="Verdana" w:hAnsi="Verdana"/>
          <w:bCs/>
          <w:sz w:val="20"/>
          <w:szCs w:val="20"/>
        </w:rPr>
        <w:t xml:space="preserve"> </w:t>
      </w:r>
      <w:r w:rsidR="005A1B6F" w:rsidRPr="00920145">
        <w:rPr>
          <w:rFonts w:ascii="Verdana" w:hAnsi="Verdana" w:cs="Arial"/>
          <w:sz w:val="20"/>
          <w:szCs w:val="20"/>
        </w:rPr>
        <w:t xml:space="preserve">Wielkość ujawniana zlecenia nie może być mniejsza niż minimalna wielkość jednostki transakcyjnej obowiązującej dla instrumentu finansowego. </w:t>
      </w:r>
    </w:p>
    <w:p w14:paraId="44292BB4" w14:textId="6BF778B0" w:rsidR="005A1B6F" w:rsidRPr="00920145" w:rsidRDefault="00842960" w:rsidP="005E442D">
      <w:pPr>
        <w:pStyle w:val="Akapitzlist"/>
        <w:spacing w:after="120" w:line="360" w:lineRule="auto"/>
        <w:ind w:left="1134"/>
        <w:contextualSpacing w:val="0"/>
        <w:jc w:val="both"/>
        <w:rPr>
          <w:rFonts w:ascii="Verdana" w:hAnsi="Verdana"/>
          <w:sz w:val="20"/>
          <w:szCs w:val="20"/>
        </w:rPr>
      </w:pPr>
      <w:r w:rsidRPr="00920145">
        <w:rPr>
          <w:rFonts w:ascii="Verdana" w:hAnsi="Verdana"/>
          <w:sz w:val="20"/>
          <w:szCs w:val="20"/>
        </w:rPr>
        <w:t xml:space="preserve">7. </w:t>
      </w:r>
      <w:r w:rsidR="005A1B6F" w:rsidRPr="00920145">
        <w:rPr>
          <w:rFonts w:ascii="Verdana" w:hAnsi="Verdana"/>
          <w:sz w:val="20"/>
          <w:szCs w:val="20"/>
        </w:rPr>
        <w:t>Przy obliczaniu i publikowaniu TKO i TWO brany jest pod uwagę całkowity wolumen zlecenia z warunkiem WUJ.</w:t>
      </w:r>
      <w:r w:rsidRPr="00920145">
        <w:rPr>
          <w:rFonts w:ascii="Verdana" w:hAnsi="Verdana"/>
          <w:sz w:val="20"/>
          <w:szCs w:val="20"/>
        </w:rPr>
        <w:t>”;</w:t>
      </w:r>
    </w:p>
    <w:p w14:paraId="0FDDEB8E" w14:textId="6CDE70CF" w:rsidR="00842960" w:rsidRPr="00920145" w:rsidRDefault="00842960" w:rsidP="005E442D">
      <w:pPr>
        <w:pStyle w:val="Akapitzlist"/>
        <w:numPr>
          <w:ilvl w:val="0"/>
          <w:numId w:val="96"/>
        </w:numPr>
        <w:spacing w:after="120" w:line="360" w:lineRule="auto"/>
        <w:ind w:left="1134" w:hanging="425"/>
        <w:contextualSpacing w:val="0"/>
        <w:jc w:val="both"/>
        <w:rPr>
          <w:rFonts w:ascii="Verdana" w:hAnsi="Verdana"/>
          <w:sz w:val="20"/>
          <w:szCs w:val="20"/>
        </w:rPr>
      </w:pPr>
      <w:r w:rsidRPr="00920145">
        <w:rPr>
          <w:rFonts w:ascii="Verdana" w:hAnsi="Verdana"/>
          <w:sz w:val="20"/>
          <w:szCs w:val="20"/>
        </w:rPr>
        <w:t>ust. 8 i 9</w:t>
      </w:r>
      <w:r w:rsidR="002110D9" w:rsidRPr="00920145">
        <w:rPr>
          <w:rFonts w:ascii="Verdana" w:hAnsi="Verdana"/>
          <w:sz w:val="20"/>
          <w:szCs w:val="20"/>
        </w:rPr>
        <w:t xml:space="preserve"> uchyla się</w:t>
      </w:r>
      <w:r w:rsidRPr="00920145">
        <w:rPr>
          <w:rFonts w:ascii="Verdana" w:hAnsi="Verdana"/>
          <w:sz w:val="20"/>
          <w:szCs w:val="20"/>
        </w:rPr>
        <w:t>;</w:t>
      </w:r>
    </w:p>
    <w:p w14:paraId="526CA745" w14:textId="79CCDCB7" w:rsidR="00842960" w:rsidRPr="00920145" w:rsidRDefault="00842960" w:rsidP="005E442D">
      <w:pPr>
        <w:pStyle w:val="Akapitzlist"/>
        <w:numPr>
          <w:ilvl w:val="0"/>
          <w:numId w:val="96"/>
        </w:numPr>
        <w:spacing w:after="120" w:line="360" w:lineRule="auto"/>
        <w:ind w:left="1134" w:hanging="425"/>
        <w:contextualSpacing w:val="0"/>
        <w:jc w:val="both"/>
        <w:rPr>
          <w:rFonts w:ascii="Verdana" w:hAnsi="Verdana" w:cs="Arial"/>
          <w:sz w:val="20"/>
          <w:szCs w:val="20"/>
        </w:rPr>
      </w:pPr>
      <w:r w:rsidRPr="00920145">
        <w:rPr>
          <w:rFonts w:ascii="Verdana" w:hAnsi="Verdana" w:cs="Arial"/>
          <w:sz w:val="20"/>
          <w:szCs w:val="20"/>
        </w:rPr>
        <w:t>w ust. 12</w:t>
      </w:r>
      <w:r w:rsidR="0029648C" w:rsidRPr="00920145">
        <w:rPr>
          <w:rFonts w:ascii="Verdana" w:hAnsi="Verdana" w:cs="Arial"/>
          <w:sz w:val="20"/>
          <w:szCs w:val="20"/>
        </w:rPr>
        <w:t xml:space="preserve"> </w:t>
      </w:r>
      <w:r w:rsidRPr="00920145">
        <w:rPr>
          <w:rFonts w:ascii="Verdana" w:hAnsi="Verdana" w:cs="Arial"/>
          <w:sz w:val="20"/>
          <w:szCs w:val="20"/>
        </w:rPr>
        <w:t>otrzymuje brzmienie:</w:t>
      </w:r>
    </w:p>
    <w:p w14:paraId="704AC53F" w14:textId="616359FB" w:rsidR="00842960" w:rsidRPr="00920145" w:rsidRDefault="00842960" w:rsidP="005E442D">
      <w:pPr>
        <w:pStyle w:val="Akapitzlist"/>
        <w:spacing w:after="240" w:line="360" w:lineRule="auto"/>
        <w:ind w:left="1134"/>
        <w:contextualSpacing w:val="0"/>
        <w:jc w:val="both"/>
        <w:rPr>
          <w:rFonts w:ascii="Verdana" w:hAnsi="Verdana"/>
          <w:bCs/>
          <w:sz w:val="20"/>
          <w:szCs w:val="20"/>
        </w:rPr>
      </w:pPr>
      <w:r w:rsidRPr="00920145">
        <w:rPr>
          <w:rFonts w:ascii="Verdana" w:hAnsi="Verdana" w:cs="Arial"/>
          <w:sz w:val="20"/>
          <w:szCs w:val="20"/>
        </w:rPr>
        <w:t>„2</w:t>
      </w:r>
      <w:r w:rsidRPr="00920145">
        <w:rPr>
          <w:rFonts w:ascii="Verdana" w:hAnsi="Verdana" w:cs="Vrinda"/>
          <w:bCs/>
          <w:sz w:val="20"/>
          <w:szCs w:val="20"/>
        </w:rPr>
        <w:t>.</w:t>
      </w:r>
      <w:r w:rsidR="0029648C" w:rsidRPr="00920145">
        <w:rPr>
          <w:rFonts w:ascii="Verdana" w:hAnsi="Verdana" w:cs="Vrinda"/>
          <w:bCs/>
          <w:sz w:val="20"/>
          <w:szCs w:val="20"/>
        </w:rPr>
        <w:t xml:space="preserve"> </w:t>
      </w:r>
      <w:bookmarkStart w:id="14" w:name="_Hlk199241511"/>
      <w:r w:rsidR="0029648C" w:rsidRPr="00920145">
        <w:rPr>
          <w:rFonts w:ascii="Verdana" w:hAnsi="Verdana" w:cs="Arial"/>
          <w:sz w:val="20"/>
          <w:szCs w:val="20"/>
        </w:rPr>
        <w:t>D</w:t>
      </w:r>
      <w:r w:rsidR="0029648C" w:rsidRPr="00920145">
        <w:rPr>
          <w:rFonts w:ascii="Verdana" w:hAnsi="Verdana"/>
          <w:bCs/>
          <w:sz w:val="20"/>
          <w:szCs w:val="20"/>
        </w:rPr>
        <w:t xml:space="preserve">opuszcza się modyfikację częściowo zrealizowanego zlecenia WUJ, </w:t>
      </w:r>
      <w:r w:rsidR="006B411A" w:rsidRPr="00920145">
        <w:rPr>
          <w:rFonts w:ascii="Verdana" w:hAnsi="Verdana"/>
          <w:bCs/>
          <w:sz w:val="20"/>
          <w:szCs w:val="20"/>
        </w:rPr>
        <w:br/>
      </w:r>
      <w:r w:rsidR="0029648C" w:rsidRPr="00920145">
        <w:rPr>
          <w:rFonts w:ascii="Verdana" w:hAnsi="Verdana"/>
          <w:bCs/>
          <w:sz w:val="20"/>
          <w:szCs w:val="20"/>
        </w:rPr>
        <w:t>w wyniku której pozostała część tego zlecenia ma wartość mniejszą niż określona w ust. 10, o ile</w:t>
      </w:r>
      <w:bookmarkEnd w:id="14"/>
      <w:r w:rsidR="0029648C" w:rsidRPr="00920145">
        <w:rPr>
          <w:rFonts w:ascii="Verdana" w:hAnsi="Verdana"/>
          <w:bCs/>
          <w:sz w:val="20"/>
          <w:szCs w:val="20"/>
        </w:rPr>
        <w:t xml:space="preserve"> wartość pozostałej części tego zlecenia po jej przeliczeniu według pierwotnego wolumenu tego zlecenia (wolumenu przed częściową realizacją) byłaby nie mniejsza niż określona w ust. 10</w:t>
      </w:r>
      <w:r w:rsidRPr="00920145">
        <w:rPr>
          <w:rFonts w:ascii="Verdana" w:hAnsi="Verdana" w:cs="Vrinda"/>
          <w:bCs/>
          <w:sz w:val="20"/>
          <w:szCs w:val="20"/>
        </w:rPr>
        <w:t>”;</w:t>
      </w:r>
      <w:r w:rsidRPr="00920145">
        <w:rPr>
          <w:rFonts w:ascii="Verdana" w:hAnsi="Verdana"/>
          <w:bCs/>
          <w:sz w:val="20"/>
          <w:szCs w:val="20"/>
        </w:rPr>
        <w:t xml:space="preserve">  </w:t>
      </w:r>
    </w:p>
    <w:p w14:paraId="3B7FE38D" w14:textId="77777777" w:rsidR="00950E6C" w:rsidRPr="00920145" w:rsidRDefault="00950E6C" w:rsidP="005E442D">
      <w:pPr>
        <w:pStyle w:val="Akapitzlist"/>
        <w:spacing w:after="240" w:line="360" w:lineRule="auto"/>
        <w:ind w:left="1134"/>
        <w:contextualSpacing w:val="0"/>
        <w:jc w:val="both"/>
        <w:rPr>
          <w:rFonts w:ascii="Verdana" w:hAnsi="Verdana"/>
          <w:bCs/>
          <w:sz w:val="20"/>
          <w:szCs w:val="20"/>
        </w:rPr>
      </w:pPr>
    </w:p>
    <w:p w14:paraId="4FF733EB" w14:textId="3F6F3ED8" w:rsidR="00842960" w:rsidRPr="00920145" w:rsidRDefault="000C427C" w:rsidP="00F8716B">
      <w:pPr>
        <w:pStyle w:val="Akapitzlist"/>
        <w:numPr>
          <w:ilvl w:val="0"/>
          <w:numId w:val="4"/>
        </w:numPr>
        <w:spacing w:after="240" w:line="360" w:lineRule="auto"/>
        <w:ind w:left="709" w:hanging="425"/>
        <w:contextualSpacing w:val="0"/>
        <w:jc w:val="both"/>
        <w:rPr>
          <w:rFonts w:ascii="Verdana" w:hAnsi="Verdana" w:cs="Arial"/>
          <w:sz w:val="20"/>
          <w:szCs w:val="20"/>
        </w:rPr>
      </w:pPr>
      <w:r w:rsidRPr="00920145">
        <w:rPr>
          <w:rFonts w:ascii="Verdana" w:hAnsi="Verdana" w:cs="Arial"/>
          <w:sz w:val="20"/>
          <w:szCs w:val="20"/>
        </w:rPr>
        <w:lastRenderedPageBreak/>
        <w:t xml:space="preserve">w § 31 w ust. 1 i 2 </w:t>
      </w:r>
      <w:r w:rsidR="00684060" w:rsidRPr="00920145">
        <w:rPr>
          <w:rFonts w:ascii="Verdana" w:hAnsi="Verdana" w:cs="Arial"/>
          <w:sz w:val="20"/>
          <w:szCs w:val="20"/>
        </w:rPr>
        <w:t xml:space="preserve">skreśla się </w:t>
      </w:r>
      <w:r w:rsidRPr="00920145">
        <w:rPr>
          <w:rFonts w:ascii="Verdana" w:hAnsi="Verdana" w:cs="Arial"/>
          <w:sz w:val="20"/>
          <w:szCs w:val="20"/>
        </w:rPr>
        <w:t>wyrazy „i rodzajów”;</w:t>
      </w:r>
    </w:p>
    <w:p w14:paraId="0A2E9380" w14:textId="782F7149" w:rsidR="000C427C" w:rsidRPr="00920145" w:rsidRDefault="00227015" w:rsidP="00F8716B">
      <w:pPr>
        <w:pStyle w:val="Akapitzlist"/>
        <w:numPr>
          <w:ilvl w:val="0"/>
          <w:numId w:val="4"/>
        </w:numPr>
        <w:spacing w:after="120" w:line="360" w:lineRule="auto"/>
        <w:ind w:left="709" w:hanging="425"/>
        <w:contextualSpacing w:val="0"/>
        <w:jc w:val="both"/>
        <w:rPr>
          <w:rFonts w:ascii="Verdana" w:hAnsi="Verdana" w:cs="Arial"/>
          <w:sz w:val="20"/>
          <w:szCs w:val="20"/>
        </w:rPr>
      </w:pPr>
      <w:r w:rsidRPr="00920145">
        <w:rPr>
          <w:rFonts w:ascii="Verdana" w:hAnsi="Verdana" w:cs="Arial"/>
          <w:sz w:val="20"/>
          <w:szCs w:val="20"/>
        </w:rPr>
        <w:t>w Rozdziale 5 w Oddziale 6 nazwa Tytułu 1 otrzymuje brzmienie:</w:t>
      </w:r>
    </w:p>
    <w:p w14:paraId="01CAADC9" w14:textId="36156C52" w:rsidR="00227015" w:rsidRPr="00920145" w:rsidRDefault="00227015" w:rsidP="00A23201">
      <w:pPr>
        <w:pStyle w:val="Akapitzlist"/>
        <w:spacing w:after="240" w:line="360" w:lineRule="auto"/>
        <w:ind w:left="709"/>
        <w:contextualSpacing w:val="0"/>
        <w:jc w:val="both"/>
        <w:rPr>
          <w:rFonts w:ascii="Verdana" w:hAnsi="Verdana"/>
          <w:sz w:val="20"/>
          <w:szCs w:val="20"/>
        </w:rPr>
      </w:pPr>
      <w:r w:rsidRPr="00920145">
        <w:rPr>
          <w:rFonts w:ascii="Verdana" w:hAnsi="Verdana" w:cs="Arial"/>
          <w:sz w:val="20"/>
          <w:szCs w:val="20"/>
        </w:rPr>
        <w:t>„</w:t>
      </w:r>
      <w:r w:rsidRPr="00920145">
        <w:rPr>
          <w:rFonts w:ascii="Verdana" w:hAnsi="Verdana"/>
          <w:sz w:val="20"/>
          <w:szCs w:val="20"/>
        </w:rPr>
        <w:t>Realizacja zleceń maklerskich w fazie aukcji otwarcia, fazie aukcji zamknięcia oraz w trakcie równoważenia”;</w:t>
      </w:r>
    </w:p>
    <w:p w14:paraId="6EE955A9" w14:textId="21405946" w:rsidR="00227015" w:rsidRPr="00920145" w:rsidRDefault="00227015" w:rsidP="00F8716B">
      <w:pPr>
        <w:pStyle w:val="Akapitzlist"/>
        <w:numPr>
          <w:ilvl w:val="0"/>
          <w:numId w:val="4"/>
        </w:numPr>
        <w:spacing w:after="120" w:line="360" w:lineRule="auto"/>
        <w:ind w:left="709" w:hanging="425"/>
        <w:contextualSpacing w:val="0"/>
        <w:jc w:val="both"/>
        <w:rPr>
          <w:rFonts w:ascii="Verdana" w:hAnsi="Verdana"/>
          <w:sz w:val="20"/>
          <w:szCs w:val="20"/>
        </w:rPr>
      </w:pPr>
      <w:r w:rsidRPr="00920145">
        <w:rPr>
          <w:rFonts w:ascii="Verdana" w:hAnsi="Verdana"/>
          <w:sz w:val="20"/>
          <w:szCs w:val="20"/>
        </w:rPr>
        <w:t>w § 33:</w:t>
      </w:r>
    </w:p>
    <w:p w14:paraId="3CAD8B73" w14:textId="3D1F2E12" w:rsidR="00227015" w:rsidRPr="00920145" w:rsidRDefault="00227015" w:rsidP="005E442D">
      <w:pPr>
        <w:pStyle w:val="Akapitzlist"/>
        <w:numPr>
          <w:ilvl w:val="0"/>
          <w:numId w:val="97"/>
        </w:numPr>
        <w:spacing w:after="120" w:line="360" w:lineRule="auto"/>
        <w:ind w:left="1134" w:hanging="425"/>
        <w:contextualSpacing w:val="0"/>
        <w:jc w:val="both"/>
        <w:rPr>
          <w:rFonts w:ascii="Verdana" w:hAnsi="Verdana"/>
          <w:sz w:val="20"/>
          <w:szCs w:val="20"/>
        </w:rPr>
      </w:pPr>
      <w:r w:rsidRPr="00920145">
        <w:rPr>
          <w:rFonts w:ascii="Verdana" w:hAnsi="Verdana"/>
          <w:sz w:val="20"/>
          <w:szCs w:val="20"/>
        </w:rPr>
        <w:t>wyrazy „fazie otwarcia, fazie zamknięcia” zastępuje się wyrazami „fazie aukcji otwarcia, fazie aukcji zamknięcia”;</w:t>
      </w:r>
    </w:p>
    <w:p w14:paraId="495EFF0F" w14:textId="0FA1BB74" w:rsidR="00227015" w:rsidRPr="00920145" w:rsidRDefault="00227015" w:rsidP="005E442D">
      <w:pPr>
        <w:pStyle w:val="Akapitzlist"/>
        <w:numPr>
          <w:ilvl w:val="0"/>
          <w:numId w:val="97"/>
        </w:numPr>
        <w:spacing w:after="120" w:line="360" w:lineRule="auto"/>
        <w:ind w:left="1134" w:hanging="425"/>
        <w:contextualSpacing w:val="0"/>
        <w:jc w:val="both"/>
        <w:rPr>
          <w:rFonts w:ascii="Verdana" w:hAnsi="Verdana"/>
          <w:sz w:val="20"/>
          <w:szCs w:val="20"/>
        </w:rPr>
      </w:pPr>
      <w:r w:rsidRPr="00920145">
        <w:rPr>
          <w:rFonts w:ascii="Verdana" w:hAnsi="Verdana"/>
          <w:sz w:val="20"/>
          <w:szCs w:val="20"/>
        </w:rPr>
        <w:t>ust. 2 otrzymuje brzmienie:</w:t>
      </w:r>
    </w:p>
    <w:p w14:paraId="0A6FBEBD" w14:textId="64AAE519" w:rsidR="00227015" w:rsidRPr="00920145" w:rsidRDefault="00227015" w:rsidP="005E442D">
      <w:pPr>
        <w:pStyle w:val="Akapitzlist"/>
        <w:spacing w:after="240" w:line="360" w:lineRule="auto"/>
        <w:ind w:left="1134"/>
        <w:contextualSpacing w:val="0"/>
        <w:jc w:val="both"/>
        <w:rPr>
          <w:rFonts w:cs="Arial"/>
          <w:szCs w:val="20"/>
        </w:rPr>
      </w:pPr>
      <w:r w:rsidRPr="00920145">
        <w:rPr>
          <w:rFonts w:ascii="Verdana" w:hAnsi="Verdana"/>
          <w:sz w:val="20"/>
          <w:szCs w:val="20"/>
        </w:rPr>
        <w:t xml:space="preserve">„2. </w:t>
      </w:r>
      <w:r w:rsidRPr="00920145">
        <w:rPr>
          <w:rFonts w:ascii="Verdana" w:hAnsi="Verdana" w:cs="Arial"/>
          <w:sz w:val="20"/>
          <w:szCs w:val="20"/>
        </w:rPr>
        <w:t xml:space="preserve">Zlecenia maklerskie realizowane są zgodnie z priorytetem ceny, </w:t>
      </w:r>
      <w:r w:rsidR="00604442" w:rsidRPr="00920145">
        <w:rPr>
          <w:rFonts w:ascii="Verdana" w:hAnsi="Verdana" w:cs="Arial"/>
          <w:sz w:val="20"/>
          <w:szCs w:val="20"/>
        </w:rPr>
        <w:br/>
      </w:r>
      <w:r w:rsidRPr="00920145">
        <w:rPr>
          <w:rFonts w:ascii="Verdana" w:hAnsi="Verdana" w:cs="Arial"/>
          <w:sz w:val="20"/>
          <w:szCs w:val="20"/>
        </w:rPr>
        <w:t>a następnie zgodnie z priorytetem czasu przyjęcia do arkusza zleceń/ujawnienia w arkuszu zleceń.”;</w:t>
      </w:r>
      <w:r w:rsidRPr="00920145">
        <w:rPr>
          <w:rFonts w:cs="Arial"/>
          <w:szCs w:val="20"/>
        </w:rPr>
        <w:t xml:space="preserve">  </w:t>
      </w:r>
    </w:p>
    <w:p w14:paraId="254A05C6" w14:textId="35D65A4C" w:rsidR="00CC76E6" w:rsidRPr="00920145" w:rsidRDefault="00D11A02" w:rsidP="008362AE">
      <w:pPr>
        <w:pStyle w:val="Nagwek3"/>
      </w:pPr>
      <w:r w:rsidRPr="00920145">
        <w:t xml:space="preserve">§ 34 otrzymuje brzmienie: </w:t>
      </w:r>
    </w:p>
    <w:p w14:paraId="7F390376" w14:textId="4481AB6E" w:rsidR="00CC76E6" w:rsidRPr="00920145" w:rsidRDefault="00D11A02" w:rsidP="00871204">
      <w:pPr>
        <w:spacing w:after="120" w:line="360" w:lineRule="auto"/>
        <w:ind w:firstLine="708"/>
        <w:jc w:val="both"/>
        <w:rPr>
          <w:rFonts w:ascii="Verdana" w:hAnsi="Verdana" w:cs="Arial"/>
          <w:sz w:val="20"/>
          <w:szCs w:val="20"/>
        </w:rPr>
      </w:pPr>
      <w:r w:rsidRPr="00920145">
        <w:rPr>
          <w:rFonts w:ascii="Verdana" w:hAnsi="Verdana" w:cs="Arial"/>
          <w:sz w:val="20"/>
          <w:szCs w:val="20"/>
        </w:rPr>
        <w:t>„</w:t>
      </w:r>
      <w:r w:rsidR="00CC76E6" w:rsidRPr="00920145">
        <w:rPr>
          <w:rFonts w:ascii="Verdana" w:hAnsi="Verdana" w:cs="Arial"/>
          <w:sz w:val="20"/>
          <w:szCs w:val="20"/>
        </w:rPr>
        <w:t>§ 34</w:t>
      </w:r>
    </w:p>
    <w:p w14:paraId="4946B6A2" w14:textId="32CF674E" w:rsidR="00CC76E6" w:rsidRPr="00920145" w:rsidRDefault="00CC76E6" w:rsidP="00D11A02">
      <w:pPr>
        <w:spacing w:after="240" w:line="360" w:lineRule="auto"/>
        <w:ind w:left="708"/>
        <w:jc w:val="both"/>
        <w:rPr>
          <w:rFonts w:ascii="Verdana" w:hAnsi="Verdana" w:cs="Arial"/>
          <w:sz w:val="20"/>
          <w:szCs w:val="20"/>
        </w:rPr>
      </w:pPr>
      <w:r w:rsidRPr="00920145">
        <w:rPr>
          <w:rFonts w:ascii="Verdana" w:hAnsi="Verdana" w:cs="Arial"/>
          <w:sz w:val="20"/>
          <w:szCs w:val="20"/>
        </w:rPr>
        <w:t>W przypadku zleceń LIMIT z limitem ceny  równym, odpowiednio, kursowi jednolitemu, kursowi otwarcia,  kursowi zamknięcia lub kursowi wyznaczonemu w wyniku równoważenia, o kolejności realizacji zleceń decyduje priorytet czasu przyjęcia do arkusza zleceń/ujawnienia w arkuszu zleceń.</w:t>
      </w:r>
      <w:r w:rsidR="00D11A02" w:rsidRPr="00920145">
        <w:rPr>
          <w:rFonts w:ascii="Verdana" w:hAnsi="Verdana" w:cs="Arial"/>
          <w:sz w:val="20"/>
          <w:szCs w:val="20"/>
        </w:rPr>
        <w:t>”;</w:t>
      </w:r>
      <w:r w:rsidRPr="00920145">
        <w:rPr>
          <w:rFonts w:ascii="Verdana" w:hAnsi="Verdana" w:cs="Arial"/>
          <w:sz w:val="20"/>
          <w:szCs w:val="20"/>
        </w:rPr>
        <w:t xml:space="preserve">  </w:t>
      </w:r>
    </w:p>
    <w:p w14:paraId="160B0992" w14:textId="77777777" w:rsidR="00B237D1" w:rsidRPr="00920145" w:rsidRDefault="008241F1" w:rsidP="00D11A02">
      <w:pPr>
        <w:pStyle w:val="Akapitzlist"/>
        <w:numPr>
          <w:ilvl w:val="0"/>
          <w:numId w:val="4"/>
        </w:numPr>
        <w:spacing w:after="120" w:line="360" w:lineRule="auto"/>
        <w:ind w:left="709" w:hanging="425"/>
        <w:contextualSpacing w:val="0"/>
        <w:jc w:val="both"/>
        <w:rPr>
          <w:rFonts w:ascii="Verdana" w:hAnsi="Verdana"/>
          <w:sz w:val="20"/>
          <w:szCs w:val="20"/>
        </w:rPr>
      </w:pPr>
      <w:r w:rsidRPr="00920145">
        <w:rPr>
          <w:rFonts w:ascii="Verdana" w:hAnsi="Verdana"/>
          <w:sz w:val="20"/>
          <w:szCs w:val="20"/>
        </w:rPr>
        <w:t>w § 35</w:t>
      </w:r>
      <w:r w:rsidR="00B237D1" w:rsidRPr="00920145">
        <w:rPr>
          <w:rFonts w:ascii="Verdana" w:hAnsi="Verdana"/>
          <w:sz w:val="20"/>
          <w:szCs w:val="20"/>
        </w:rPr>
        <w:t>:</w:t>
      </w:r>
    </w:p>
    <w:p w14:paraId="154245F6" w14:textId="33B199AC" w:rsidR="008241F1" w:rsidRPr="00920145" w:rsidRDefault="008241F1" w:rsidP="009E0C7E">
      <w:pPr>
        <w:pStyle w:val="Akapitzlist"/>
        <w:numPr>
          <w:ilvl w:val="1"/>
          <w:numId w:val="11"/>
        </w:numPr>
        <w:spacing w:after="120" w:line="360" w:lineRule="auto"/>
        <w:contextualSpacing w:val="0"/>
        <w:jc w:val="both"/>
        <w:rPr>
          <w:rFonts w:ascii="Verdana" w:hAnsi="Verdana"/>
          <w:sz w:val="20"/>
          <w:szCs w:val="20"/>
        </w:rPr>
      </w:pPr>
      <w:r w:rsidRPr="00920145">
        <w:rPr>
          <w:rFonts w:ascii="Verdana" w:hAnsi="Verdana"/>
          <w:sz w:val="20"/>
          <w:szCs w:val="20"/>
        </w:rPr>
        <w:t>ust. 3 otrzymuje brzmienie:</w:t>
      </w:r>
    </w:p>
    <w:p w14:paraId="56174925" w14:textId="0E0FC90D" w:rsidR="00D11A02" w:rsidRPr="00920145" w:rsidRDefault="00D11A02" w:rsidP="009E0C7E">
      <w:pPr>
        <w:pStyle w:val="Akapitzlist"/>
        <w:spacing w:line="360" w:lineRule="auto"/>
        <w:ind w:left="862"/>
        <w:jc w:val="both"/>
        <w:rPr>
          <w:rFonts w:ascii="Verdana" w:hAnsi="Verdana" w:cs="Arial"/>
          <w:sz w:val="20"/>
          <w:szCs w:val="20"/>
        </w:rPr>
      </w:pPr>
      <w:r w:rsidRPr="00920145">
        <w:rPr>
          <w:rFonts w:ascii="Verdana" w:hAnsi="Verdana" w:cs="Arial"/>
          <w:sz w:val="20"/>
          <w:szCs w:val="20"/>
        </w:rPr>
        <w:t xml:space="preserve">„3. W fazie notowań ciągłych zlecenia maklerskie podlegają realizacji zgodnie z priorytetem ceny, a następnie zgodnie z priorytetem czasu przyjęcia do arkusza zleceń/ujawnienia w arkuszu zleceń.”;   </w:t>
      </w:r>
    </w:p>
    <w:p w14:paraId="45815393" w14:textId="7094D82A" w:rsidR="002B0AAF" w:rsidRPr="00920145" w:rsidRDefault="008241F1" w:rsidP="008362AE">
      <w:pPr>
        <w:pStyle w:val="Nagwek3"/>
        <w:numPr>
          <w:ilvl w:val="1"/>
          <w:numId w:val="11"/>
        </w:numPr>
      </w:pPr>
      <w:r w:rsidRPr="00920145">
        <w:t xml:space="preserve">w ust. 4 wyrazy „z zastrzeżeniem ust. 5-7” zastępuje się wyrazami </w:t>
      </w:r>
      <w:r w:rsidR="002110D9" w:rsidRPr="00920145">
        <w:br/>
      </w:r>
      <w:r w:rsidRPr="00920145">
        <w:t>„z zastrzeżeniem ust. 5”;</w:t>
      </w:r>
    </w:p>
    <w:p w14:paraId="2365176D" w14:textId="7ED27C3D" w:rsidR="008241F1" w:rsidRPr="00920145" w:rsidRDefault="00525B16" w:rsidP="00871204">
      <w:pPr>
        <w:spacing w:after="120"/>
        <w:ind w:left="709" w:firstLine="153"/>
        <w:rPr>
          <w:rFonts w:ascii="Verdana" w:hAnsi="Verdana"/>
          <w:sz w:val="20"/>
          <w:szCs w:val="20"/>
        </w:rPr>
      </w:pPr>
      <w:r w:rsidRPr="00920145">
        <w:rPr>
          <w:rFonts w:ascii="Verdana" w:hAnsi="Verdana"/>
          <w:sz w:val="20"/>
          <w:szCs w:val="20"/>
        </w:rPr>
        <w:t xml:space="preserve">c) </w:t>
      </w:r>
      <w:r w:rsidR="008241F1" w:rsidRPr="00920145">
        <w:rPr>
          <w:rFonts w:ascii="Verdana" w:hAnsi="Verdana"/>
          <w:sz w:val="20"/>
          <w:szCs w:val="20"/>
        </w:rPr>
        <w:t>uchyla się ust. 6 i 7;</w:t>
      </w:r>
    </w:p>
    <w:p w14:paraId="4D78E163" w14:textId="34496B3F" w:rsidR="00950E6C" w:rsidRPr="00920145" w:rsidRDefault="00950E6C">
      <w:pPr>
        <w:spacing w:after="0" w:line="240" w:lineRule="auto"/>
        <w:rPr>
          <w:rFonts w:ascii="Verdana" w:hAnsi="Verdana"/>
          <w:sz w:val="20"/>
          <w:szCs w:val="20"/>
          <w:lang w:eastAsia="pl-PL"/>
        </w:rPr>
      </w:pPr>
      <w:r w:rsidRPr="00920145">
        <w:rPr>
          <w:rFonts w:ascii="Verdana" w:hAnsi="Verdana"/>
          <w:sz w:val="20"/>
          <w:szCs w:val="20"/>
          <w:lang w:eastAsia="pl-PL"/>
        </w:rPr>
        <w:br w:type="page"/>
      </w:r>
    </w:p>
    <w:p w14:paraId="7FA40D40" w14:textId="77777777" w:rsidR="005E442D" w:rsidRPr="00920145" w:rsidRDefault="005E442D" w:rsidP="00525B16">
      <w:pPr>
        <w:rPr>
          <w:rFonts w:ascii="Verdana" w:hAnsi="Verdana"/>
          <w:sz w:val="20"/>
          <w:szCs w:val="20"/>
          <w:lang w:eastAsia="pl-PL"/>
        </w:rPr>
      </w:pPr>
    </w:p>
    <w:p w14:paraId="7580C393" w14:textId="37E84189" w:rsidR="008241F1" w:rsidRPr="00920145" w:rsidRDefault="00525B16" w:rsidP="00F32839">
      <w:pPr>
        <w:ind w:firstLine="284"/>
        <w:rPr>
          <w:rFonts w:ascii="Verdana" w:hAnsi="Verdana"/>
          <w:sz w:val="20"/>
          <w:szCs w:val="20"/>
        </w:rPr>
      </w:pPr>
      <w:r w:rsidRPr="00920145">
        <w:rPr>
          <w:rFonts w:ascii="Verdana" w:hAnsi="Verdana"/>
          <w:sz w:val="20"/>
          <w:szCs w:val="20"/>
        </w:rPr>
        <w:t>3</w:t>
      </w:r>
      <w:r w:rsidR="00E15A92" w:rsidRPr="00920145">
        <w:rPr>
          <w:rFonts w:ascii="Verdana" w:hAnsi="Verdana"/>
          <w:sz w:val="20"/>
          <w:szCs w:val="20"/>
        </w:rPr>
        <w:t>2</w:t>
      </w:r>
      <w:r w:rsidRPr="00920145">
        <w:rPr>
          <w:rFonts w:ascii="Verdana" w:hAnsi="Verdana"/>
          <w:sz w:val="20"/>
          <w:szCs w:val="20"/>
        </w:rPr>
        <w:t xml:space="preserve">) </w:t>
      </w:r>
      <w:r w:rsidR="00112669" w:rsidRPr="00920145">
        <w:rPr>
          <w:rFonts w:ascii="Verdana" w:hAnsi="Verdana"/>
          <w:sz w:val="20"/>
          <w:szCs w:val="20"/>
        </w:rPr>
        <w:t>w § 36:</w:t>
      </w:r>
    </w:p>
    <w:p w14:paraId="50594C0C" w14:textId="6402751B" w:rsidR="00112669" w:rsidRPr="00920145" w:rsidRDefault="00D11A02" w:rsidP="005E442D">
      <w:pPr>
        <w:pStyle w:val="Nagwek3"/>
        <w:numPr>
          <w:ilvl w:val="0"/>
          <w:numId w:val="0"/>
        </w:numPr>
        <w:ind w:left="993" w:hanging="284"/>
      </w:pPr>
      <w:r w:rsidRPr="00920145">
        <w:t xml:space="preserve">a) </w:t>
      </w:r>
      <w:r w:rsidR="00112669" w:rsidRPr="00920145">
        <w:t>po ust. 3 dodaje się ust. 3a, w brzmieniu:</w:t>
      </w:r>
    </w:p>
    <w:p w14:paraId="325727F6" w14:textId="3F612105" w:rsidR="00112669" w:rsidRPr="00920145" w:rsidRDefault="00112669" w:rsidP="005E442D">
      <w:pPr>
        <w:pStyle w:val="Akapitzlist"/>
        <w:spacing w:after="120" w:line="360" w:lineRule="auto"/>
        <w:ind w:left="1134"/>
        <w:contextualSpacing w:val="0"/>
        <w:jc w:val="both"/>
        <w:rPr>
          <w:rFonts w:ascii="Verdana" w:hAnsi="Verdana" w:cs="Arial"/>
          <w:sz w:val="20"/>
          <w:szCs w:val="20"/>
        </w:rPr>
      </w:pPr>
      <w:r w:rsidRPr="00920145">
        <w:rPr>
          <w:rFonts w:ascii="Verdana" w:hAnsi="Verdana"/>
          <w:sz w:val="20"/>
          <w:szCs w:val="20"/>
        </w:rPr>
        <w:t xml:space="preserve">„3a. </w:t>
      </w:r>
      <w:r w:rsidRPr="00920145">
        <w:rPr>
          <w:rFonts w:ascii="Verdana" w:hAnsi="Verdana" w:cs="Arial"/>
          <w:sz w:val="20"/>
          <w:szCs w:val="20"/>
        </w:rPr>
        <w:t>Zlecenia „cross” nie mogą być składane w fazie aukcji otwarcia/aukcji zamknięcia, w trakcie równoważenia, ani też w okresie zawieszenia obrotu danymi instrumentami finansowymi.”</w:t>
      </w:r>
      <w:r w:rsidR="00871204" w:rsidRPr="00920145">
        <w:rPr>
          <w:rFonts w:ascii="Verdana" w:hAnsi="Verdana" w:cs="Arial"/>
          <w:sz w:val="20"/>
          <w:szCs w:val="20"/>
        </w:rPr>
        <w:t>;</w:t>
      </w:r>
    </w:p>
    <w:p w14:paraId="60468017" w14:textId="0EC0BAF0" w:rsidR="00112669" w:rsidRPr="00920145" w:rsidRDefault="00532889" w:rsidP="005E442D">
      <w:pPr>
        <w:pStyle w:val="Akapitzlist"/>
        <w:spacing w:after="120" w:line="360" w:lineRule="auto"/>
        <w:ind w:left="709"/>
        <w:contextualSpacing w:val="0"/>
        <w:jc w:val="both"/>
        <w:rPr>
          <w:rFonts w:ascii="Verdana" w:hAnsi="Verdana" w:cs="Arial"/>
          <w:sz w:val="20"/>
          <w:szCs w:val="20"/>
        </w:rPr>
      </w:pPr>
      <w:r w:rsidRPr="00920145">
        <w:rPr>
          <w:rFonts w:ascii="Verdana" w:hAnsi="Verdana" w:cs="Arial"/>
          <w:sz w:val="20"/>
          <w:szCs w:val="20"/>
        </w:rPr>
        <w:t xml:space="preserve">b) </w:t>
      </w:r>
      <w:r w:rsidR="0046042B" w:rsidRPr="00920145">
        <w:rPr>
          <w:rFonts w:ascii="Verdana" w:hAnsi="Verdana" w:cs="Arial"/>
          <w:sz w:val="20"/>
          <w:szCs w:val="20"/>
        </w:rPr>
        <w:t xml:space="preserve"> </w:t>
      </w:r>
      <w:r w:rsidR="00112669" w:rsidRPr="00920145">
        <w:rPr>
          <w:rFonts w:ascii="Verdana" w:hAnsi="Verdana" w:cs="Arial"/>
          <w:sz w:val="20"/>
          <w:szCs w:val="20"/>
        </w:rPr>
        <w:t>ust. 4</w:t>
      </w:r>
      <w:r w:rsidR="00CE7AE5" w:rsidRPr="00920145">
        <w:rPr>
          <w:rFonts w:ascii="Verdana" w:hAnsi="Verdana"/>
          <w:sz w:val="20"/>
          <w:szCs w:val="20"/>
        </w:rPr>
        <w:t xml:space="preserve"> </w:t>
      </w:r>
      <w:r w:rsidR="00112669" w:rsidRPr="00920145">
        <w:rPr>
          <w:rFonts w:ascii="Verdana" w:hAnsi="Verdana" w:cs="Arial"/>
          <w:sz w:val="20"/>
          <w:szCs w:val="20"/>
        </w:rPr>
        <w:t>otrzymuj</w:t>
      </w:r>
      <w:r w:rsidR="0046042B" w:rsidRPr="00920145">
        <w:rPr>
          <w:rFonts w:ascii="Verdana" w:hAnsi="Verdana" w:cs="Arial"/>
          <w:sz w:val="20"/>
          <w:szCs w:val="20"/>
        </w:rPr>
        <w:t>e</w:t>
      </w:r>
      <w:r w:rsidR="00112669" w:rsidRPr="00920145">
        <w:rPr>
          <w:rFonts w:ascii="Verdana" w:hAnsi="Verdana" w:cs="Arial"/>
          <w:sz w:val="20"/>
          <w:szCs w:val="20"/>
        </w:rPr>
        <w:t xml:space="preserve"> brzmienie:</w:t>
      </w:r>
    </w:p>
    <w:p w14:paraId="3167082B" w14:textId="6CBA1837" w:rsidR="0046042B" w:rsidRPr="00920145" w:rsidRDefault="00112669" w:rsidP="005E442D">
      <w:pPr>
        <w:pStyle w:val="Akapitzlist"/>
        <w:tabs>
          <w:tab w:val="left" w:pos="1134"/>
        </w:tabs>
        <w:spacing w:after="120"/>
        <w:ind w:left="1134" w:hanging="141"/>
        <w:contextualSpacing w:val="0"/>
        <w:jc w:val="both"/>
        <w:rPr>
          <w:rFonts w:ascii="Verdana" w:hAnsi="Verdana" w:cs="Arial"/>
          <w:sz w:val="20"/>
          <w:szCs w:val="20"/>
          <w:lang w:eastAsia="pl-PL"/>
        </w:rPr>
      </w:pPr>
      <w:r w:rsidRPr="00920145">
        <w:rPr>
          <w:rFonts w:ascii="Verdana" w:hAnsi="Verdana" w:cs="Arial"/>
          <w:sz w:val="20"/>
          <w:szCs w:val="20"/>
        </w:rPr>
        <w:t>„</w:t>
      </w:r>
      <w:r w:rsidR="0046042B" w:rsidRPr="00920145">
        <w:rPr>
          <w:rFonts w:ascii="Verdana" w:hAnsi="Verdana" w:cs="Arial"/>
          <w:sz w:val="20"/>
          <w:szCs w:val="20"/>
        </w:rPr>
        <w:t>4. W fazie notowań ciągłych limit ceny w zleceniach „cross” musi spełniać łącznie poniższe warunki:</w:t>
      </w:r>
    </w:p>
    <w:p w14:paraId="6429FA09" w14:textId="21BF2CA1" w:rsidR="00112669" w:rsidRPr="00920145" w:rsidRDefault="00112669" w:rsidP="005E442D">
      <w:pPr>
        <w:pStyle w:val="Akapitzlist"/>
        <w:spacing w:after="120" w:line="360" w:lineRule="auto"/>
        <w:ind w:left="993"/>
        <w:contextualSpacing w:val="0"/>
        <w:jc w:val="both"/>
        <w:rPr>
          <w:rFonts w:ascii="Verdana" w:hAnsi="Verdana" w:cs="Arial"/>
          <w:sz w:val="20"/>
          <w:szCs w:val="20"/>
        </w:rPr>
      </w:pPr>
      <w:r w:rsidRPr="00920145">
        <w:rPr>
          <w:rFonts w:ascii="Verdana" w:hAnsi="Verdana" w:cs="Arial"/>
          <w:sz w:val="20"/>
          <w:szCs w:val="20"/>
        </w:rPr>
        <w:t xml:space="preserve">a) musi się mieścić w </w:t>
      </w:r>
      <w:r w:rsidRPr="00920145">
        <w:rPr>
          <w:rFonts w:ascii="Verdana" w:hAnsi="Verdana"/>
          <w:sz w:val="20"/>
          <w:szCs w:val="20"/>
        </w:rPr>
        <w:t>maksymalnych wartościach dla limitów cen w zleceniu maklerskim</w:t>
      </w:r>
      <w:r w:rsidRPr="00920145" w:rsidDel="00771EC3">
        <w:rPr>
          <w:rFonts w:ascii="Verdana" w:hAnsi="Verdana" w:cs="Arial"/>
          <w:sz w:val="20"/>
          <w:szCs w:val="20"/>
        </w:rPr>
        <w:t xml:space="preserve"> </w:t>
      </w:r>
      <w:r w:rsidRPr="00920145">
        <w:rPr>
          <w:rFonts w:ascii="Verdana" w:hAnsi="Verdana" w:cs="Arial"/>
          <w:sz w:val="20"/>
          <w:szCs w:val="20"/>
        </w:rPr>
        <w:t xml:space="preserve">obowiązujących dla danego instrumentu finansowego w chwili składania zleceń „cross”, oraz </w:t>
      </w:r>
    </w:p>
    <w:p w14:paraId="396A1418" w14:textId="5577150E" w:rsidR="00112669" w:rsidRPr="00920145" w:rsidRDefault="00112669" w:rsidP="005E442D">
      <w:pPr>
        <w:pStyle w:val="Akapitzlist"/>
        <w:spacing w:after="120" w:line="360" w:lineRule="auto"/>
        <w:ind w:left="993"/>
        <w:contextualSpacing w:val="0"/>
        <w:jc w:val="both"/>
        <w:rPr>
          <w:rFonts w:ascii="Verdana" w:hAnsi="Verdana"/>
          <w:sz w:val="20"/>
          <w:szCs w:val="20"/>
        </w:rPr>
      </w:pPr>
      <w:r w:rsidRPr="00920145">
        <w:rPr>
          <w:rFonts w:ascii="Verdana" w:hAnsi="Verdana" w:cs="Arial"/>
          <w:sz w:val="20"/>
          <w:szCs w:val="20"/>
        </w:rPr>
        <w:t xml:space="preserve">b) </w:t>
      </w:r>
      <w:r w:rsidRPr="00920145">
        <w:rPr>
          <w:rFonts w:ascii="Verdana" w:hAnsi="Verdana"/>
          <w:sz w:val="20"/>
          <w:szCs w:val="20"/>
        </w:rPr>
        <w:t xml:space="preserve">w przypadku, gdy w chwili składania zleceń „cross” w arkuszu zleceń znajdują się zlecenia kupna - musi być równy lub wyższy od najwyższej ceny w tym zleceniu/tych zleceniach kupna, oraz </w:t>
      </w:r>
    </w:p>
    <w:p w14:paraId="6E12D95F" w14:textId="546F8FA7" w:rsidR="00112669" w:rsidRPr="00920145" w:rsidRDefault="00112669" w:rsidP="005E442D">
      <w:pPr>
        <w:spacing w:after="120" w:line="360" w:lineRule="auto"/>
        <w:ind w:left="992"/>
        <w:jc w:val="both"/>
        <w:rPr>
          <w:rFonts w:ascii="Verdana" w:hAnsi="Verdana"/>
          <w:sz w:val="20"/>
          <w:szCs w:val="20"/>
        </w:rPr>
      </w:pPr>
      <w:r w:rsidRPr="00920145">
        <w:rPr>
          <w:rFonts w:ascii="Verdana" w:hAnsi="Verdana"/>
          <w:sz w:val="20"/>
          <w:szCs w:val="20"/>
        </w:rPr>
        <w:t>c) w przypadku, gdy w chwili składania zleceń „cross” w arkuszu zleceń znajdują się zlecenia sprzedaży - musi być równy lub niższy od najniższej ceny w tym zleceniu/tych zleceniach sprzedaży.”;</w:t>
      </w:r>
    </w:p>
    <w:p w14:paraId="72CB172F" w14:textId="5A6CFDD7" w:rsidR="00112669" w:rsidRPr="00920145" w:rsidRDefault="00D11A02" w:rsidP="005E442D">
      <w:pPr>
        <w:spacing w:after="120" w:line="360" w:lineRule="auto"/>
        <w:ind w:left="284" w:firstLine="284"/>
        <w:jc w:val="both"/>
        <w:rPr>
          <w:rFonts w:ascii="Verdana" w:hAnsi="Verdana"/>
          <w:sz w:val="20"/>
          <w:szCs w:val="20"/>
        </w:rPr>
      </w:pPr>
      <w:r w:rsidRPr="00920145">
        <w:rPr>
          <w:rFonts w:ascii="Verdana" w:hAnsi="Verdana"/>
          <w:sz w:val="20"/>
          <w:szCs w:val="20"/>
        </w:rPr>
        <w:t xml:space="preserve">c) </w:t>
      </w:r>
      <w:r w:rsidR="00112669" w:rsidRPr="00920145">
        <w:rPr>
          <w:rFonts w:ascii="Verdana" w:hAnsi="Verdana"/>
          <w:sz w:val="20"/>
          <w:szCs w:val="20"/>
        </w:rPr>
        <w:t>uchyla się ust. 8;</w:t>
      </w:r>
    </w:p>
    <w:p w14:paraId="69AF10A1" w14:textId="74AD407F" w:rsidR="00112669" w:rsidRPr="00920145" w:rsidRDefault="00532889" w:rsidP="005E442D">
      <w:pPr>
        <w:pStyle w:val="Akapitzlist"/>
        <w:spacing w:after="120" w:line="360" w:lineRule="auto"/>
        <w:ind w:left="567"/>
        <w:contextualSpacing w:val="0"/>
        <w:jc w:val="both"/>
        <w:rPr>
          <w:rFonts w:ascii="Verdana" w:hAnsi="Verdana"/>
          <w:sz w:val="20"/>
          <w:szCs w:val="20"/>
        </w:rPr>
      </w:pPr>
      <w:r w:rsidRPr="00920145">
        <w:rPr>
          <w:rFonts w:ascii="Verdana" w:hAnsi="Verdana"/>
          <w:sz w:val="20"/>
          <w:szCs w:val="20"/>
        </w:rPr>
        <w:t xml:space="preserve">d) </w:t>
      </w:r>
      <w:r w:rsidR="00112669" w:rsidRPr="00920145">
        <w:rPr>
          <w:rFonts w:ascii="Verdana" w:hAnsi="Verdana"/>
          <w:sz w:val="20"/>
          <w:szCs w:val="20"/>
        </w:rPr>
        <w:t>dodaje się ust. 9, w brzmieniu:</w:t>
      </w:r>
    </w:p>
    <w:p w14:paraId="6183683A" w14:textId="6D6AD7C1" w:rsidR="00112669" w:rsidRPr="00920145" w:rsidRDefault="00112669" w:rsidP="005E442D">
      <w:pPr>
        <w:spacing w:after="240" w:line="360" w:lineRule="auto"/>
        <w:ind w:left="1416"/>
        <w:rPr>
          <w:rFonts w:ascii="Verdana" w:hAnsi="Verdana"/>
          <w:sz w:val="20"/>
          <w:szCs w:val="20"/>
        </w:rPr>
      </w:pPr>
      <w:r w:rsidRPr="00920145">
        <w:rPr>
          <w:rFonts w:ascii="Verdana" w:hAnsi="Verdana"/>
          <w:sz w:val="20"/>
          <w:szCs w:val="20"/>
        </w:rPr>
        <w:t>„9. Transakcje kontraktami terminowymi w wyniku realizacji zleceń typu „cross” mogą być zawierane po zawarciu pierwszej transakcji giełdowej danymi instrumentami finansowymi w arkuszu zleceń.”;</w:t>
      </w:r>
    </w:p>
    <w:p w14:paraId="21A5172E" w14:textId="510E8618" w:rsidR="00112669" w:rsidRPr="00920145" w:rsidRDefault="00E15A92" w:rsidP="00F965C4">
      <w:pPr>
        <w:spacing w:after="120" w:line="360" w:lineRule="auto"/>
        <w:ind w:firstLine="284"/>
        <w:rPr>
          <w:rFonts w:ascii="Verdana" w:hAnsi="Verdana"/>
          <w:sz w:val="20"/>
          <w:szCs w:val="20"/>
        </w:rPr>
      </w:pPr>
      <w:r w:rsidRPr="00920145">
        <w:rPr>
          <w:rFonts w:ascii="Verdana" w:hAnsi="Verdana"/>
          <w:sz w:val="20"/>
          <w:szCs w:val="20"/>
        </w:rPr>
        <w:t xml:space="preserve">33) </w:t>
      </w:r>
      <w:r w:rsidRPr="00920145">
        <w:rPr>
          <w:rFonts w:ascii="Verdana" w:hAnsi="Verdana"/>
          <w:sz w:val="20"/>
          <w:szCs w:val="20"/>
        </w:rPr>
        <w:tab/>
      </w:r>
      <w:r w:rsidR="00364559" w:rsidRPr="00920145">
        <w:rPr>
          <w:rFonts w:ascii="Verdana" w:hAnsi="Verdana"/>
          <w:sz w:val="20"/>
          <w:szCs w:val="20"/>
        </w:rPr>
        <w:t>w § 36b:</w:t>
      </w:r>
    </w:p>
    <w:p w14:paraId="7FBE4BB2" w14:textId="08C58D85" w:rsidR="00364559" w:rsidRPr="00920145" w:rsidRDefault="00532889" w:rsidP="00E95ACE">
      <w:pPr>
        <w:pStyle w:val="Akapitzlist"/>
        <w:spacing w:after="240" w:line="360" w:lineRule="auto"/>
        <w:ind w:left="709"/>
        <w:contextualSpacing w:val="0"/>
        <w:jc w:val="both"/>
        <w:rPr>
          <w:rFonts w:ascii="Verdana" w:hAnsi="Verdana" w:cs="Arial"/>
          <w:sz w:val="20"/>
          <w:szCs w:val="20"/>
        </w:rPr>
      </w:pPr>
      <w:r w:rsidRPr="00920145">
        <w:rPr>
          <w:rFonts w:ascii="Verdana" w:hAnsi="Verdana" w:cs="Arial"/>
          <w:sz w:val="20"/>
          <w:szCs w:val="20"/>
        </w:rPr>
        <w:t xml:space="preserve">a) </w:t>
      </w:r>
      <w:r w:rsidR="00364559" w:rsidRPr="00920145">
        <w:rPr>
          <w:rFonts w:ascii="Verdana" w:hAnsi="Verdana" w:cs="Arial"/>
          <w:sz w:val="20"/>
          <w:szCs w:val="20"/>
        </w:rPr>
        <w:t xml:space="preserve">w ust. 1 </w:t>
      </w:r>
      <w:r w:rsidR="001E413F" w:rsidRPr="00920145">
        <w:rPr>
          <w:rFonts w:ascii="Verdana" w:hAnsi="Verdana" w:cs="Arial"/>
          <w:sz w:val="20"/>
          <w:szCs w:val="20"/>
        </w:rPr>
        <w:t>wyrazy „od dnia 1 kwietnia” zastępuje się wyrazami „od pierwszego poniedziałku kwietnia”;</w:t>
      </w:r>
    </w:p>
    <w:p w14:paraId="6CABF4A0" w14:textId="2E632984" w:rsidR="001E413F" w:rsidRPr="00920145" w:rsidRDefault="00532889" w:rsidP="00A23201">
      <w:pPr>
        <w:pStyle w:val="Akapitzlist"/>
        <w:spacing w:after="240" w:line="360" w:lineRule="auto"/>
        <w:ind w:left="709"/>
        <w:contextualSpacing w:val="0"/>
        <w:jc w:val="both"/>
        <w:rPr>
          <w:rFonts w:ascii="Verdana" w:hAnsi="Verdana" w:cs="Arial"/>
          <w:sz w:val="20"/>
          <w:szCs w:val="20"/>
        </w:rPr>
      </w:pPr>
      <w:r w:rsidRPr="00920145">
        <w:rPr>
          <w:rFonts w:ascii="Verdana" w:hAnsi="Verdana" w:cs="Arial"/>
          <w:sz w:val="20"/>
          <w:szCs w:val="20"/>
        </w:rPr>
        <w:t xml:space="preserve">b) </w:t>
      </w:r>
      <w:r w:rsidR="008810A7" w:rsidRPr="00920145">
        <w:rPr>
          <w:rFonts w:ascii="Verdana" w:hAnsi="Verdana" w:cs="Arial"/>
          <w:sz w:val="20"/>
          <w:szCs w:val="20"/>
        </w:rPr>
        <w:t>w ust. 2 wyrazy „w ostatnim dniu sesyjnym marca” zastępuje się wyrazami „w ostatnim dniu sesyjnym przed pierwszym poniedziałkiem kwietnia”;</w:t>
      </w:r>
    </w:p>
    <w:p w14:paraId="3D2B4F2B" w14:textId="3AE7D428" w:rsidR="008810A7" w:rsidRPr="00920145" w:rsidRDefault="00532889" w:rsidP="00A23201">
      <w:pPr>
        <w:pStyle w:val="Akapitzlist"/>
        <w:spacing w:after="240" w:line="360" w:lineRule="auto"/>
        <w:ind w:left="709"/>
        <w:contextualSpacing w:val="0"/>
        <w:jc w:val="both"/>
        <w:rPr>
          <w:rFonts w:ascii="Verdana" w:hAnsi="Verdana" w:cs="Arial"/>
          <w:sz w:val="20"/>
          <w:szCs w:val="20"/>
        </w:rPr>
      </w:pPr>
      <w:r w:rsidRPr="00920145">
        <w:rPr>
          <w:rFonts w:ascii="Verdana" w:hAnsi="Verdana" w:cs="Arial"/>
          <w:sz w:val="20"/>
          <w:szCs w:val="20"/>
        </w:rPr>
        <w:t xml:space="preserve">c) </w:t>
      </w:r>
      <w:r w:rsidR="008810A7" w:rsidRPr="00920145">
        <w:rPr>
          <w:rFonts w:ascii="Verdana" w:hAnsi="Verdana" w:cs="Arial"/>
          <w:sz w:val="20"/>
          <w:szCs w:val="20"/>
        </w:rPr>
        <w:t>w ust. 4 wyrazy „przed ostatnim dniem sesyjnym marca” zastępuje się wyrazami „w ostatnim dniu sesyjnym przed pierwszym poniedziałkiem kwietnia”;</w:t>
      </w:r>
    </w:p>
    <w:p w14:paraId="749AD9B9" w14:textId="18FCD425" w:rsidR="008810A7" w:rsidRPr="00920145" w:rsidRDefault="008810A7" w:rsidP="008362AE">
      <w:pPr>
        <w:pStyle w:val="Nagwek3"/>
        <w:numPr>
          <w:ilvl w:val="0"/>
          <w:numId w:val="113"/>
        </w:numPr>
      </w:pPr>
      <w:r w:rsidRPr="00920145">
        <w:lastRenderedPageBreak/>
        <w:t xml:space="preserve">w § 36f </w:t>
      </w:r>
      <w:r w:rsidR="00012B39" w:rsidRPr="00920145">
        <w:t xml:space="preserve"> ust. 1 </w:t>
      </w:r>
      <w:r w:rsidR="00E979CF" w:rsidRPr="00920145">
        <w:t>otrzymuje brzmienie:</w:t>
      </w:r>
    </w:p>
    <w:p w14:paraId="3871301C" w14:textId="36AE694B" w:rsidR="00E979CF" w:rsidRPr="00920145" w:rsidRDefault="00E979CF" w:rsidP="00A23201">
      <w:pPr>
        <w:tabs>
          <w:tab w:val="num" w:pos="709"/>
        </w:tabs>
        <w:spacing w:after="120" w:line="360" w:lineRule="auto"/>
        <w:ind w:left="709" w:hanging="709"/>
        <w:jc w:val="both"/>
        <w:rPr>
          <w:rFonts w:ascii="Verdana" w:hAnsi="Verdana"/>
          <w:sz w:val="20"/>
          <w:szCs w:val="20"/>
        </w:rPr>
      </w:pPr>
      <w:r w:rsidRPr="00920145">
        <w:rPr>
          <w:szCs w:val="20"/>
        </w:rPr>
        <w:tab/>
      </w:r>
      <w:r w:rsidRPr="00920145">
        <w:rPr>
          <w:rFonts w:ascii="Verdana" w:hAnsi="Verdana"/>
          <w:sz w:val="20"/>
          <w:szCs w:val="20"/>
        </w:rPr>
        <w:t>„1. Dla celów § 36a ust. 2 niniejszego Działu oraz § 18c Działu VI, Giełda publikuje listę dłużnych instrumentów finansowych, dla których istnieje płynny rynek, raz na kwartał:</w:t>
      </w:r>
    </w:p>
    <w:p w14:paraId="694F762A" w14:textId="2E7FB2D5" w:rsidR="00E979CF" w:rsidRPr="00920145" w:rsidRDefault="00E979CF" w:rsidP="009762AD">
      <w:pPr>
        <w:numPr>
          <w:ilvl w:val="1"/>
          <w:numId w:val="98"/>
        </w:numPr>
        <w:spacing w:after="120" w:line="360" w:lineRule="auto"/>
        <w:jc w:val="both"/>
        <w:rPr>
          <w:rFonts w:ascii="Verdana" w:hAnsi="Verdana"/>
          <w:sz w:val="20"/>
          <w:szCs w:val="20"/>
        </w:rPr>
      </w:pPr>
      <w:r w:rsidRPr="00920145">
        <w:rPr>
          <w:rFonts w:ascii="Verdana" w:hAnsi="Verdana"/>
          <w:sz w:val="20"/>
          <w:szCs w:val="20"/>
        </w:rPr>
        <w:t>najpóźniej  w ostatnim dniu sesyjnym</w:t>
      </w:r>
      <w:r w:rsidRPr="00920145">
        <w:rPr>
          <w:rStyle w:val="Odwoaniedokomentarza"/>
          <w:rFonts w:ascii="Verdana" w:hAnsi="Verdana"/>
          <w:sz w:val="20"/>
          <w:szCs w:val="20"/>
        </w:rPr>
        <w:t xml:space="preserve"> </w:t>
      </w:r>
      <w:r w:rsidRPr="00920145">
        <w:rPr>
          <w:rFonts w:ascii="Verdana" w:hAnsi="Verdana"/>
          <w:sz w:val="20"/>
          <w:szCs w:val="20"/>
        </w:rPr>
        <w:t>przed trzecim poniedziałkiem lutego i ma ona zastosowanie w okresie od trzeciego poniedziałku lutego do ostatniego dnia sesyjnego przed trzecim poniedziałkiem maja danego roku,</w:t>
      </w:r>
    </w:p>
    <w:p w14:paraId="28751ADA" w14:textId="2C051BD3" w:rsidR="00E979CF" w:rsidRPr="00920145" w:rsidRDefault="00E979CF" w:rsidP="009762AD">
      <w:pPr>
        <w:numPr>
          <w:ilvl w:val="1"/>
          <w:numId w:val="98"/>
        </w:numPr>
        <w:spacing w:after="120" w:line="360" w:lineRule="auto"/>
        <w:jc w:val="both"/>
        <w:rPr>
          <w:rFonts w:ascii="Verdana" w:hAnsi="Verdana"/>
          <w:sz w:val="20"/>
          <w:szCs w:val="20"/>
        </w:rPr>
      </w:pPr>
      <w:r w:rsidRPr="00920145">
        <w:rPr>
          <w:rFonts w:ascii="Verdana" w:hAnsi="Verdana"/>
          <w:sz w:val="20"/>
          <w:szCs w:val="20"/>
        </w:rPr>
        <w:t>najpóźniej w ostatnim dniu sesyjnym</w:t>
      </w:r>
      <w:r w:rsidRPr="00920145">
        <w:rPr>
          <w:rStyle w:val="Odwoaniedokomentarza"/>
          <w:rFonts w:ascii="Verdana" w:hAnsi="Verdana"/>
          <w:sz w:val="20"/>
          <w:szCs w:val="20"/>
        </w:rPr>
        <w:t xml:space="preserve"> </w:t>
      </w:r>
      <w:r w:rsidRPr="00920145">
        <w:rPr>
          <w:rFonts w:ascii="Verdana" w:hAnsi="Verdana"/>
          <w:sz w:val="20"/>
          <w:szCs w:val="20"/>
        </w:rPr>
        <w:t>przed trzecim poniedziałkiem maja i ma ona zastosowanie w okresie od trzeciego poniedziałku maja do ostatniego dnia sesyjnego przed trzecim poniedziałkiem sierpnia danego roku,</w:t>
      </w:r>
    </w:p>
    <w:p w14:paraId="2F93DEC2" w14:textId="71EC0EE8" w:rsidR="00E979CF" w:rsidRPr="00920145" w:rsidRDefault="00E979CF" w:rsidP="009762AD">
      <w:pPr>
        <w:numPr>
          <w:ilvl w:val="1"/>
          <w:numId w:val="98"/>
        </w:numPr>
        <w:spacing w:after="120" w:line="360" w:lineRule="auto"/>
        <w:jc w:val="both"/>
        <w:rPr>
          <w:rFonts w:ascii="Verdana" w:hAnsi="Verdana"/>
          <w:sz w:val="20"/>
          <w:szCs w:val="20"/>
        </w:rPr>
      </w:pPr>
      <w:r w:rsidRPr="00920145">
        <w:rPr>
          <w:rFonts w:ascii="Verdana" w:hAnsi="Verdana"/>
          <w:sz w:val="20"/>
          <w:szCs w:val="20"/>
        </w:rPr>
        <w:t>najpóźniej</w:t>
      </w:r>
      <w:r w:rsidR="006700EF" w:rsidRPr="00920145">
        <w:rPr>
          <w:rFonts w:ascii="Verdana" w:hAnsi="Verdana"/>
          <w:sz w:val="20"/>
          <w:szCs w:val="20"/>
        </w:rPr>
        <w:t xml:space="preserve"> </w:t>
      </w:r>
      <w:r w:rsidRPr="00920145">
        <w:rPr>
          <w:rFonts w:ascii="Verdana" w:hAnsi="Verdana"/>
          <w:sz w:val="20"/>
          <w:szCs w:val="20"/>
        </w:rPr>
        <w:t>w ostatnim dniu sesyjnym</w:t>
      </w:r>
      <w:r w:rsidRPr="00920145">
        <w:rPr>
          <w:rStyle w:val="Odwoaniedokomentarza"/>
          <w:rFonts w:ascii="Verdana" w:hAnsi="Verdana"/>
          <w:sz w:val="20"/>
          <w:szCs w:val="20"/>
        </w:rPr>
        <w:t xml:space="preserve"> </w:t>
      </w:r>
      <w:r w:rsidRPr="00920145">
        <w:rPr>
          <w:rFonts w:ascii="Verdana" w:hAnsi="Verdana"/>
          <w:sz w:val="20"/>
          <w:szCs w:val="20"/>
        </w:rPr>
        <w:t>przed trzecim poniedziałkiem sierpnia i ma ona zastosowanie w okresie od trzeciego poniedziałku sierpnia do ostatniego dnia sesyjnego przed trzecim poniedziałkiem listopada danego roku,</w:t>
      </w:r>
    </w:p>
    <w:p w14:paraId="56D58FD8" w14:textId="159666E5" w:rsidR="00E979CF" w:rsidRPr="00920145" w:rsidRDefault="00E979CF" w:rsidP="009762AD">
      <w:pPr>
        <w:numPr>
          <w:ilvl w:val="1"/>
          <w:numId w:val="98"/>
        </w:numPr>
        <w:spacing w:after="240" w:line="360" w:lineRule="auto"/>
        <w:jc w:val="both"/>
        <w:rPr>
          <w:rFonts w:ascii="Verdana" w:hAnsi="Verdana"/>
          <w:sz w:val="20"/>
          <w:szCs w:val="20"/>
        </w:rPr>
      </w:pPr>
      <w:r w:rsidRPr="00920145">
        <w:rPr>
          <w:rFonts w:ascii="Verdana" w:hAnsi="Verdana"/>
          <w:sz w:val="20"/>
          <w:szCs w:val="20"/>
        </w:rPr>
        <w:t>najpóźniej w ostatnim dniu sesyjnym</w:t>
      </w:r>
      <w:r w:rsidRPr="00920145">
        <w:rPr>
          <w:rStyle w:val="Odwoaniedokomentarza"/>
          <w:rFonts w:ascii="Verdana" w:hAnsi="Verdana"/>
          <w:sz w:val="20"/>
          <w:szCs w:val="20"/>
        </w:rPr>
        <w:t xml:space="preserve"> </w:t>
      </w:r>
      <w:r w:rsidRPr="00920145">
        <w:rPr>
          <w:rFonts w:ascii="Verdana" w:hAnsi="Verdana"/>
          <w:sz w:val="20"/>
          <w:szCs w:val="20"/>
        </w:rPr>
        <w:t xml:space="preserve">przed trzecim poniedziałkiem listopada i ma ona zastosowanie w okresie od trzeciego poniedziałku listopada danego roku do ostatniego dnia sesyjnego przed trzecim poniedziałkiem lutego następnego roku.”; </w:t>
      </w:r>
    </w:p>
    <w:p w14:paraId="315CAA37" w14:textId="16DF744A" w:rsidR="00012B39" w:rsidRPr="00920145" w:rsidRDefault="00012B39" w:rsidP="008362AE">
      <w:pPr>
        <w:pStyle w:val="Nagwek3"/>
      </w:pPr>
      <w:r w:rsidRPr="00920145">
        <w:t xml:space="preserve">w § 36g w ust. 1 wyrazy „§ 18c i § 21 Działu VI” zastępuje się wyrazami </w:t>
      </w:r>
      <w:r w:rsidRPr="00920145">
        <w:br/>
        <w:t>„§ 18c Działu VI”;</w:t>
      </w:r>
    </w:p>
    <w:p w14:paraId="157CEAFD" w14:textId="0FA93215" w:rsidR="00EC4E8F" w:rsidRPr="00920145" w:rsidRDefault="00EC4E8F" w:rsidP="008362AE">
      <w:pPr>
        <w:pStyle w:val="Nagwek3"/>
      </w:pPr>
      <w:r w:rsidRPr="00920145">
        <w:t>w § 36h wyrazy „transakcji zawartych” zastępuje się wyrazami „transakcji zawieranych”;</w:t>
      </w:r>
    </w:p>
    <w:p w14:paraId="68F30101" w14:textId="28B85E11" w:rsidR="00EC4E8F" w:rsidRPr="00920145" w:rsidRDefault="00EC4E8F" w:rsidP="008362AE">
      <w:pPr>
        <w:pStyle w:val="Nagwek3"/>
      </w:pPr>
      <w:r w:rsidRPr="00920145">
        <w:t>w § 37:</w:t>
      </w:r>
    </w:p>
    <w:p w14:paraId="43FD838C" w14:textId="028AA902" w:rsidR="00EC4E8F" w:rsidRPr="00920145" w:rsidRDefault="00E15A92" w:rsidP="00E95ACE">
      <w:pPr>
        <w:pStyle w:val="Akapitzlist"/>
        <w:spacing w:after="120" w:line="360" w:lineRule="auto"/>
        <w:ind w:left="397" w:firstLine="311"/>
        <w:jc w:val="both"/>
        <w:rPr>
          <w:rFonts w:ascii="Verdana" w:hAnsi="Verdana" w:cs="Arial"/>
          <w:sz w:val="20"/>
          <w:szCs w:val="20"/>
        </w:rPr>
      </w:pPr>
      <w:r w:rsidRPr="00920145">
        <w:rPr>
          <w:rFonts w:ascii="Verdana" w:hAnsi="Verdana" w:cs="Arial"/>
          <w:sz w:val="20"/>
          <w:szCs w:val="20"/>
        </w:rPr>
        <w:t xml:space="preserve">a) </w:t>
      </w:r>
      <w:r w:rsidR="00EC4E8F" w:rsidRPr="00920145">
        <w:rPr>
          <w:rFonts w:ascii="Verdana" w:hAnsi="Verdana" w:cs="Arial"/>
          <w:sz w:val="20"/>
          <w:szCs w:val="20"/>
        </w:rPr>
        <w:t>ust. 3</w:t>
      </w:r>
      <w:r w:rsidR="00CE7AE5" w:rsidRPr="00920145">
        <w:rPr>
          <w:rFonts w:ascii="Verdana" w:hAnsi="Verdana" w:cs="Arial"/>
          <w:sz w:val="20"/>
          <w:szCs w:val="20"/>
        </w:rPr>
        <w:t xml:space="preserve"> otrzymuje brzmienie</w:t>
      </w:r>
      <w:r w:rsidR="00EC4E8F" w:rsidRPr="00920145">
        <w:rPr>
          <w:rFonts w:ascii="Verdana" w:hAnsi="Verdana" w:cs="Arial"/>
          <w:sz w:val="20"/>
          <w:szCs w:val="20"/>
        </w:rPr>
        <w:t>:</w:t>
      </w:r>
    </w:p>
    <w:p w14:paraId="3E2BE5C7" w14:textId="613FA006" w:rsidR="00936B38" w:rsidRPr="00920145" w:rsidRDefault="00936B38" w:rsidP="00E95ACE">
      <w:pPr>
        <w:spacing w:after="120" w:line="360" w:lineRule="auto"/>
        <w:ind w:left="823" w:firstLine="311"/>
        <w:rPr>
          <w:rFonts w:ascii="Verdana" w:hAnsi="Verdana" w:cs="Arial"/>
          <w:sz w:val="20"/>
          <w:szCs w:val="20"/>
        </w:rPr>
      </w:pPr>
      <w:bookmarkStart w:id="15" w:name="_Hlk198726483"/>
      <w:r w:rsidRPr="00920145">
        <w:rPr>
          <w:rFonts w:ascii="Verdana" w:hAnsi="Verdana" w:cs="Arial"/>
          <w:sz w:val="20"/>
          <w:szCs w:val="20"/>
        </w:rPr>
        <w:t>„3. W przypadku modyfikacji zlecenia maklerskiego polegającej na:</w:t>
      </w:r>
    </w:p>
    <w:p w14:paraId="351AD8B6" w14:textId="77777777" w:rsidR="00936B38" w:rsidRPr="00920145" w:rsidRDefault="00936B38" w:rsidP="009762AD">
      <w:pPr>
        <w:pStyle w:val="Akapitzlist"/>
        <w:numPr>
          <w:ilvl w:val="0"/>
          <w:numId w:val="100"/>
        </w:numPr>
        <w:tabs>
          <w:tab w:val="clear" w:pos="2806"/>
          <w:tab w:val="left" w:pos="1134"/>
        </w:tabs>
        <w:spacing w:after="120" w:line="360" w:lineRule="auto"/>
        <w:ind w:left="1134" w:firstLine="0"/>
        <w:contextualSpacing w:val="0"/>
        <w:jc w:val="both"/>
        <w:rPr>
          <w:rFonts w:ascii="Verdana" w:hAnsi="Verdana" w:cs="Arial"/>
          <w:sz w:val="20"/>
          <w:szCs w:val="20"/>
        </w:rPr>
      </w:pPr>
      <w:bookmarkStart w:id="16" w:name="_Hlk198732322"/>
      <w:r w:rsidRPr="00920145">
        <w:rPr>
          <w:rFonts w:ascii="Verdana" w:hAnsi="Verdana" w:cs="Arial"/>
          <w:sz w:val="20"/>
          <w:szCs w:val="20"/>
        </w:rPr>
        <w:t>zwiększeniu lub zmniejszeniu wielkości ujawnianej zlecenia,</w:t>
      </w:r>
    </w:p>
    <w:bookmarkEnd w:id="15"/>
    <w:p w14:paraId="61F89AA7" w14:textId="77777777" w:rsidR="00936B38" w:rsidRPr="00920145" w:rsidRDefault="00936B38" w:rsidP="009762AD">
      <w:pPr>
        <w:pStyle w:val="Akapitzlist"/>
        <w:numPr>
          <w:ilvl w:val="0"/>
          <w:numId w:val="100"/>
        </w:numPr>
        <w:tabs>
          <w:tab w:val="clear" w:pos="2806"/>
          <w:tab w:val="left" w:pos="1134"/>
        </w:tabs>
        <w:spacing w:after="120" w:line="360" w:lineRule="auto"/>
        <w:ind w:left="1134" w:firstLine="0"/>
        <w:contextualSpacing w:val="0"/>
        <w:jc w:val="both"/>
        <w:rPr>
          <w:rFonts w:ascii="Verdana" w:hAnsi="Verdana" w:cs="Arial"/>
          <w:sz w:val="20"/>
          <w:szCs w:val="20"/>
        </w:rPr>
      </w:pPr>
      <w:r w:rsidRPr="00920145">
        <w:rPr>
          <w:rFonts w:ascii="Verdana" w:hAnsi="Verdana" w:cs="Arial"/>
          <w:sz w:val="20"/>
          <w:szCs w:val="20"/>
        </w:rPr>
        <w:t>zwiększeniu wolumenu zlecenia bez warunku wielkości ujawnianej,</w:t>
      </w:r>
    </w:p>
    <w:p w14:paraId="1951DF06" w14:textId="77777777" w:rsidR="00936B38" w:rsidRPr="00920145" w:rsidRDefault="00936B38" w:rsidP="009762AD">
      <w:pPr>
        <w:pStyle w:val="Akapitzlist"/>
        <w:numPr>
          <w:ilvl w:val="0"/>
          <w:numId w:val="100"/>
        </w:numPr>
        <w:tabs>
          <w:tab w:val="clear" w:pos="2806"/>
          <w:tab w:val="left" w:pos="1134"/>
        </w:tabs>
        <w:spacing w:after="120" w:line="360" w:lineRule="auto"/>
        <w:ind w:left="1134" w:firstLine="0"/>
        <w:contextualSpacing w:val="0"/>
        <w:jc w:val="both"/>
        <w:rPr>
          <w:rFonts w:ascii="Verdana" w:hAnsi="Verdana" w:cs="Arial"/>
          <w:sz w:val="20"/>
          <w:szCs w:val="20"/>
        </w:rPr>
      </w:pPr>
      <w:r w:rsidRPr="00920145">
        <w:rPr>
          <w:rFonts w:ascii="Verdana" w:hAnsi="Verdana" w:cs="Arial"/>
          <w:sz w:val="20"/>
          <w:szCs w:val="20"/>
        </w:rPr>
        <w:t xml:space="preserve">zmianie limitu ceny, </w:t>
      </w:r>
    </w:p>
    <w:p w14:paraId="2869E2B0" w14:textId="60EAEC88" w:rsidR="00936B38" w:rsidRPr="00920145" w:rsidRDefault="00936B38" w:rsidP="009762AD">
      <w:pPr>
        <w:pStyle w:val="Akapitzlist"/>
        <w:numPr>
          <w:ilvl w:val="0"/>
          <w:numId w:val="100"/>
        </w:numPr>
        <w:tabs>
          <w:tab w:val="clear" w:pos="2806"/>
          <w:tab w:val="left" w:pos="1134"/>
        </w:tabs>
        <w:spacing w:after="120" w:line="360" w:lineRule="auto"/>
        <w:ind w:left="1134" w:firstLine="0"/>
        <w:contextualSpacing w:val="0"/>
        <w:jc w:val="both"/>
        <w:rPr>
          <w:rFonts w:ascii="Verdana" w:hAnsi="Verdana" w:cs="Arial"/>
          <w:sz w:val="20"/>
          <w:szCs w:val="20"/>
        </w:rPr>
      </w:pPr>
      <w:r w:rsidRPr="00920145">
        <w:rPr>
          <w:rFonts w:ascii="Verdana" w:hAnsi="Verdana" w:cs="Arial"/>
          <w:sz w:val="20"/>
          <w:szCs w:val="20"/>
        </w:rPr>
        <w:t xml:space="preserve">zmianie limitu aktywacji zlecenia, </w:t>
      </w:r>
    </w:p>
    <w:bookmarkEnd w:id="16"/>
    <w:p w14:paraId="4BFFF774" w14:textId="7E0321CF" w:rsidR="00936B38" w:rsidRPr="00920145" w:rsidRDefault="00936B38" w:rsidP="00A23201">
      <w:pPr>
        <w:pStyle w:val="Akapitzlist"/>
        <w:tabs>
          <w:tab w:val="left" w:pos="1134"/>
        </w:tabs>
        <w:spacing w:line="360" w:lineRule="auto"/>
        <w:ind w:left="1134"/>
        <w:jc w:val="both"/>
        <w:rPr>
          <w:rFonts w:ascii="Verdana" w:hAnsi="Verdana" w:cs="Arial"/>
          <w:sz w:val="20"/>
          <w:szCs w:val="20"/>
        </w:rPr>
      </w:pPr>
      <w:r w:rsidRPr="00920145">
        <w:rPr>
          <w:rFonts w:ascii="Verdana" w:hAnsi="Verdana" w:cs="Arial"/>
          <w:sz w:val="20"/>
          <w:szCs w:val="20"/>
        </w:rPr>
        <w:lastRenderedPageBreak/>
        <w:t xml:space="preserve"> </w:t>
      </w:r>
      <w:bookmarkStart w:id="17" w:name="_Hlk198726506"/>
      <w:r w:rsidRPr="00920145">
        <w:rPr>
          <w:rFonts w:ascii="Verdana" w:hAnsi="Verdana" w:cs="Arial"/>
          <w:sz w:val="20"/>
          <w:szCs w:val="20"/>
        </w:rPr>
        <w:t>- zlecenie maklerskie traci priorytet czasu przyjęcia do arkusza zleceń</w:t>
      </w:r>
      <w:bookmarkEnd w:id="17"/>
      <w:r w:rsidRPr="00920145">
        <w:rPr>
          <w:rFonts w:ascii="Verdana" w:hAnsi="Verdana" w:cs="Arial"/>
          <w:sz w:val="20"/>
          <w:szCs w:val="20"/>
        </w:rPr>
        <w:t xml:space="preserve">/ujawnienia w arkuszu zleceń.”; </w:t>
      </w:r>
    </w:p>
    <w:p w14:paraId="5934FFA1" w14:textId="77777777" w:rsidR="00936B38" w:rsidRPr="00920145" w:rsidRDefault="00936B38" w:rsidP="00A23201">
      <w:pPr>
        <w:pStyle w:val="Akapitzlist"/>
        <w:tabs>
          <w:tab w:val="left" w:pos="1134"/>
        </w:tabs>
        <w:spacing w:line="360" w:lineRule="auto"/>
        <w:ind w:left="1134"/>
        <w:jc w:val="both"/>
        <w:rPr>
          <w:rFonts w:ascii="Verdana" w:hAnsi="Verdana" w:cs="Arial"/>
          <w:sz w:val="20"/>
          <w:szCs w:val="20"/>
        </w:rPr>
      </w:pPr>
    </w:p>
    <w:p w14:paraId="68C241E0" w14:textId="7CF74E88" w:rsidR="0069116E" w:rsidRPr="00920145" w:rsidRDefault="00E279C5" w:rsidP="008362AE">
      <w:pPr>
        <w:pStyle w:val="Akapitzlist"/>
        <w:spacing w:after="120" w:line="360" w:lineRule="auto"/>
        <w:ind w:left="709" w:hanging="283"/>
        <w:rPr>
          <w:rFonts w:ascii="Verdana" w:hAnsi="Verdana" w:cs="Arial"/>
          <w:sz w:val="20"/>
          <w:szCs w:val="20"/>
        </w:rPr>
      </w:pPr>
      <w:r w:rsidRPr="00920145">
        <w:rPr>
          <w:rFonts w:ascii="Verdana" w:hAnsi="Verdana" w:cs="Arial"/>
          <w:sz w:val="20"/>
          <w:szCs w:val="20"/>
        </w:rPr>
        <w:t xml:space="preserve">b) </w:t>
      </w:r>
      <w:r w:rsidR="0069116E" w:rsidRPr="00920145">
        <w:rPr>
          <w:rFonts w:ascii="Verdana" w:hAnsi="Verdana" w:cs="Arial"/>
          <w:sz w:val="20"/>
          <w:szCs w:val="20"/>
        </w:rPr>
        <w:t>ust. 6 otrzymuj</w:t>
      </w:r>
      <w:r w:rsidR="009370C1" w:rsidRPr="00920145">
        <w:rPr>
          <w:rFonts w:ascii="Verdana" w:hAnsi="Verdana" w:cs="Arial"/>
          <w:sz w:val="20"/>
          <w:szCs w:val="20"/>
        </w:rPr>
        <w:t>e</w:t>
      </w:r>
      <w:r w:rsidR="0069116E" w:rsidRPr="00920145">
        <w:rPr>
          <w:rFonts w:ascii="Verdana" w:hAnsi="Verdana" w:cs="Arial"/>
          <w:sz w:val="20"/>
          <w:szCs w:val="20"/>
        </w:rPr>
        <w:t xml:space="preserve"> brzmienie:</w:t>
      </w:r>
    </w:p>
    <w:p w14:paraId="3EC6035C" w14:textId="37892606" w:rsidR="0069116E" w:rsidRPr="00920145" w:rsidRDefault="0069116E" w:rsidP="00A23201">
      <w:pPr>
        <w:tabs>
          <w:tab w:val="num" w:pos="709"/>
        </w:tabs>
        <w:spacing w:after="120" w:line="360" w:lineRule="auto"/>
        <w:ind w:left="709"/>
        <w:jc w:val="both"/>
        <w:rPr>
          <w:rFonts w:ascii="Verdana" w:hAnsi="Verdana"/>
          <w:sz w:val="20"/>
          <w:szCs w:val="20"/>
        </w:rPr>
      </w:pPr>
      <w:r w:rsidRPr="00920145">
        <w:rPr>
          <w:rFonts w:ascii="Verdana" w:hAnsi="Verdana" w:cs="Arial"/>
          <w:sz w:val="20"/>
          <w:szCs w:val="20"/>
        </w:rPr>
        <w:t xml:space="preserve">„6. </w:t>
      </w:r>
      <w:r w:rsidRPr="00920145">
        <w:rPr>
          <w:rFonts w:ascii="Verdana" w:hAnsi="Verdana"/>
          <w:sz w:val="20"/>
          <w:szCs w:val="20"/>
        </w:rPr>
        <w:t xml:space="preserve">Z zastrzeżeniem ust. </w:t>
      </w:r>
      <w:r w:rsidR="00936B38" w:rsidRPr="00920145">
        <w:rPr>
          <w:rFonts w:ascii="Verdana" w:hAnsi="Verdana"/>
          <w:sz w:val="20"/>
          <w:szCs w:val="20"/>
        </w:rPr>
        <w:t>8 i 9</w:t>
      </w:r>
      <w:r w:rsidRPr="00920145">
        <w:rPr>
          <w:rFonts w:ascii="Verdana" w:hAnsi="Verdana"/>
          <w:sz w:val="20"/>
          <w:szCs w:val="20"/>
        </w:rPr>
        <w:t>, anulowanie lub modyfikowanie zleceń maklerskich jest możliwe we wszystkich fazach notowań</w:t>
      </w:r>
      <w:r w:rsidR="009370C1" w:rsidRPr="00920145">
        <w:rPr>
          <w:rFonts w:ascii="Verdana" w:hAnsi="Verdana"/>
          <w:sz w:val="20"/>
          <w:szCs w:val="20"/>
        </w:rPr>
        <w:t xml:space="preserve">.”; </w:t>
      </w:r>
    </w:p>
    <w:p w14:paraId="449E9851" w14:textId="1FD9656D" w:rsidR="009370C1" w:rsidRPr="00920145" w:rsidRDefault="009370C1" w:rsidP="008362AE">
      <w:pPr>
        <w:pStyle w:val="Akapitzlist"/>
        <w:numPr>
          <w:ilvl w:val="1"/>
          <w:numId w:val="11"/>
        </w:numPr>
        <w:spacing w:after="120" w:line="360" w:lineRule="auto"/>
        <w:ind w:left="567" w:hanging="141"/>
        <w:contextualSpacing w:val="0"/>
        <w:rPr>
          <w:rFonts w:ascii="Verdana" w:hAnsi="Verdana" w:cs="Arial"/>
          <w:sz w:val="20"/>
          <w:szCs w:val="20"/>
        </w:rPr>
      </w:pPr>
      <w:r w:rsidRPr="00920145">
        <w:rPr>
          <w:rFonts w:ascii="Verdana" w:hAnsi="Verdana" w:cs="Arial"/>
          <w:sz w:val="20"/>
          <w:szCs w:val="20"/>
        </w:rPr>
        <w:t xml:space="preserve">uchyla się ust. 7; </w:t>
      </w:r>
    </w:p>
    <w:p w14:paraId="7185CE22" w14:textId="23506935" w:rsidR="009370C1" w:rsidRPr="00920145" w:rsidRDefault="009370C1" w:rsidP="008362AE">
      <w:pPr>
        <w:pStyle w:val="Akapitzlist"/>
        <w:numPr>
          <w:ilvl w:val="1"/>
          <w:numId w:val="11"/>
        </w:numPr>
        <w:spacing w:after="120" w:line="360" w:lineRule="auto"/>
        <w:ind w:left="567" w:hanging="141"/>
        <w:rPr>
          <w:rFonts w:ascii="Verdana" w:hAnsi="Verdana" w:cs="Arial"/>
          <w:sz w:val="20"/>
          <w:szCs w:val="20"/>
        </w:rPr>
      </w:pPr>
      <w:r w:rsidRPr="00920145">
        <w:rPr>
          <w:rFonts w:ascii="Verdana" w:hAnsi="Verdana" w:cs="Arial"/>
          <w:sz w:val="20"/>
          <w:szCs w:val="20"/>
        </w:rPr>
        <w:t>ust. 8 i 9 otrzymują brzmienie:</w:t>
      </w:r>
    </w:p>
    <w:p w14:paraId="4D7BB949" w14:textId="7576D85C" w:rsidR="0069116E" w:rsidRPr="00920145" w:rsidRDefault="008670DC" w:rsidP="00A23201">
      <w:pPr>
        <w:tabs>
          <w:tab w:val="num" w:pos="709"/>
        </w:tabs>
        <w:spacing w:after="120" w:line="360" w:lineRule="auto"/>
        <w:ind w:left="709"/>
        <w:jc w:val="both"/>
        <w:rPr>
          <w:rFonts w:ascii="Verdana" w:hAnsi="Verdana" w:cs="Arial"/>
          <w:sz w:val="20"/>
          <w:szCs w:val="20"/>
        </w:rPr>
      </w:pPr>
      <w:r w:rsidRPr="00920145">
        <w:rPr>
          <w:rFonts w:ascii="Verdana" w:hAnsi="Verdana"/>
          <w:sz w:val="20"/>
          <w:szCs w:val="20"/>
        </w:rPr>
        <w:t>„</w:t>
      </w:r>
      <w:r w:rsidR="009370C1" w:rsidRPr="00920145">
        <w:rPr>
          <w:rFonts w:ascii="Verdana" w:hAnsi="Verdana" w:cs="Arial"/>
          <w:sz w:val="20"/>
          <w:szCs w:val="20"/>
        </w:rPr>
        <w:t>8</w:t>
      </w:r>
      <w:r w:rsidR="0069116E" w:rsidRPr="00920145">
        <w:rPr>
          <w:rFonts w:ascii="Verdana" w:hAnsi="Verdana" w:cs="Arial"/>
          <w:sz w:val="20"/>
          <w:szCs w:val="20"/>
        </w:rPr>
        <w:t>. Nie dopuszcza się modyfikacji rodzajów zleceń maklerskich (z jednego rodzaju na inny).</w:t>
      </w:r>
    </w:p>
    <w:p w14:paraId="1E800FB2" w14:textId="4B892DB9" w:rsidR="0069116E" w:rsidRPr="00920145" w:rsidRDefault="009370C1" w:rsidP="00A23201">
      <w:pPr>
        <w:tabs>
          <w:tab w:val="num" w:pos="709"/>
        </w:tabs>
        <w:spacing w:after="240" w:line="360" w:lineRule="auto"/>
        <w:ind w:left="709"/>
        <w:jc w:val="both"/>
        <w:rPr>
          <w:rFonts w:ascii="Verdana" w:hAnsi="Verdana" w:cs="Arial"/>
          <w:sz w:val="20"/>
          <w:szCs w:val="20"/>
        </w:rPr>
      </w:pPr>
      <w:r w:rsidRPr="00920145">
        <w:rPr>
          <w:rFonts w:ascii="Verdana" w:hAnsi="Verdana" w:cs="Arial"/>
          <w:sz w:val="20"/>
          <w:szCs w:val="20"/>
        </w:rPr>
        <w:t>9</w:t>
      </w:r>
      <w:r w:rsidR="0069116E" w:rsidRPr="00920145">
        <w:rPr>
          <w:rFonts w:ascii="Verdana" w:hAnsi="Verdana" w:cs="Arial"/>
          <w:sz w:val="20"/>
          <w:szCs w:val="20"/>
        </w:rPr>
        <w:t>. Jedyną dopuszczalną modyfikacją ważności zlecenia jest modyfikacja daty ważności zlecenia z oznaczeniem WDD z jednej daty na inną datę.</w:t>
      </w:r>
      <w:r w:rsidR="008670DC" w:rsidRPr="00920145">
        <w:rPr>
          <w:rFonts w:ascii="Verdana" w:hAnsi="Verdana" w:cs="Arial"/>
          <w:sz w:val="20"/>
          <w:szCs w:val="20"/>
        </w:rPr>
        <w:t>”;</w:t>
      </w:r>
    </w:p>
    <w:p w14:paraId="105E7403" w14:textId="1A0EFD99" w:rsidR="008670DC" w:rsidRPr="00920145" w:rsidRDefault="008670DC" w:rsidP="008362AE">
      <w:pPr>
        <w:pStyle w:val="Nagwek3"/>
      </w:pPr>
      <w:r w:rsidRPr="00920145">
        <w:t>§ 40 otrzymuje brzmienie:</w:t>
      </w:r>
    </w:p>
    <w:p w14:paraId="4C2385F0" w14:textId="67C3B858" w:rsidR="008670DC" w:rsidRPr="00920145" w:rsidRDefault="008670DC" w:rsidP="00A23201">
      <w:pPr>
        <w:pStyle w:val="Akapitzlist"/>
        <w:spacing w:after="120" w:line="360" w:lineRule="auto"/>
        <w:ind w:left="709"/>
        <w:contextualSpacing w:val="0"/>
        <w:jc w:val="both"/>
        <w:rPr>
          <w:rFonts w:ascii="Verdana" w:hAnsi="Verdana" w:cs="Arial"/>
          <w:sz w:val="20"/>
          <w:szCs w:val="20"/>
        </w:rPr>
      </w:pPr>
      <w:r w:rsidRPr="00920145">
        <w:rPr>
          <w:rFonts w:ascii="Verdana" w:hAnsi="Verdana" w:cs="Arial"/>
          <w:sz w:val="20"/>
          <w:szCs w:val="20"/>
        </w:rPr>
        <w:t>„§ 40</w:t>
      </w:r>
    </w:p>
    <w:p w14:paraId="4932B9E5" w14:textId="07630684" w:rsidR="008670DC" w:rsidRPr="00920145" w:rsidRDefault="008670DC" w:rsidP="00A23201">
      <w:pPr>
        <w:pStyle w:val="Akapitzlist"/>
        <w:spacing w:after="240" w:line="360" w:lineRule="auto"/>
        <w:ind w:left="709"/>
        <w:contextualSpacing w:val="0"/>
        <w:jc w:val="both"/>
        <w:rPr>
          <w:rFonts w:ascii="Verdana" w:hAnsi="Verdana" w:cs="Arial"/>
          <w:sz w:val="20"/>
          <w:szCs w:val="20"/>
        </w:rPr>
      </w:pPr>
      <w:r w:rsidRPr="00920145">
        <w:rPr>
          <w:rFonts w:ascii="Verdana" w:hAnsi="Verdana"/>
          <w:sz w:val="20"/>
          <w:szCs w:val="18"/>
        </w:rPr>
        <w:t>Z zastrzeżeniem przepisów niniejszego Działu</w:t>
      </w:r>
      <w:r w:rsidRPr="00920145">
        <w:rPr>
          <w:rFonts w:ascii="Verdana" w:hAnsi="Verdana" w:cs="Arial"/>
          <w:sz w:val="20"/>
          <w:szCs w:val="20"/>
        </w:rPr>
        <w:t xml:space="preserve">, kursem odniesienia dla kursów w fazie notowań ciągłych oraz dla kursu zamknięcia, dla statycznych ograniczeń wahań kursów, jest kurs otwarcia </w:t>
      </w:r>
      <w:r w:rsidRPr="00920145">
        <w:rPr>
          <w:rFonts w:ascii="Verdana" w:hAnsi="Verdana"/>
          <w:sz w:val="20"/>
          <w:szCs w:val="18"/>
        </w:rPr>
        <w:t xml:space="preserve">ustalony w fazie </w:t>
      </w:r>
      <w:r w:rsidRPr="00920145">
        <w:rPr>
          <w:rFonts w:ascii="Verdana" w:hAnsi="Verdana"/>
          <w:sz w:val="20"/>
          <w:szCs w:val="20"/>
        </w:rPr>
        <w:t>aukcji otwarcia</w:t>
      </w:r>
      <w:r w:rsidRPr="00920145">
        <w:rPr>
          <w:rFonts w:ascii="Verdana" w:hAnsi="Verdana" w:cs="Arial"/>
          <w:sz w:val="20"/>
          <w:szCs w:val="20"/>
        </w:rPr>
        <w:t xml:space="preserve">, a w przypadku jego braku </w:t>
      </w:r>
      <w:r w:rsidR="009370C1" w:rsidRPr="00920145">
        <w:rPr>
          <w:rFonts w:ascii="Verdana" w:hAnsi="Verdana" w:cs="Arial"/>
          <w:sz w:val="20"/>
          <w:szCs w:val="20"/>
        </w:rPr>
        <w:t xml:space="preserve">- </w:t>
      </w:r>
      <w:r w:rsidRPr="00920145">
        <w:rPr>
          <w:rFonts w:ascii="Verdana" w:hAnsi="Verdana" w:cs="Arial"/>
          <w:sz w:val="20"/>
          <w:szCs w:val="20"/>
        </w:rPr>
        <w:t xml:space="preserve">ostatni kurs zamknięcia.”; </w:t>
      </w:r>
    </w:p>
    <w:p w14:paraId="38371C0D" w14:textId="2E19C80A" w:rsidR="008670DC" w:rsidRPr="00920145" w:rsidRDefault="008670DC" w:rsidP="008362AE">
      <w:pPr>
        <w:pStyle w:val="Nagwek3"/>
      </w:pPr>
      <w:r w:rsidRPr="00920145">
        <w:t>uchyla się § 42;</w:t>
      </w:r>
    </w:p>
    <w:p w14:paraId="3CB3251B" w14:textId="28288C8B" w:rsidR="008670DC" w:rsidRPr="00920145" w:rsidRDefault="008670DC" w:rsidP="008362AE">
      <w:pPr>
        <w:pStyle w:val="Nagwek3"/>
      </w:pPr>
      <w:r w:rsidRPr="00920145">
        <w:t>w § 55 ust. 2 otrzymuje brzmienie:</w:t>
      </w:r>
    </w:p>
    <w:p w14:paraId="2F103FAE" w14:textId="599E9D39" w:rsidR="008670DC" w:rsidRPr="00920145" w:rsidRDefault="008670DC" w:rsidP="00E279C5">
      <w:pPr>
        <w:pStyle w:val="Akapitzlist"/>
        <w:tabs>
          <w:tab w:val="left" w:pos="851"/>
        </w:tabs>
        <w:spacing w:after="240" w:line="360" w:lineRule="auto"/>
        <w:ind w:left="851"/>
        <w:contextualSpacing w:val="0"/>
        <w:jc w:val="both"/>
        <w:rPr>
          <w:rFonts w:ascii="Verdana" w:hAnsi="Verdana" w:cs="Arial"/>
          <w:sz w:val="20"/>
          <w:szCs w:val="20"/>
        </w:rPr>
      </w:pPr>
      <w:r w:rsidRPr="00920145">
        <w:rPr>
          <w:rFonts w:ascii="Verdana" w:hAnsi="Verdana" w:cs="Arial"/>
          <w:sz w:val="20"/>
          <w:szCs w:val="20"/>
        </w:rPr>
        <w:t xml:space="preserve">„2. Wysokość statycznych ograniczeń wahań kursów obowiązujących dla poszczególnych segmentów notowań w systemie kursu jednolitego   określona </w:t>
      </w:r>
      <w:r w:rsidR="00C46EE2" w:rsidRPr="00920145">
        <w:rPr>
          <w:rFonts w:ascii="Verdana" w:hAnsi="Verdana" w:cs="Arial"/>
          <w:sz w:val="20"/>
          <w:szCs w:val="20"/>
        </w:rPr>
        <w:t xml:space="preserve">jest </w:t>
      </w:r>
      <w:r w:rsidRPr="00920145">
        <w:rPr>
          <w:rFonts w:ascii="Verdana" w:hAnsi="Verdana" w:cs="Arial"/>
          <w:sz w:val="20"/>
          <w:szCs w:val="20"/>
        </w:rPr>
        <w:t xml:space="preserve">w Rozdziale 8.”; </w:t>
      </w:r>
    </w:p>
    <w:p w14:paraId="61059ACB" w14:textId="4F37FF34" w:rsidR="008670DC" w:rsidRPr="00920145" w:rsidRDefault="00CE53ED" w:rsidP="008362AE">
      <w:pPr>
        <w:pStyle w:val="Nagwek3"/>
      </w:pPr>
      <w:r w:rsidRPr="00920145">
        <w:t>w § 56:</w:t>
      </w:r>
    </w:p>
    <w:p w14:paraId="3246487C" w14:textId="00CFC516" w:rsidR="00CE53ED" w:rsidRPr="00920145" w:rsidRDefault="00525B16" w:rsidP="00E279C5">
      <w:pPr>
        <w:pStyle w:val="Akapitzlist"/>
        <w:tabs>
          <w:tab w:val="left" w:pos="851"/>
        </w:tabs>
        <w:spacing w:after="120" w:line="360" w:lineRule="auto"/>
        <w:ind w:left="709" w:hanging="425"/>
        <w:contextualSpacing w:val="0"/>
        <w:jc w:val="both"/>
        <w:rPr>
          <w:rFonts w:ascii="Verdana" w:hAnsi="Verdana" w:cs="Arial"/>
          <w:sz w:val="20"/>
          <w:szCs w:val="20"/>
        </w:rPr>
      </w:pPr>
      <w:r w:rsidRPr="00920145">
        <w:rPr>
          <w:rFonts w:ascii="Verdana" w:hAnsi="Verdana" w:cs="Arial"/>
          <w:sz w:val="20"/>
          <w:szCs w:val="20"/>
        </w:rPr>
        <w:tab/>
      </w:r>
      <w:r w:rsidR="009370C1" w:rsidRPr="00920145">
        <w:rPr>
          <w:rFonts w:ascii="Verdana" w:hAnsi="Verdana" w:cs="Arial"/>
          <w:sz w:val="20"/>
          <w:szCs w:val="20"/>
        </w:rPr>
        <w:t xml:space="preserve">a) </w:t>
      </w:r>
      <w:r w:rsidR="00CE53ED" w:rsidRPr="00920145">
        <w:rPr>
          <w:rFonts w:ascii="Verdana" w:hAnsi="Verdana" w:cs="Arial"/>
          <w:sz w:val="20"/>
          <w:szCs w:val="20"/>
        </w:rPr>
        <w:t>uchyla się ust. 2;</w:t>
      </w:r>
    </w:p>
    <w:p w14:paraId="4FE2FC6B" w14:textId="3DC88DB2" w:rsidR="00CE53ED" w:rsidRPr="00920145" w:rsidRDefault="00525B16" w:rsidP="00E279C5">
      <w:pPr>
        <w:pStyle w:val="Akapitzlist"/>
        <w:tabs>
          <w:tab w:val="left" w:pos="851"/>
        </w:tabs>
        <w:spacing w:after="120" w:line="360" w:lineRule="auto"/>
        <w:ind w:left="709" w:hanging="425"/>
        <w:contextualSpacing w:val="0"/>
        <w:jc w:val="both"/>
        <w:rPr>
          <w:rFonts w:ascii="Verdana" w:hAnsi="Verdana" w:cs="Arial"/>
          <w:sz w:val="20"/>
          <w:szCs w:val="20"/>
        </w:rPr>
      </w:pPr>
      <w:r w:rsidRPr="00920145">
        <w:rPr>
          <w:rFonts w:ascii="Verdana" w:hAnsi="Verdana" w:cs="Arial"/>
          <w:sz w:val="20"/>
          <w:szCs w:val="20"/>
        </w:rPr>
        <w:tab/>
      </w:r>
      <w:r w:rsidR="009370C1" w:rsidRPr="00920145">
        <w:rPr>
          <w:rFonts w:ascii="Verdana" w:hAnsi="Verdana" w:cs="Arial"/>
          <w:sz w:val="20"/>
          <w:szCs w:val="20"/>
        </w:rPr>
        <w:t xml:space="preserve">b) </w:t>
      </w:r>
      <w:r w:rsidR="00CE53ED" w:rsidRPr="00920145">
        <w:rPr>
          <w:rFonts w:ascii="Verdana" w:hAnsi="Verdana" w:cs="Arial"/>
          <w:sz w:val="20"/>
          <w:szCs w:val="20"/>
        </w:rPr>
        <w:t>w ust. 3 wyrazy „fazy przed otwarciem” zastępuje się wyrazami „fazy aukcji otwarcia”;</w:t>
      </w:r>
    </w:p>
    <w:p w14:paraId="6B7BC55E" w14:textId="51F0C20D" w:rsidR="00CE53ED" w:rsidRPr="00920145" w:rsidRDefault="00525B16" w:rsidP="00A23201">
      <w:pPr>
        <w:pStyle w:val="Akapitzlist"/>
        <w:tabs>
          <w:tab w:val="left" w:pos="851"/>
          <w:tab w:val="left" w:pos="2060"/>
        </w:tabs>
        <w:spacing w:after="120" w:line="360" w:lineRule="auto"/>
        <w:ind w:left="709" w:hanging="425"/>
        <w:contextualSpacing w:val="0"/>
        <w:jc w:val="both"/>
        <w:rPr>
          <w:rFonts w:ascii="Verdana" w:hAnsi="Verdana" w:cs="Arial"/>
          <w:sz w:val="20"/>
          <w:szCs w:val="20"/>
        </w:rPr>
      </w:pPr>
      <w:r w:rsidRPr="00920145">
        <w:rPr>
          <w:rFonts w:ascii="Verdana" w:hAnsi="Verdana" w:cs="Arial"/>
          <w:sz w:val="20"/>
          <w:szCs w:val="20"/>
        </w:rPr>
        <w:tab/>
      </w:r>
      <w:r w:rsidR="009370C1" w:rsidRPr="00920145">
        <w:rPr>
          <w:rFonts w:ascii="Verdana" w:hAnsi="Verdana" w:cs="Arial"/>
          <w:sz w:val="20"/>
          <w:szCs w:val="20"/>
        </w:rPr>
        <w:t xml:space="preserve">c) </w:t>
      </w:r>
      <w:r w:rsidR="00CE53ED" w:rsidRPr="00920145">
        <w:rPr>
          <w:rFonts w:ascii="Verdana" w:hAnsi="Verdana" w:cs="Arial"/>
          <w:sz w:val="20"/>
          <w:szCs w:val="20"/>
        </w:rPr>
        <w:t>ust. 4 – 8 otrzymują brzmienie:</w:t>
      </w:r>
    </w:p>
    <w:p w14:paraId="19CDA34A" w14:textId="768E02A7" w:rsidR="00845A26" w:rsidRPr="00920145" w:rsidRDefault="00CE53ED" w:rsidP="00525B16">
      <w:pPr>
        <w:pStyle w:val="Akapitzlist"/>
        <w:tabs>
          <w:tab w:val="left" w:pos="993"/>
        </w:tabs>
        <w:spacing w:after="120" w:line="360" w:lineRule="auto"/>
        <w:ind w:left="993"/>
        <w:contextualSpacing w:val="0"/>
        <w:jc w:val="both"/>
        <w:rPr>
          <w:rFonts w:ascii="Verdana" w:hAnsi="Verdana"/>
          <w:sz w:val="20"/>
          <w:szCs w:val="20"/>
        </w:rPr>
      </w:pPr>
      <w:r w:rsidRPr="00920145">
        <w:rPr>
          <w:rFonts w:ascii="Verdana" w:hAnsi="Verdana" w:cs="Arial"/>
          <w:sz w:val="20"/>
          <w:szCs w:val="20"/>
        </w:rPr>
        <w:t xml:space="preserve">„4. </w:t>
      </w:r>
      <w:r w:rsidRPr="00920145">
        <w:rPr>
          <w:rFonts w:ascii="Verdana" w:hAnsi="Verdana"/>
          <w:sz w:val="20"/>
          <w:szCs w:val="20"/>
        </w:rPr>
        <w:t xml:space="preserve">Jeżeli na zakończenie fazy aukcji otwarcia teoretyczny kurs otwarcia (TKO) wykracza poza obowiązujące statyczne ograniczenia wahań kursów rozpoczyna się równoważenie.  </w:t>
      </w:r>
    </w:p>
    <w:p w14:paraId="2580341D" w14:textId="04467595" w:rsidR="00845A26" w:rsidRPr="00920145" w:rsidRDefault="00CE53ED" w:rsidP="00525B16">
      <w:pPr>
        <w:pStyle w:val="Akapitzlist"/>
        <w:tabs>
          <w:tab w:val="left" w:pos="993"/>
        </w:tabs>
        <w:spacing w:after="120" w:line="360" w:lineRule="auto"/>
        <w:ind w:left="993"/>
        <w:contextualSpacing w:val="0"/>
        <w:jc w:val="both"/>
        <w:rPr>
          <w:rFonts w:ascii="Verdana" w:hAnsi="Verdana"/>
          <w:sz w:val="20"/>
          <w:szCs w:val="20"/>
        </w:rPr>
      </w:pPr>
      <w:r w:rsidRPr="00920145">
        <w:rPr>
          <w:rFonts w:ascii="Verdana" w:hAnsi="Verdana"/>
          <w:sz w:val="20"/>
          <w:szCs w:val="20"/>
        </w:rPr>
        <w:lastRenderedPageBreak/>
        <w:t>5. Zasady przeprowadzania równoważenia w systemie kursu jednolitego są takie same jak zasady określone w § 59, obowiązujące dla statycznych ograniczeń wahań kursów w fazie aukcji otwarcia dla systemu notowań ciągłych, z zastrzeżeniem odpowiedniego stosowania w trakcie równoważenia przepisów § 145 ust. 2 Regulaminu Giełdy.</w:t>
      </w:r>
    </w:p>
    <w:p w14:paraId="13874FA2" w14:textId="1E1977AC" w:rsidR="00845A26" w:rsidRPr="00920145" w:rsidRDefault="00CE53ED" w:rsidP="00525B16">
      <w:pPr>
        <w:pStyle w:val="Akapitzlist"/>
        <w:tabs>
          <w:tab w:val="left" w:pos="993"/>
        </w:tabs>
        <w:spacing w:after="120" w:line="360" w:lineRule="auto"/>
        <w:ind w:left="993"/>
        <w:contextualSpacing w:val="0"/>
        <w:jc w:val="both"/>
        <w:rPr>
          <w:rFonts w:ascii="Verdana" w:hAnsi="Verdana"/>
          <w:sz w:val="20"/>
          <w:szCs w:val="20"/>
        </w:rPr>
      </w:pPr>
      <w:r w:rsidRPr="00920145">
        <w:rPr>
          <w:rFonts w:ascii="Verdana" w:hAnsi="Verdana"/>
          <w:sz w:val="20"/>
          <w:szCs w:val="20"/>
        </w:rPr>
        <w:t xml:space="preserve">6. Jeżeli w wyniku równoważenia zostanie określony kurs mieszczący się </w:t>
      </w:r>
      <w:r w:rsidR="000634A3" w:rsidRPr="00920145">
        <w:rPr>
          <w:rFonts w:ascii="Verdana" w:hAnsi="Verdana"/>
          <w:sz w:val="20"/>
          <w:szCs w:val="20"/>
        </w:rPr>
        <w:br/>
      </w:r>
      <w:r w:rsidRPr="00920145">
        <w:rPr>
          <w:rFonts w:ascii="Verdana" w:hAnsi="Verdana"/>
          <w:sz w:val="20"/>
          <w:szCs w:val="20"/>
        </w:rPr>
        <w:t>w obowiązujących statycznych ograniczeniach wahań kursów, kurs ten stanowi kurs jednolity</w:t>
      </w:r>
      <w:r w:rsidR="00686087" w:rsidRPr="00920145">
        <w:rPr>
          <w:rFonts w:ascii="Verdana" w:hAnsi="Verdana"/>
          <w:sz w:val="20"/>
          <w:szCs w:val="20"/>
        </w:rPr>
        <w:t>.</w:t>
      </w:r>
    </w:p>
    <w:p w14:paraId="0738834E" w14:textId="77777777" w:rsidR="00845A26" w:rsidRPr="00920145" w:rsidRDefault="00CE53ED" w:rsidP="00525B16">
      <w:pPr>
        <w:pStyle w:val="Akapitzlist"/>
        <w:tabs>
          <w:tab w:val="left" w:pos="993"/>
        </w:tabs>
        <w:spacing w:after="120" w:line="360" w:lineRule="auto"/>
        <w:ind w:left="993"/>
        <w:contextualSpacing w:val="0"/>
        <w:jc w:val="both"/>
        <w:rPr>
          <w:rFonts w:ascii="Verdana" w:hAnsi="Verdana"/>
          <w:sz w:val="20"/>
          <w:szCs w:val="20"/>
        </w:rPr>
      </w:pPr>
      <w:r w:rsidRPr="00920145">
        <w:rPr>
          <w:rFonts w:ascii="Verdana" w:hAnsi="Verdana"/>
          <w:sz w:val="20"/>
          <w:szCs w:val="20"/>
        </w:rPr>
        <w:t>7. Jeżeli w wyniku równoważenia nie jest możliwe określenie kursu  mieszczącego się w obowiązujących statycznych ograniczeniach wahań kursów przewodniczący sesji może</w:t>
      </w:r>
      <w:r w:rsidR="00686087" w:rsidRPr="00920145">
        <w:rPr>
          <w:rFonts w:ascii="Verdana" w:hAnsi="Verdana"/>
          <w:sz w:val="20"/>
          <w:szCs w:val="20"/>
        </w:rPr>
        <w:t xml:space="preserve"> </w:t>
      </w:r>
      <w:r w:rsidRPr="00920145">
        <w:rPr>
          <w:rFonts w:ascii="Verdana" w:hAnsi="Verdana"/>
          <w:sz w:val="20"/>
          <w:szCs w:val="20"/>
        </w:rPr>
        <w:t>zakończyć notowanie i ogłosić kurs jednolity równy ostatniemu kursowi jednolitemu.</w:t>
      </w:r>
    </w:p>
    <w:p w14:paraId="185B021A" w14:textId="6E211BE8" w:rsidR="00CE53ED" w:rsidRPr="00920145" w:rsidRDefault="00686087" w:rsidP="00525B16">
      <w:pPr>
        <w:pStyle w:val="Akapitzlist"/>
        <w:tabs>
          <w:tab w:val="left" w:pos="993"/>
        </w:tabs>
        <w:spacing w:after="120" w:line="360" w:lineRule="auto"/>
        <w:ind w:left="993"/>
        <w:contextualSpacing w:val="0"/>
        <w:jc w:val="both"/>
        <w:rPr>
          <w:rFonts w:ascii="Verdana" w:hAnsi="Verdana" w:cs="Arial"/>
          <w:sz w:val="20"/>
          <w:szCs w:val="20"/>
        </w:rPr>
      </w:pPr>
      <w:r w:rsidRPr="00920145">
        <w:rPr>
          <w:rFonts w:ascii="Verdana" w:hAnsi="Verdana"/>
          <w:sz w:val="20"/>
          <w:szCs w:val="20"/>
        </w:rPr>
        <w:t xml:space="preserve">8. </w:t>
      </w:r>
      <w:r w:rsidR="00CE53ED" w:rsidRPr="00920145">
        <w:rPr>
          <w:rFonts w:ascii="Verdana" w:hAnsi="Verdana"/>
          <w:sz w:val="20"/>
          <w:szCs w:val="20"/>
        </w:rPr>
        <w:t>Jeżeli po obu stronach arkusza zleceń znajdują się wyłącznie zlecenia niezawierające limitu ceny, kurs jednolity równy jest ostatniemu kursowi odniesienia.</w:t>
      </w:r>
      <w:r w:rsidRPr="00920145">
        <w:rPr>
          <w:rFonts w:ascii="Verdana" w:hAnsi="Verdana"/>
          <w:sz w:val="20"/>
          <w:szCs w:val="20"/>
        </w:rPr>
        <w:t>”;</w:t>
      </w:r>
    </w:p>
    <w:p w14:paraId="78C75F7F" w14:textId="562C3396" w:rsidR="00686087" w:rsidRPr="00920145" w:rsidRDefault="000634A3" w:rsidP="00E279C5">
      <w:pPr>
        <w:pStyle w:val="Akapitzlist"/>
        <w:spacing w:after="120" w:line="360" w:lineRule="auto"/>
        <w:ind w:left="709" w:hanging="1"/>
        <w:contextualSpacing w:val="0"/>
        <w:jc w:val="both"/>
        <w:rPr>
          <w:rFonts w:ascii="Verdana" w:hAnsi="Verdana"/>
          <w:sz w:val="20"/>
          <w:szCs w:val="20"/>
        </w:rPr>
      </w:pPr>
      <w:r w:rsidRPr="00920145">
        <w:rPr>
          <w:rFonts w:ascii="Verdana" w:hAnsi="Verdana"/>
          <w:sz w:val="20"/>
          <w:szCs w:val="20"/>
        </w:rPr>
        <w:t xml:space="preserve">d) </w:t>
      </w:r>
      <w:r w:rsidR="00686087" w:rsidRPr="00920145">
        <w:rPr>
          <w:rFonts w:ascii="Verdana" w:hAnsi="Verdana"/>
          <w:sz w:val="20"/>
          <w:szCs w:val="20"/>
        </w:rPr>
        <w:t>uchyla się ust. 9;</w:t>
      </w:r>
    </w:p>
    <w:p w14:paraId="7F9F206A" w14:textId="71CB2A6E" w:rsidR="00686087" w:rsidRPr="00920145" w:rsidRDefault="000634A3" w:rsidP="00525B16">
      <w:pPr>
        <w:pStyle w:val="Akapitzlist"/>
        <w:spacing w:after="240" w:line="360" w:lineRule="auto"/>
        <w:ind w:left="709" w:hanging="1"/>
        <w:contextualSpacing w:val="0"/>
        <w:jc w:val="both"/>
        <w:rPr>
          <w:rFonts w:ascii="Verdana" w:hAnsi="Verdana"/>
          <w:sz w:val="20"/>
          <w:szCs w:val="20"/>
        </w:rPr>
      </w:pPr>
      <w:r w:rsidRPr="00920145">
        <w:rPr>
          <w:rFonts w:ascii="Verdana" w:hAnsi="Verdana"/>
          <w:sz w:val="20"/>
          <w:szCs w:val="20"/>
        </w:rPr>
        <w:t xml:space="preserve">e) </w:t>
      </w:r>
      <w:r w:rsidR="00686087" w:rsidRPr="00920145">
        <w:rPr>
          <w:rFonts w:ascii="Verdana" w:hAnsi="Verdana"/>
          <w:sz w:val="20"/>
          <w:szCs w:val="20"/>
        </w:rPr>
        <w:t>uchyla się ust. 11;</w:t>
      </w:r>
    </w:p>
    <w:p w14:paraId="405CA1B7" w14:textId="00F59C1B" w:rsidR="00686087" w:rsidRPr="00920145" w:rsidRDefault="00EB35CC" w:rsidP="008362AE">
      <w:pPr>
        <w:pStyle w:val="Nagwek3"/>
      </w:pPr>
      <w:r w:rsidRPr="00920145">
        <w:t>w § 57:</w:t>
      </w:r>
    </w:p>
    <w:p w14:paraId="69726763" w14:textId="35DE4E3D" w:rsidR="00EB35CC" w:rsidRPr="00920145" w:rsidRDefault="00EB35CC" w:rsidP="00525B16">
      <w:pPr>
        <w:pStyle w:val="Akapitzlist"/>
        <w:numPr>
          <w:ilvl w:val="0"/>
          <w:numId w:val="101"/>
        </w:numPr>
        <w:tabs>
          <w:tab w:val="left" w:pos="851"/>
        </w:tabs>
        <w:spacing w:after="120" w:line="360" w:lineRule="auto"/>
        <w:ind w:left="709" w:hanging="142"/>
        <w:contextualSpacing w:val="0"/>
        <w:jc w:val="both"/>
        <w:rPr>
          <w:rFonts w:ascii="Verdana" w:hAnsi="Verdana"/>
          <w:sz w:val="20"/>
          <w:szCs w:val="20"/>
        </w:rPr>
      </w:pPr>
      <w:r w:rsidRPr="00920145">
        <w:rPr>
          <w:rFonts w:ascii="Verdana" w:hAnsi="Verdana"/>
          <w:sz w:val="20"/>
          <w:szCs w:val="20"/>
        </w:rPr>
        <w:t>ust. 2 otrzymuje brzmienie:</w:t>
      </w:r>
    </w:p>
    <w:p w14:paraId="5FE1B15F" w14:textId="651C313B" w:rsidR="00EB35CC" w:rsidRPr="00920145" w:rsidRDefault="00EB35CC" w:rsidP="00A23201">
      <w:pPr>
        <w:pStyle w:val="Akapitzlist"/>
        <w:tabs>
          <w:tab w:val="left" w:pos="851"/>
        </w:tabs>
        <w:spacing w:after="240" w:line="360" w:lineRule="auto"/>
        <w:ind w:left="709"/>
        <w:contextualSpacing w:val="0"/>
        <w:jc w:val="both"/>
        <w:rPr>
          <w:rFonts w:ascii="Verdana" w:hAnsi="Verdana" w:cs="Arial"/>
          <w:sz w:val="20"/>
          <w:szCs w:val="20"/>
        </w:rPr>
      </w:pPr>
      <w:r w:rsidRPr="00920145">
        <w:rPr>
          <w:rFonts w:ascii="Verdana" w:hAnsi="Verdana"/>
          <w:sz w:val="20"/>
          <w:szCs w:val="20"/>
        </w:rPr>
        <w:t xml:space="preserve">„2. </w:t>
      </w:r>
      <w:r w:rsidRPr="00920145">
        <w:rPr>
          <w:rFonts w:ascii="Verdana" w:hAnsi="Verdana" w:cs="Arial"/>
          <w:sz w:val="20"/>
          <w:szCs w:val="20"/>
        </w:rPr>
        <w:t xml:space="preserve">Wysokość statycznych i dynamicznych ograniczeń wahań kursów obowiązujących dla poszczególnych segmentów notowań w systemie notowań ciągłych określona </w:t>
      </w:r>
      <w:r w:rsidR="00C46EE2" w:rsidRPr="00920145">
        <w:rPr>
          <w:rFonts w:ascii="Verdana" w:hAnsi="Verdana" w:cs="Arial"/>
          <w:sz w:val="20"/>
          <w:szCs w:val="20"/>
        </w:rPr>
        <w:t xml:space="preserve">jest </w:t>
      </w:r>
      <w:r w:rsidRPr="00920145">
        <w:rPr>
          <w:rFonts w:ascii="Verdana" w:hAnsi="Verdana" w:cs="Arial"/>
          <w:sz w:val="20"/>
          <w:szCs w:val="20"/>
        </w:rPr>
        <w:t xml:space="preserve">odpowiednio w Rozdziale 8 lub 9.”;  </w:t>
      </w:r>
    </w:p>
    <w:p w14:paraId="683E6CA1" w14:textId="76C95496" w:rsidR="00EB35CC" w:rsidRPr="00920145" w:rsidRDefault="00EB35CC" w:rsidP="00525B16">
      <w:pPr>
        <w:pStyle w:val="Akapitzlist"/>
        <w:numPr>
          <w:ilvl w:val="0"/>
          <w:numId w:val="101"/>
        </w:numPr>
        <w:tabs>
          <w:tab w:val="left" w:pos="851"/>
        </w:tabs>
        <w:spacing w:after="240" w:line="360" w:lineRule="auto"/>
        <w:ind w:left="709" w:hanging="142"/>
        <w:contextualSpacing w:val="0"/>
        <w:jc w:val="both"/>
        <w:rPr>
          <w:rFonts w:ascii="Verdana" w:hAnsi="Verdana" w:cs="Arial"/>
          <w:sz w:val="20"/>
          <w:szCs w:val="20"/>
        </w:rPr>
      </w:pPr>
      <w:r w:rsidRPr="00920145">
        <w:rPr>
          <w:rFonts w:ascii="Verdana" w:hAnsi="Verdana" w:cs="Arial"/>
          <w:sz w:val="20"/>
          <w:szCs w:val="20"/>
        </w:rPr>
        <w:t>w ust. 3 wyrazy „stosuje się postanowienia dotyczące” zastępuje się wyrazami „stosuje się postanowienia niniejszego Działu dotyczące”;</w:t>
      </w:r>
    </w:p>
    <w:p w14:paraId="07B49F97" w14:textId="7FBA7C13" w:rsidR="00EB35CC" w:rsidRPr="00920145" w:rsidRDefault="00EB35CC" w:rsidP="008362AE">
      <w:pPr>
        <w:pStyle w:val="Nagwek3"/>
      </w:pPr>
      <w:r w:rsidRPr="00920145">
        <w:t>w § 58:</w:t>
      </w:r>
    </w:p>
    <w:p w14:paraId="4C94FBF3" w14:textId="0A928A1F" w:rsidR="000634A3" w:rsidRPr="00920145" w:rsidRDefault="00EB35CC" w:rsidP="00E279C5">
      <w:pPr>
        <w:pStyle w:val="Akapitzlist"/>
        <w:numPr>
          <w:ilvl w:val="0"/>
          <w:numId w:val="102"/>
        </w:numPr>
        <w:tabs>
          <w:tab w:val="left" w:pos="1134"/>
        </w:tabs>
        <w:spacing w:after="120" w:line="360" w:lineRule="auto"/>
        <w:ind w:left="993" w:hanging="284"/>
        <w:contextualSpacing w:val="0"/>
        <w:jc w:val="both"/>
        <w:rPr>
          <w:rFonts w:ascii="Verdana" w:hAnsi="Verdana"/>
          <w:sz w:val="20"/>
          <w:szCs w:val="20"/>
        </w:rPr>
      </w:pPr>
      <w:r w:rsidRPr="00920145">
        <w:rPr>
          <w:rFonts w:ascii="Verdana" w:hAnsi="Verdana"/>
          <w:sz w:val="20"/>
          <w:szCs w:val="20"/>
        </w:rPr>
        <w:t>uchyla się ust. 2;</w:t>
      </w:r>
    </w:p>
    <w:p w14:paraId="64EF7E2A" w14:textId="77777777" w:rsidR="000634A3" w:rsidRPr="00920145" w:rsidRDefault="00EB35CC" w:rsidP="00525B16">
      <w:pPr>
        <w:pStyle w:val="Akapitzlist"/>
        <w:numPr>
          <w:ilvl w:val="0"/>
          <w:numId w:val="102"/>
        </w:numPr>
        <w:tabs>
          <w:tab w:val="left" w:pos="1134"/>
        </w:tabs>
        <w:spacing w:after="120" w:line="360" w:lineRule="auto"/>
        <w:ind w:left="993" w:hanging="284"/>
        <w:contextualSpacing w:val="0"/>
        <w:jc w:val="both"/>
        <w:rPr>
          <w:rFonts w:ascii="Verdana" w:hAnsi="Verdana"/>
          <w:sz w:val="20"/>
          <w:szCs w:val="20"/>
        </w:rPr>
      </w:pPr>
      <w:r w:rsidRPr="00920145">
        <w:rPr>
          <w:rFonts w:ascii="Verdana" w:hAnsi="Verdana"/>
          <w:sz w:val="20"/>
          <w:szCs w:val="20"/>
        </w:rPr>
        <w:t>w ust. 3 wyrazy „fazy przed otwarciem/fazy przed zamknięciem” zastępuje się wyrazami „fazy aukcji otwarcia</w:t>
      </w:r>
      <w:r w:rsidR="00B878C0" w:rsidRPr="00920145">
        <w:rPr>
          <w:rFonts w:ascii="Verdana" w:hAnsi="Verdana"/>
          <w:sz w:val="20"/>
          <w:szCs w:val="20"/>
        </w:rPr>
        <w:t>/fazy aukcji zamknięcia”;</w:t>
      </w:r>
    </w:p>
    <w:p w14:paraId="6F9F8270" w14:textId="77777777" w:rsidR="007C4A9D" w:rsidRPr="00920145" w:rsidRDefault="00B878C0" w:rsidP="00525B16">
      <w:pPr>
        <w:pStyle w:val="Akapitzlist"/>
        <w:numPr>
          <w:ilvl w:val="0"/>
          <w:numId w:val="102"/>
        </w:numPr>
        <w:tabs>
          <w:tab w:val="left" w:pos="1134"/>
        </w:tabs>
        <w:spacing w:after="120" w:line="360" w:lineRule="auto"/>
        <w:ind w:left="993" w:hanging="284"/>
        <w:contextualSpacing w:val="0"/>
        <w:jc w:val="both"/>
        <w:rPr>
          <w:rFonts w:ascii="Verdana" w:hAnsi="Verdana"/>
          <w:sz w:val="20"/>
          <w:szCs w:val="20"/>
        </w:rPr>
      </w:pPr>
      <w:r w:rsidRPr="00920145">
        <w:rPr>
          <w:rFonts w:ascii="Verdana" w:hAnsi="Verdana"/>
          <w:sz w:val="20"/>
          <w:szCs w:val="20"/>
        </w:rPr>
        <w:t>uchyla się ust. 4 i 5;</w:t>
      </w:r>
    </w:p>
    <w:p w14:paraId="4507E459" w14:textId="539D4763" w:rsidR="007C4A9D" w:rsidRPr="00920145" w:rsidRDefault="00B878C0" w:rsidP="00525B16">
      <w:pPr>
        <w:pStyle w:val="Akapitzlist"/>
        <w:numPr>
          <w:ilvl w:val="0"/>
          <w:numId w:val="102"/>
        </w:numPr>
        <w:tabs>
          <w:tab w:val="left" w:pos="1134"/>
        </w:tabs>
        <w:spacing w:after="120" w:line="360" w:lineRule="auto"/>
        <w:ind w:left="993" w:hanging="284"/>
        <w:contextualSpacing w:val="0"/>
        <w:jc w:val="both"/>
        <w:rPr>
          <w:rFonts w:ascii="Verdana" w:hAnsi="Verdana"/>
          <w:sz w:val="20"/>
          <w:szCs w:val="20"/>
        </w:rPr>
      </w:pPr>
      <w:r w:rsidRPr="00920145">
        <w:rPr>
          <w:rFonts w:ascii="Verdana" w:hAnsi="Verdana"/>
          <w:sz w:val="20"/>
          <w:szCs w:val="20"/>
        </w:rPr>
        <w:t>w ust. 6 wyrazy „równy kursowi odniesienia” zastępuje się wyrazami „równy ostatniemu kursowi odniesienia”;</w:t>
      </w:r>
    </w:p>
    <w:p w14:paraId="53C8739C" w14:textId="77777777" w:rsidR="00950E6C" w:rsidRPr="00920145" w:rsidRDefault="00950E6C" w:rsidP="00950E6C">
      <w:pPr>
        <w:pStyle w:val="Akapitzlist"/>
        <w:tabs>
          <w:tab w:val="left" w:pos="1134"/>
        </w:tabs>
        <w:spacing w:after="120" w:line="360" w:lineRule="auto"/>
        <w:ind w:left="993"/>
        <w:contextualSpacing w:val="0"/>
        <w:jc w:val="both"/>
        <w:rPr>
          <w:rFonts w:ascii="Verdana" w:hAnsi="Verdana"/>
          <w:sz w:val="20"/>
          <w:szCs w:val="20"/>
        </w:rPr>
      </w:pPr>
    </w:p>
    <w:p w14:paraId="30A45CAA" w14:textId="29F6B839" w:rsidR="00B878C0" w:rsidRPr="00920145" w:rsidRDefault="00B878C0" w:rsidP="00525B16">
      <w:pPr>
        <w:pStyle w:val="Akapitzlist"/>
        <w:numPr>
          <w:ilvl w:val="0"/>
          <w:numId w:val="102"/>
        </w:numPr>
        <w:tabs>
          <w:tab w:val="left" w:pos="1134"/>
        </w:tabs>
        <w:spacing w:after="120" w:line="360" w:lineRule="auto"/>
        <w:ind w:left="993" w:hanging="284"/>
        <w:contextualSpacing w:val="0"/>
        <w:jc w:val="both"/>
        <w:rPr>
          <w:rFonts w:ascii="Verdana" w:hAnsi="Verdana"/>
          <w:sz w:val="20"/>
          <w:szCs w:val="20"/>
        </w:rPr>
      </w:pPr>
      <w:r w:rsidRPr="00920145">
        <w:rPr>
          <w:rFonts w:ascii="Verdana" w:hAnsi="Verdana"/>
          <w:sz w:val="20"/>
          <w:szCs w:val="20"/>
        </w:rPr>
        <w:lastRenderedPageBreak/>
        <w:t>ust. 7 otrzymuje brzmienie:</w:t>
      </w:r>
    </w:p>
    <w:p w14:paraId="6FC93A7E" w14:textId="66D25D27" w:rsidR="007C4A9D" w:rsidRPr="00920145" w:rsidRDefault="00E279C5" w:rsidP="00525B16">
      <w:pPr>
        <w:pStyle w:val="Akapitzlist"/>
        <w:tabs>
          <w:tab w:val="left" w:pos="851"/>
        </w:tabs>
        <w:spacing w:after="120" w:line="360" w:lineRule="auto"/>
        <w:ind w:left="993" w:hanging="284"/>
        <w:contextualSpacing w:val="0"/>
        <w:jc w:val="both"/>
        <w:rPr>
          <w:rFonts w:ascii="Verdana" w:hAnsi="Verdana"/>
          <w:sz w:val="20"/>
          <w:szCs w:val="20"/>
        </w:rPr>
      </w:pPr>
      <w:r w:rsidRPr="00920145">
        <w:rPr>
          <w:rFonts w:ascii="Verdana" w:hAnsi="Verdana"/>
          <w:sz w:val="20"/>
          <w:szCs w:val="20"/>
        </w:rPr>
        <w:tab/>
      </w:r>
      <w:r w:rsidRPr="00920145">
        <w:rPr>
          <w:rFonts w:ascii="Verdana" w:hAnsi="Verdana"/>
          <w:sz w:val="20"/>
          <w:szCs w:val="20"/>
        </w:rPr>
        <w:tab/>
      </w:r>
      <w:r w:rsidR="00B878C0" w:rsidRPr="00920145">
        <w:rPr>
          <w:rFonts w:ascii="Verdana" w:hAnsi="Verdana"/>
          <w:sz w:val="20"/>
          <w:szCs w:val="20"/>
        </w:rPr>
        <w:t xml:space="preserve">„7. W przypadku, gdy w arkuszu zleceń po jednej stronie znajdują się zlecenia niezawierające limitu ceny, a po przeciwnej stronie nie ma żadnych zleceń, odpowiednio kursu otwarcia/kursu zamknięcia nie określa się, a zlecenia te tracą ważność.”;  </w:t>
      </w:r>
    </w:p>
    <w:p w14:paraId="7D05435C" w14:textId="4D639427" w:rsidR="00B878C0" w:rsidRPr="00920145" w:rsidRDefault="00B878C0" w:rsidP="00525B16">
      <w:pPr>
        <w:pStyle w:val="Akapitzlist"/>
        <w:numPr>
          <w:ilvl w:val="0"/>
          <w:numId w:val="102"/>
        </w:numPr>
        <w:tabs>
          <w:tab w:val="left" w:pos="851"/>
        </w:tabs>
        <w:spacing w:after="240" w:line="360" w:lineRule="auto"/>
        <w:ind w:left="993" w:hanging="284"/>
        <w:contextualSpacing w:val="0"/>
        <w:jc w:val="both"/>
        <w:rPr>
          <w:rFonts w:ascii="Verdana" w:hAnsi="Verdana"/>
          <w:sz w:val="20"/>
          <w:szCs w:val="20"/>
        </w:rPr>
      </w:pPr>
      <w:r w:rsidRPr="00920145">
        <w:rPr>
          <w:rFonts w:ascii="Verdana" w:hAnsi="Verdana"/>
          <w:sz w:val="20"/>
          <w:szCs w:val="20"/>
        </w:rPr>
        <w:t>uchyla się ust. 9;</w:t>
      </w:r>
    </w:p>
    <w:p w14:paraId="5821EE26" w14:textId="43312E04" w:rsidR="00B878C0" w:rsidRPr="00920145" w:rsidRDefault="00B878C0" w:rsidP="008362AE">
      <w:pPr>
        <w:pStyle w:val="Nagwek3"/>
      </w:pPr>
      <w:r w:rsidRPr="00920145">
        <w:t>§ 59 otrzymuje brzmienie:</w:t>
      </w:r>
    </w:p>
    <w:p w14:paraId="50BF30C9" w14:textId="7577C85F" w:rsidR="00B878C0" w:rsidRPr="00920145" w:rsidRDefault="00B878C0" w:rsidP="00A23201">
      <w:pPr>
        <w:pStyle w:val="Akapitzlist"/>
        <w:tabs>
          <w:tab w:val="left" w:pos="851"/>
        </w:tabs>
        <w:spacing w:after="120" w:line="360" w:lineRule="auto"/>
        <w:ind w:left="709"/>
        <w:contextualSpacing w:val="0"/>
        <w:jc w:val="both"/>
        <w:rPr>
          <w:rFonts w:ascii="Verdana" w:hAnsi="Verdana"/>
          <w:sz w:val="20"/>
          <w:szCs w:val="20"/>
        </w:rPr>
      </w:pPr>
      <w:r w:rsidRPr="00920145">
        <w:rPr>
          <w:rFonts w:ascii="Verdana" w:hAnsi="Verdana"/>
          <w:sz w:val="20"/>
          <w:szCs w:val="20"/>
        </w:rPr>
        <w:t>„§ 59</w:t>
      </w:r>
    </w:p>
    <w:p w14:paraId="5FD3BD54" w14:textId="3D7B18DA" w:rsidR="00B878C0" w:rsidRPr="00920145" w:rsidRDefault="00B878C0" w:rsidP="00F8716B">
      <w:pPr>
        <w:pStyle w:val="Akapitzlist"/>
        <w:numPr>
          <w:ilvl w:val="0"/>
          <w:numId w:val="22"/>
        </w:numPr>
        <w:tabs>
          <w:tab w:val="left" w:pos="993"/>
        </w:tabs>
        <w:spacing w:after="120" w:line="360" w:lineRule="auto"/>
        <w:ind w:left="709" w:firstLine="0"/>
        <w:contextualSpacing w:val="0"/>
        <w:jc w:val="both"/>
        <w:rPr>
          <w:rFonts w:ascii="Verdana" w:hAnsi="Verdana" w:cs="Arial"/>
          <w:sz w:val="20"/>
          <w:szCs w:val="20"/>
        </w:rPr>
      </w:pPr>
      <w:r w:rsidRPr="00920145">
        <w:rPr>
          <w:rFonts w:ascii="Verdana" w:hAnsi="Verdana" w:cs="Arial"/>
          <w:sz w:val="20"/>
          <w:szCs w:val="20"/>
        </w:rPr>
        <w:t>W systemie notowań ciągłych przeprowadza się równoważenie w sytuacji naruszenia statycznych ograniczeń wahań kursów, które uznaje się, że zachodzi jeżeli:</w:t>
      </w:r>
    </w:p>
    <w:p w14:paraId="59132DA9" w14:textId="77777777" w:rsidR="00B878C0" w:rsidRPr="00920145" w:rsidRDefault="00B878C0" w:rsidP="00871204">
      <w:pPr>
        <w:pStyle w:val="Akapitzlist"/>
        <w:numPr>
          <w:ilvl w:val="1"/>
          <w:numId w:val="24"/>
        </w:numPr>
        <w:tabs>
          <w:tab w:val="clear" w:pos="737"/>
          <w:tab w:val="num" w:pos="1134"/>
        </w:tabs>
        <w:spacing w:after="120" w:line="360" w:lineRule="auto"/>
        <w:ind w:left="1134" w:hanging="28"/>
        <w:contextualSpacing w:val="0"/>
        <w:jc w:val="both"/>
        <w:rPr>
          <w:rFonts w:ascii="Verdana" w:hAnsi="Verdana" w:cs="Arial"/>
          <w:sz w:val="20"/>
          <w:szCs w:val="20"/>
        </w:rPr>
      </w:pPr>
      <w:r w:rsidRPr="00920145">
        <w:rPr>
          <w:rFonts w:ascii="Verdana" w:hAnsi="Verdana" w:cs="Arial"/>
          <w:sz w:val="20"/>
          <w:szCs w:val="20"/>
        </w:rPr>
        <w:t>w chwili zakończenia fazy aukcji otwarcia/fazy aukcji zamknięcia teoretyczny kurs otwarcia (TKO) wykracza poza obowiązujące statyczne ograniczenia wahań kursów,</w:t>
      </w:r>
    </w:p>
    <w:p w14:paraId="4FCB86AF" w14:textId="77777777" w:rsidR="00B878C0" w:rsidRPr="00920145" w:rsidRDefault="00B878C0" w:rsidP="00871204">
      <w:pPr>
        <w:pStyle w:val="Akapitzlist"/>
        <w:numPr>
          <w:ilvl w:val="1"/>
          <w:numId w:val="24"/>
        </w:numPr>
        <w:tabs>
          <w:tab w:val="clear" w:pos="737"/>
          <w:tab w:val="num" w:pos="1134"/>
        </w:tabs>
        <w:spacing w:after="120" w:line="360" w:lineRule="auto"/>
        <w:ind w:left="1134" w:hanging="28"/>
        <w:contextualSpacing w:val="0"/>
        <w:jc w:val="both"/>
        <w:rPr>
          <w:rFonts w:ascii="Verdana" w:hAnsi="Verdana" w:cs="Arial"/>
          <w:sz w:val="20"/>
          <w:szCs w:val="20"/>
        </w:rPr>
      </w:pPr>
      <w:r w:rsidRPr="00920145">
        <w:rPr>
          <w:rFonts w:ascii="Verdana" w:hAnsi="Verdana" w:cs="Arial"/>
          <w:sz w:val="20"/>
          <w:szCs w:val="20"/>
        </w:rPr>
        <w:t>w trakcie fazy notowań ciągłych zostanie złożone zlecenie, którego realizacja skutkowałaby zawarciem transakcji po kursie wykraczającym poza obowiązujące statyczne ograniczenia wahań kursów.</w:t>
      </w:r>
    </w:p>
    <w:p w14:paraId="4DFABCB1" w14:textId="77777777" w:rsidR="00B878C0" w:rsidRPr="00920145" w:rsidRDefault="00B878C0" w:rsidP="00F8716B">
      <w:pPr>
        <w:pStyle w:val="Akapitzlist"/>
        <w:numPr>
          <w:ilvl w:val="0"/>
          <w:numId w:val="22"/>
        </w:numPr>
        <w:tabs>
          <w:tab w:val="left" w:pos="993"/>
        </w:tabs>
        <w:spacing w:after="120" w:line="360" w:lineRule="auto"/>
        <w:ind w:left="709" w:firstLine="0"/>
        <w:contextualSpacing w:val="0"/>
        <w:jc w:val="both"/>
        <w:rPr>
          <w:rFonts w:ascii="Verdana" w:hAnsi="Verdana" w:cs="Arial"/>
          <w:sz w:val="20"/>
          <w:szCs w:val="20"/>
        </w:rPr>
      </w:pPr>
      <w:r w:rsidRPr="00920145">
        <w:rPr>
          <w:rFonts w:ascii="Verdana" w:hAnsi="Verdana" w:cs="Arial"/>
          <w:sz w:val="20"/>
          <w:szCs w:val="20"/>
        </w:rPr>
        <w:t xml:space="preserve">Zlecenie, o którym mowa w ust. 1 pkt 2), jest realizowane w granicach statycznych ograniczeń wahań kursów, a </w:t>
      </w:r>
      <w:r w:rsidRPr="00920145">
        <w:rPr>
          <w:rFonts w:ascii="Verdana" w:hAnsi="Verdana"/>
          <w:sz w:val="20"/>
          <w:szCs w:val="20"/>
        </w:rPr>
        <w:t xml:space="preserve">niezrealizowana część tego zlecenia pozostaje w arkuszu zleceń na okres równoważenia. </w:t>
      </w:r>
    </w:p>
    <w:p w14:paraId="2725B954" w14:textId="77777777" w:rsidR="00B878C0" w:rsidRPr="00920145" w:rsidRDefault="00B878C0" w:rsidP="00F8716B">
      <w:pPr>
        <w:numPr>
          <w:ilvl w:val="0"/>
          <w:numId w:val="22"/>
        </w:numPr>
        <w:tabs>
          <w:tab w:val="num" w:pos="709"/>
          <w:tab w:val="left" w:pos="993"/>
        </w:tabs>
        <w:spacing w:after="120" w:line="360" w:lineRule="auto"/>
        <w:ind w:left="709" w:firstLine="0"/>
        <w:jc w:val="both"/>
        <w:rPr>
          <w:rFonts w:ascii="Verdana" w:hAnsi="Verdana" w:cs="Arial"/>
          <w:sz w:val="20"/>
          <w:szCs w:val="20"/>
        </w:rPr>
      </w:pPr>
      <w:r w:rsidRPr="00920145">
        <w:rPr>
          <w:rFonts w:ascii="Verdana" w:hAnsi="Verdana" w:cs="Arial"/>
          <w:sz w:val="20"/>
          <w:szCs w:val="20"/>
        </w:rPr>
        <w:t>W trakcie równoważenia członkowie giełdy mogą składać, modyfikować i anulować zlecenia maklerskie.</w:t>
      </w:r>
    </w:p>
    <w:p w14:paraId="6D439BFC" w14:textId="1AC96F5B" w:rsidR="00B878C0" w:rsidRPr="00920145" w:rsidRDefault="00B878C0" w:rsidP="00F8716B">
      <w:pPr>
        <w:numPr>
          <w:ilvl w:val="0"/>
          <w:numId w:val="22"/>
        </w:numPr>
        <w:tabs>
          <w:tab w:val="num" w:pos="709"/>
          <w:tab w:val="left" w:pos="993"/>
        </w:tabs>
        <w:spacing w:after="120" w:line="360" w:lineRule="auto"/>
        <w:ind w:left="709" w:firstLine="0"/>
        <w:jc w:val="both"/>
        <w:rPr>
          <w:rFonts w:ascii="Verdana" w:hAnsi="Verdana" w:cs="Arial"/>
          <w:sz w:val="20"/>
          <w:szCs w:val="20"/>
        </w:rPr>
      </w:pPr>
      <w:r w:rsidRPr="00920145">
        <w:rPr>
          <w:rFonts w:ascii="Verdana" w:hAnsi="Verdana" w:cs="Arial"/>
          <w:sz w:val="20"/>
          <w:szCs w:val="20"/>
        </w:rPr>
        <w:t>Równoważenie jest przeprowadzane w dwóch etapach, z zastrzeżeniem przepisów niniejszego Działu.</w:t>
      </w:r>
    </w:p>
    <w:p w14:paraId="55C415E5" w14:textId="3B155EB1" w:rsidR="00B878C0" w:rsidRPr="00920145" w:rsidRDefault="00B878C0" w:rsidP="00F8716B">
      <w:pPr>
        <w:numPr>
          <w:ilvl w:val="0"/>
          <w:numId w:val="22"/>
        </w:numPr>
        <w:tabs>
          <w:tab w:val="num" w:pos="709"/>
          <w:tab w:val="left" w:pos="993"/>
        </w:tabs>
        <w:spacing w:after="120" w:line="360" w:lineRule="auto"/>
        <w:ind w:left="709" w:firstLine="0"/>
        <w:jc w:val="both"/>
        <w:rPr>
          <w:rFonts w:ascii="Verdana" w:hAnsi="Verdana" w:cs="Arial"/>
          <w:sz w:val="20"/>
          <w:szCs w:val="20"/>
        </w:rPr>
      </w:pPr>
      <w:r w:rsidRPr="00920145">
        <w:rPr>
          <w:rFonts w:ascii="Verdana" w:hAnsi="Verdana" w:cs="Arial"/>
          <w:sz w:val="20"/>
          <w:szCs w:val="20"/>
        </w:rPr>
        <w:t>W pierwszym etapie przeprowadzane jest równoważenie podstawowe. Jeżeli w jego wyniku nie jest możliwe określenie kursu zgodnie z zasadami zawartymi w § 134 ust. 2 Regulaminu Giełdy, który mieści się w statycznych ograniczeniach wahań kursów, wówczas rozpoczyna się równoważenie dodatkowe.</w:t>
      </w:r>
    </w:p>
    <w:p w14:paraId="5E88DC10" w14:textId="3C0B598F" w:rsidR="00B878C0" w:rsidRPr="00920145" w:rsidRDefault="00B878C0" w:rsidP="00F8716B">
      <w:pPr>
        <w:numPr>
          <w:ilvl w:val="0"/>
          <w:numId w:val="22"/>
        </w:numPr>
        <w:tabs>
          <w:tab w:val="num" w:pos="709"/>
          <w:tab w:val="left" w:pos="993"/>
        </w:tabs>
        <w:spacing w:after="120" w:line="360" w:lineRule="auto"/>
        <w:ind w:left="709" w:firstLine="0"/>
        <w:jc w:val="both"/>
        <w:rPr>
          <w:rFonts w:ascii="Verdana" w:hAnsi="Verdana" w:cs="Arial"/>
          <w:sz w:val="20"/>
          <w:szCs w:val="20"/>
        </w:rPr>
      </w:pPr>
      <w:r w:rsidRPr="00920145">
        <w:rPr>
          <w:rFonts w:ascii="Verdana" w:hAnsi="Verdana" w:cs="Arial"/>
          <w:sz w:val="20"/>
          <w:szCs w:val="20"/>
        </w:rPr>
        <w:t xml:space="preserve">Czas trwania równoważenia podstawowego jest określony i zdefiniowany osobno dla danego segmentu notowań, zgodnie z przepisami Rozdziału 8 </w:t>
      </w:r>
      <w:r w:rsidR="00AC26D7" w:rsidRPr="00920145">
        <w:rPr>
          <w:rFonts w:ascii="Verdana" w:hAnsi="Verdana" w:cs="Arial"/>
          <w:sz w:val="20"/>
          <w:szCs w:val="20"/>
        </w:rPr>
        <w:br/>
      </w:r>
      <w:r w:rsidRPr="00920145">
        <w:rPr>
          <w:rFonts w:ascii="Verdana" w:hAnsi="Verdana" w:cs="Arial"/>
          <w:sz w:val="20"/>
          <w:szCs w:val="20"/>
        </w:rPr>
        <w:t>lub 9, natomiast o zakończeniu równoważenia dodatkowego decyduje przewodniczący sesji.</w:t>
      </w:r>
    </w:p>
    <w:p w14:paraId="436F44E7" w14:textId="47987A30" w:rsidR="00B878C0" w:rsidRPr="00920145" w:rsidRDefault="00B878C0" w:rsidP="00F8716B">
      <w:pPr>
        <w:numPr>
          <w:ilvl w:val="0"/>
          <w:numId w:val="22"/>
        </w:numPr>
        <w:tabs>
          <w:tab w:val="num" w:pos="709"/>
          <w:tab w:val="left" w:pos="993"/>
        </w:tabs>
        <w:spacing w:after="120" w:line="360" w:lineRule="auto"/>
        <w:ind w:left="709" w:firstLine="0"/>
        <w:jc w:val="both"/>
        <w:rPr>
          <w:rFonts w:ascii="Verdana" w:hAnsi="Verdana" w:cs="Arial"/>
          <w:sz w:val="20"/>
          <w:szCs w:val="20"/>
        </w:rPr>
      </w:pPr>
      <w:r w:rsidRPr="00920145">
        <w:rPr>
          <w:rFonts w:ascii="Verdana" w:hAnsi="Verdana" w:cs="Arial"/>
          <w:sz w:val="20"/>
          <w:szCs w:val="20"/>
        </w:rPr>
        <w:lastRenderedPageBreak/>
        <w:t xml:space="preserve">Niezależnie od postanowień ust. 8, dopuszcza się przeprowadzenie równoważenia w jednym etapie, w którym pomija się równoważenie podstawowe. W takim przypadku równoważenie składa się wyłącznie </w:t>
      </w:r>
      <w:r w:rsidR="00E95ACE" w:rsidRPr="00920145">
        <w:rPr>
          <w:rFonts w:ascii="Verdana" w:hAnsi="Verdana" w:cs="Arial"/>
          <w:sz w:val="20"/>
          <w:szCs w:val="20"/>
        </w:rPr>
        <w:br/>
      </w:r>
      <w:r w:rsidRPr="00920145">
        <w:rPr>
          <w:rFonts w:ascii="Verdana" w:hAnsi="Verdana" w:cs="Arial"/>
          <w:sz w:val="20"/>
          <w:szCs w:val="20"/>
        </w:rPr>
        <w:t>z równoważenia dodatkowego. Przepisy Rozdziału 8 i 9 mogą określać, dla których segmentów notowań równoważenie składa się z równoważenia podstawowego i dodatkowego, a dla których składa się tylko z równoważenia dodatkowego.</w:t>
      </w:r>
    </w:p>
    <w:p w14:paraId="1EB32BC2" w14:textId="17F89530" w:rsidR="00B878C0" w:rsidRPr="00920145" w:rsidRDefault="00B878C0" w:rsidP="00F8716B">
      <w:pPr>
        <w:numPr>
          <w:ilvl w:val="0"/>
          <w:numId w:val="22"/>
        </w:numPr>
        <w:tabs>
          <w:tab w:val="num" w:pos="709"/>
          <w:tab w:val="left" w:pos="993"/>
        </w:tabs>
        <w:spacing w:after="120" w:line="360" w:lineRule="auto"/>
        <w:ind w:left="709" w:firstLine="0"/>
        <w:jc w:val="both"/>
        <w:rPr>
          <w:rFonts w:ascii="Verdana" w:hAnsi="Verdana" w:cs="Arial"/>
          <w:sz w:val="20"/>
          <w:szCs w:val="20"/>
        </w:rPr>
      </w:pPr>
      <w:r w:rsidRPr="00920145">
        <w:rPr>
          <w:rFonts w:ascii="Verdana" w:hAnsi="Verdana" w:cs="Arial"/>
          <w:sz w:val="20"/>
          <w:szCs w:val="20"/>
        </w:rPr>
        <w:t>Stosuje się następujące zasady określania kursu odniesienia dla statycznych ograniczeń wahań kursów obowiązujących w trakcie równoważenia, jeżeli równoważenie zostało wywołane w wyniku naruszenia:</w:t>
      </w:r>
    </w:p>
    <w:p w14:paraId="5AA28326" w14:textId="00FF1E06" w:rsidR="00B878C0" w:rsidRPr="00920145" w:rsidRDefault="00B878C0" w:rsidP="00871204">
      <w:pPr>
        <w:numPr>
          <w:ilvl w:val="1"/>
          <w:numId w:val="23"/>
        </w:numPr>
        <w:tabs>
          <w:tab w:val="clear" w:pos="720"/>
          <w:tab w:val="num" w:pos="1134"/>
        </w:tabs>
        <w:spacing w:after="120" w:line="360" w:lineRule="auto"/>
        <w:ind w:left="851" w:firstLine="142"/>
        <w:jc w:val="both"/>
        <w:rPr>
          <w:rFonts w:ascii="Verdana" w:hAnsi="Verdana" w:cs="Arial"/>
          <w:sz w:val="20"/>
          <w:szCs w:val="20"/>
        </w:rPr>
      </w:pPr>
      <w:r w:rsidRPr="00920145">
        <w:rPr>
          <w:rFonts w:ascii="Verdana" w:hAnsi="Verdana" w:cs="Arial"/>
          <w:sz w:val="20"/>
          <w:szCs w:val="20"/>
        </w:rPr>
        <w:t>górnych statycznych ograniczeń wahań kursów -  kurs odniesienia jest określany według wzoru:</w:t>
      </w:r>
    </w:p>
    <w:p w14:paraId="278E2232" w14:textId="25D6997D" w:rsidR="00B878C0" w:rsidRPr="00920145" w:rsidRDefault="00B878C0" w:rsidP="003772D5">
      <w:pPr>
        <w:spacing w:after="120" w:line="360" w:lineRule="auto"/>
        <w:ind w:left="1418"/>
        <w:jc w:val="both"/>
        <w:rPr>
          <w:rFonts w:ascii="Verdana" w:hAnsi="Verdana" w:cs="Arial"/>
          <w:sz w:val="20"/>
          <w:szCs w:val="20"/>
        </w:rPr>
      </w:pPr>
      <w:r w:rsidRPr="00920145">
        <w:rPr>
          <w:rFonts w:ascii="Verdana" w:hAnsi="Verdana" w:cs="Arial"/>
          <w:sz w:val="20"/>
          <w:szCs w:val="20"/>
        </w:rPr>
        <w:t xml:space="preserve">K + (G – K) </w:t>
      </w:r>
      <w:r w:rsidR="00902382" w:rsidRPr="00920145">
        <w:rPr>
          <w:rFonts w:ascii="Verdana" w:hAnsi="Verdana" w:cs="Arial"/>
          <w:sz w:val="20"/>
          <w:szCs w:val="20"/>
        </w:rPr>
        <w:t>x S</w:t>
      </w:r>
    </w:p>
    <w:p w14:paraId="12C2A664" w14:textId="77777777" w:rsidR="00B878C0" w:rsidRPr="00920145" w:rsidRDefault="00B878C0" w:rsidP="003772D5">
      <w:pPr>
        <w:spacing w:after="120" w:line="360" w:lineRule="auto"/>
        <w:ind w:left="1418"/>
        <w:jc w:val="both"/>
        <w:rPr>
          <w:rFonts w:ascii="Verdana" w:hAnsi="Verdana" w:cs="Arial"/>
          <w:sz w:val="20"/>
          <w:szCs w:val="20"/>
        </w:rPr>
      </w:pPr>
      <w:r w:rsidRPr="00920145">
        <w:rPr>
          <w:rFonts w:ascii="Verdana" w:hAnsi="Verdana" w:cs="Arial"/>
          <w:sz w:val="20"/>
          <w:szCs w:val="20"/>
        </w:rPr>
        <w:t>gdzie:</w:t>
      </w:r>
    </w:p>
    <w:p w14:paraId="50761614" w14:textId="77777777" w:rsidR="00B878C0" w:rsidRPr="00920145" w:rsidRDefault="00B878C0" w:rsidP="003772D5">
      <w:pPr>
        <w:spacing w:after="120" w:line="360" w:lineRule="auto"/>
        <w:ind w:left="1418"/>
        <w:jc w:val="both"/>
        <w:rPr>
          <w:rFonts w:ascii="Verdana" w:hAnsi="Verdana" w:cs="Arial"/>
          <w:sz w:val="20"/>
          <w:szCs w:val="20"/>
        </w:rPr>
      </w:pPr>
      <w:r w:rsidRPr="00920145">
        <w:rPr>
          <w:rFonts w:ascii="Verdana" w:hAnsi="Verdana" w:cs="Arial"/>
          <w:sz w:val="20"/>
          <w:szCs w:val="20"/>
        </w:rPr>
        <w:t>K - ostatni kurs odniesienia dla statycznych ograniczeń wahań kursów jaki obowiązywał przed rozpoczęciem równoważenia,</w:t>
      </w:r>
    </w:p>
    <w:p w14:paraId="5D39EF9B" w14:textId="77777777" w:rsidR="00B878C0" w:rsidRPr="00920145" w:rsidRDefault="00B878C0" w:rsidP="003772D5">
      <w:pPr>
        <w:spacing w:after="120" w:line="360" w:lineRule="auto"/>
        <w:ind w:left="1418"/>
        <w:jc w:val="both"/>
        <w:rPr>
          <w:rFonts w:ascii="Verdana" w:hAnsi="Verdana" w:cs="Arial"/>
          <w:sz w:val="20"/>
          <w:szCs w:val="20"/>
        </w:rPr>
      </w:pPr>
      <w:r w:rsidRPr="00920145">
        <w:rPr>
          <w:rFonts w:ascii="Verdana" w:hAnsi="Verdana" w:cs="Arial"/>
          <w:sz w:val="20"/>
          <w:szCs w:val="20"/>
        </w:rPr>
        <w:t>G - ostatnie górne statyczne ograniczenie wahań kursów jakie obowiązywały przed rozpoczęciem równoważenia,</w:t>
      </w:r>
    </w:p>
    <w:p w14:paraId="12A9EE32" w14:textId="2F8712C3" w:rsidR="00B878C0" w:rsidRPr="00920145" w:rsidRDefault="00902382" w:rsidP="003772D5">
      <w:pPr>
        <w:spacing w:after="120" w:line="360" w:lineRule="auto"/>
        <w:ind w:left="1418"/>
        <w:jc w:val="both"/>
        <w:rPr>
          <w:rFonts w:ascii="Verdana" w:hAnsi="Verdana" w:cs="Arial"/>
          <w:sz w:val="20"/>
          <w:szCs w:val="20"/>
        </w:rPr>
      </w:pPr>
      <w:r w:rsidRPr="00920145">
        <w:rPr>
          <w:rFonts w:ascii="Verdana" w:hAnsi="Verdana" w:cs="Arial"/>
          <w:sz w:val="20"/>
          <w:szCs w:val="20"/>
        </w:rPr>
        <w:t>S</w:t>
      </w:r>
      <w:r w:rsidR="00B878C0" w:rsidRPr="00920145">
        <w:rPr>
          <w:rFonts w:ascii="Verdana" w:hAnsi="Verdana" w:cs="Arial"/>
          <w:sz w:val="20"/>
          <w:szCs w:val="20"/>
        </w:rPr>
        <w:t xml:space="preserve"> - współczynnik przesunięcia kursu odniesienia;</w:t>
      </w:r>
    </w:p>
    <w:p w14:paraId="1E16F96F" w14:textId="792C5D07" w:rsidR="00B878C0" w:rsidRPr="00920145" w:rsidRDefault="008F579F" w:rsidP="00F8716B">
      <w:pPr>
        <w:numPr>
          <w:ilvl w:val="1"/>
          <w:numId w:val="23"/>
        </w:numPr>
        <w:tabs>
          <w:tab w:val="left" w:pos="1134"/>
        </w:tabs>
        <w:spacing w:after="120" w:line="360" w:lineRule="auto"/>
        <w:ind w:left="993" w:firstLine="0"/>
        <w:jc w:val="both"/>
        <w:rPr>
          <w:rFonts w:ascii="Verdana" w:hAnsi="Verdana" w:cs="Arial"/>
          <w:sz w:val="20"/>
          <w:szCs w:val="20"/>
        </w:rPr>
      </w:pPr>
      <w:r w:rsidRPr="00920145">
        <w:rPr>
          <w:rFonts w:ascii="Verdana" w:hAnsi="Verdana" w:cs="Arial"/>
          <w:sz w:val="20"/>
          <w:szCs w:val="20"/>
        </w:rPr>
        <w:t xml:space="preserve"> </w:t>
      </w:r>
      <w:r w:rsidR="00B878C0" w:rsidRPr="00920145">
        <w:rPr>
          <w:rFonts w:ascii="Verdana" w:hAnsi="Verdana" w:cs="Arial"/>
          <w:sz w:val="20"/>
          <w:szCs w:val="20"/>
        </w:rPr>
        <w:t>dolnych statycznych ograniczeń wahań kursów -  kurs odniesienia jest określany według wzoru:</w:t>
      </w:r>
    </w:p>
    <w:p w14:paraId="726BE266" w14:textId="6FF97ECC" w:rsidR="00B878C0" w:rsidRPr="00920145" w:rsidRDefault="00B878C0" w:rsidP="003772D5">
      <w:pPr>
        <w:spacing w:after="120" w:line="360" w:lineRule="auto"/>
        <w:ind w:left="1418"/>
        <w:jc w:val="both"/>
        <w:rPr>
          <w:rFonts w:ascii="Verdana" w:hAnsi="Verdana" w:cs="Arial"/>
          <w:sz w:val="20"/>
          <w:szCs w:val="20"/>
        </w:rPr>
      </w:pPr>
      <w:r w:rsidRPr="00920145">
        <w:rPr>
          <w:rFonts w:ascii="Verdana" w:hAnsi="Verdana" w:cs="Arial"/>
          <w:sz w:val="20"/>
          <w:szCs w:val="20"/>
        </w:rPr>
        <w:t>K – (K – D)</w:t>
      </w:r>
      <w:r w:rsidR="00902382" w:rsidRPr="00920145">
        <w:rPr>
          <w:rFonts w:ascii="Verdana" w:hAnsi="Verdana" w:cs="Arial"/>
          <w:sz w:val="20"/>
          <w:szCs w:val="20"/>
        </w:rPr>
        <w:t xml:space="preserve"> x S</w:t>
      </w:r>
    </w:p>
    <w:p w14:paraId="2FD96368" w14:textId="77777777" w:rsidR="00B878C0" w:rsidRPr="00920145" w:rsidRDefault="00B878C0" w:rsidP="003772D5">
      <w:pPr>
        <w:spacing w:after="120" w:line="360" w:lineRule="auto"/>
        <w:ind w:left="1418"/>
        <w:jc w:val="both"/>
        <w:rPr>
          <w:rFonts w:ascii="Verdana" w:hAnsi="Verdana" w:cs="Arial"/>
          <w:sz w:val="20"/>
          <w:szCs w:val="20"/>
        </w:rPr>
      </w:pPr>
      <w:r w:rsidRPr="00920145">
        <w:rPr>
          <w:rFonts w:ascii="Verdana" w:hAnsi="Verdana" w:cs="Arial"/>
          <w:sz w:val="20"/>
          <w:szCs w:val="20"/>
        </w:rPr>
        <w:t>gdzie:</w:t>
      </w:r>
    </w:p>
    <w:p w14:paraId="41C76C77" w14:textId="77777777" w:rsidR="00B878C0" w:rsidRPr="00920145" w:rsidRDefault="00B878C0" w:rsidP="003772D5">
      <w:pPr>
        <w:spacing w:after="120" w:line="360" w:lineRule="auto"/>
        <w:ind w:left="1418"/>
        <w:jc w:val="both"/>
        <w:rPr>
          <w:rFonts w:ascii="Verdana" w:hAnsi="Verdana" w:cs="Arial"/>
          <w:sz w:val="20"/>
          <w:szCs w:val="20"/>
        </w:rPr>
      </w:pPr>
      <w:r w:rsidRPr="00920145">
        <w:rPr>
          <w:rFonts w:ascii="Verdana" w:hAnsi="Verdana" w:cs="Arial"/>
          <w:sz w:val="20"/>
          <w:szCs w:val="20"/>
        </w:rPr>
        <w:t>K - ostatni kurs odniesienia dla statycznych ograniczeń wahań kursów jaki obowiązywał przed rozpoczęciem równoważenia,</w:t>
      </w:r>
    </w:p>
    <w:p w14:paraId="1A98E959" w14:textId="77777777" w:rsidR="00B878C0" w:rsidRPr="00920145" w:rsidRDefault="00B878C0" w:rsidP="003772D5">
      <w:pPr>
        <w:spacing w:after="120" w:line="360" w:lineRule="auto"/>
        <w:ind w:left="1418"/>
        <w:jc w:val="both"/>
        <w:rPr>
          <w:rFonts w:ascii="Verdana" w:hAnsi="Verdana" w:cs="Arial"/>
          <w:sz w:val="20"/>
          <w:szCs w:val="20"/>
        </w:rPr>
      </w:pPr>
      <w:r w:rsidRPr="00920145">
        <w:rPr>
          <w:rFonts w:ascii="Verdana" w:hAnsi="Verdana" w:cs="Arial"/>
          <w:sz w:val="20"/>
          <w:szCs w:val="20"/>
        </w:rPr>
        <w:t>D - ostatnie dolne statyczne ograniczenie wahań kursów jakie obowiązywały przed rozpoczęciem równoważenia,</w:t>
      </w:r>
    </w:p>
    <w:p w14:paraId="773CC62F" w14:textId="2ED757DE" w:rsidR="00B878C0" w:rsidRPr="00920145" w:rsidRDefault="00902382" w:rsidP="003772D5">
      <w:pPr>
        <w:spacing w:after="120" w:line="360" w:lineRule="auto"/>
        <w:ind w:left="1418"/>
        <w:jc w:val="both"/>
        <w:rPr>
          <w:rFonts w:ascii="Verdana" w:hAnsi="Verdana" w:cs="Arial"/>
          <w:sz w:val="20"/>
          <w:szCs w:val="20"/>
        </w:rPr>
      </w:pPr>
      <w:r w:rsidRPr="00920145">
        <w:rPr>
          <w:rFonts w:ascii="Verdana" w:hAnsi="Verdana" w:cs="Arial"/>
          <w:sz w:val="20"/>
          <w:szCs w:val="20"/>
        </w:rPr>
        <w:t>S</w:t>
      </w:r>
      <w:r w:rsidR="00B878C0" w:rsidRPr="00920145">
        <w:rPr>
          <w:rFonts w:ascii="Verdana" w:hAnsi="Verdana" w:cs="Arial"/>
          <w:sz w:val="20"/>
          <w:szCs w:val="20"/>
        </w:rPr>
        <w:t xml:space="preserve"> - współczynnik przesunięcia kursu odniesienia.</w:t>
      </w:r>
    </w:p>
    <w:p w14:paraId="1ECAAE71" w14:textId="4C080EEC" w:rsidR="00B878C0" w:rsidRPr="00920145" w:rsidRDefault="00B878C0" w:rsidP="00F8716B">
      <w:pPr>
        <w:numPr>
          <w:ilvl w:val="0"/>
          <w:numId w:val="22"/>
        </w:numPr>
        <w:tabs>
          <w:tab w:val="num" w:pos="709"/>
          <w:tab w:val="left" w:pos="993"/>
        </w:tabs>
        <w:spacing w:after="120" w:line="360" w:lineRule="auto"/>
        <w:ind w:left="709" w:firstLine="0"/>
        <w:jc w:val="both"/>
        <w:rPr>
          <w:rFonts w:ascii="Verdana" w:hAnsi="Verdana" w:cs="Arial"/>
          <w:sz w:val="20"/>
          <w:szCs w:val="20"/>
        </w:rPr>
      </w:pPr>
      <w:r w:rsidRPr="00920145">
        <w:rPr>
          <w:rFonts w:ascii="Verdana" w:hAnsi="Verdana" w:cs="Arial"/>
          <w:sz w:val="20"/>
          <w:szCs w:val="20"/>
        </w:rPr>
        <w:t xml:space="preserve">Współczynnik przesunięcia kursu odniesienia, o którym mowa w ust. 8, jest parametrem definiowanym osobno dla danego segmentu notowań, zgodnie </w:t>
      </w:r>
      <w:r w:rsidR="000221D5" w:rsidRPr="00920145">
        <w:rPr>
          <w:rFonts w:ascii="Verdana" w:hAnsi="Verdana" w:cs="Arial"/>
          <w:sz w:val="20"/>
          <w:szCs w:val="20"/>
        </w:rPr>
        <w:br/>
      </w:r>
      <w:r w:rsidRPr="00920145">
        <w:rPr>
          <w:rFonts w:ascii="Verdana" w:hAnsi="Verdana" w:cs="Arial"/>
          <w:sz w:val="20"/>
          <w:szCs w:val="20"/>
        </w:rPr>
        <w:t>z przepisami Rozdziału 8 lub 9.</w:t>
      </w:r>
    </w:p>
    <w:p w14:paraId="6C31591C" w14:textId="3C347E29" w:rsidR="00950E6C" w:rsidRPr="00920145" w:rsidRDefault="00950E6C" w:rsidP="00950E6C">
      <w:pPr>
        <w:tabs>
          <w:tab w:val="left" w:pos="993"/>
        </w:tabs>
        <w:spacing w:after="120" w:line="360" w:lineRule="auto"/>
        <w:ind w:left="709"/>
        <w:jc w:val="both"/>
        <w:rPr>
          <w:rFonts w:ascii="Verdana" w:hAnsi="Verdana" w:cs="Arial"/>
          <w:sz w:val="20"/>
          <w:szCs w:val="20"/>
        </w:rPr>
      </w:pPr>
    </w:p>
    <w:p w14:paraId="44D8AF74" w14:textId="77777777" w:rsidR="00950E6C" w:rsidRPr="00920145" w:rsidRDefault="00950E6C" w:rsidP="00950E6C">
      <w:pPr>
        <w:tabs>
          <w:tab w:val="left" w:pos="993"/>
        </w:tabs>
        <w:spacing w:after="120" w:line="360" w:lineRule="auto"/>
        <w:ind w:left="709"/>
        <w:jc w:val="both"/>
        <w:rPr>
          <w:rFonts w:ascii="Verdana" w:hAnsi="Verdana" w:cs="Arial"/>
          <w:sz w:val="20"/>
          <w:szCs w:val="20"/>
        </w:rPr>
      </w:pPr>
    </w:p>
    <w:p w14:paraId="7D2A7D78" w14:textId="77777777" w:rsidR="00B878C0" w:rsidRPr="00920145" w:rsidRDefault="00B878C0" w:rsidP="00F8716B">
      <w:pPr>
        <w:numPr>
          <w:ilvl w:val="0"/>
          <w:numId w:val="22"/>
        </w:numPr>
        <w:tabs>
          <w:tab w:val="num" w:pos="709"/>
          <w:tab w:val="left" w:pos="993"/>
          <w:tab w:val="left" w:pos="1134"/>
        </w:tabs>
        <w:spacing w:after="120" w:line="360" w:lineRule="auto"/>
        <w:ind w:left="709" w:firstLine="0"/>
        <w:jc w:val="both"/>
        <w:rPr>
          <w:rFonts w:ascii="Verdana" w:hAnsi="Verdana" w:cs="Arial"/>
          <w:sz w:val="20"/>
          <w:szCs w:val="20"/>
        </w:rPr>
      </w:pPr>
      <w:r w:rsidRPr="00920145">
        <w:rPr>
          <w:rFonts w:ascii="Verdana" w:hAnsi="Verdana" w:cs="Arial"/>
          <w:sz w:val="20"/>
          <w:szCs w:val="20"/>
        </w:rPr>
        <w:lastRenderedPageBreak/>
        <w:t>Jeżeli w wyniku równoważenia podstawowego:</w:t>
      </w:r>
    </w:p>
    <w:p w14:paraId="621C63BF" w14:textId="77777777" w:rsidR="00B878C0" w:rsidRPr="00920145" w:rsidRDefault="00B878C0" w:rsidP="00F8716B">
      <w:pPr>
        <w:numPr>
          <w:ilvl w:val="0"/>
          <w:numId w:val="25"/>
        </w:numPr>
        <w:tabs>
          <w:tab w:val="left" w:pos="993"/>
        </w:tabs>
        <w:spacing w:after="120" w:line="360" w:lineRule="auto"/>
        <w:ind w:left="993" w:hanging="284"/>
        <w:jc w:val="both"/>
        <w:rPr>
          <w:rFonts w:ascii="Verdana" w:hAnsi="Verdana" w:cs="Arial"/>
          <w:sz w:val="20"/>
          <w:szCs w:val="20"/>
        </w:rPr>
      </w:pPr>
      <w:r w:rsidRPr="00920145">
        <w:rPr>
          <w:rFonts w:ascii="Verdana" w:hAnsi="Verdana" w:cs="Arial"/>
          <w:sz w:val="20"/>
          <w:szCs w:val="20"/>
        </w:rPr>
        <w:t>zostanie określony kurs zgodnie z zasadami zawartymi w § 134 ust. 2</w:t>
      </w:r>
      <w:r w:rsidRPr="00920145">
        <w:rPr>
          <w:rFonts w:ascii="Verdana" w:hAnsi="Verdana"/>
          <w:b/>
          <w:bCs/>
          <w:color w:val="FF0000"/>
          <w:sz w:val="20"/>
          <w:szCs w:val="20"/>
        </w:rPr>
        <w:t xml:space="preserve"> </w:t>
      </w:r>
      <w:r w:rsidRPr="00920145">
        <w:rPr>
          <w:rFonts w:ascii="Verdana" w:hAnsi="Verdana" w:cs="Arial"/>
          <w:sz w:val="20"/>
          <w:szCs w:val="20"/>
        </w:rPr>
        <w:t xml:space="preserve">Regulaminu Giełdy, który mieści się w statycznych ograniczeniach wahań kursów obowiązujących w trakcie równoważenia podstawowego, wówczas: </w:t>
      </w:r>
    </w:p>
    <w:p w14:paraId="762B79AA" w14:textId="77777777" w:rsidR="00B878C0" w:rsidRPr="00920145" w:rsidRDefault="00B878C0" w:rsidP="000221D5">
      <w:pPr>
        <w:numPr>
          <w:ilvl w:val="2"/>
          <w:numId w:val="23"/>
        </w:numPr>
        <w:spacing w:after="120" w:line="360" w:lineRule="auto"/>
        <w:ind w:left="1276" w:hanging="283"/>
        <w:jc w:val="both"/>
        <w:rPr>
          <w:rFonts w:ascii="Verdana" w:hAnsi="Verdana" w:cs="Arial"/>
          <w:sz w:val="20"/>
          <w:szCs w:val="20"/>
        </w:rPr>
      </w:pPr>
      <w:r w:rsidRPr="00920145">
        <w:rPr>
          <w:rFonts w:ascii="Verdana" w:hAnsi="Verdana"/>
          <w:sz w:val="20"/>
          <w:szCs w:val="20"/>
        </w:rPr>
        <w:t>ogłaszany jest kurs, po którym zostają zawarte transakcje na podstawie złożonych zleceń,</w:t>
      </w:r>
    </w:p>
    <w:p w14:paraId="7CE76272" w14:textId="77777777" w:rsidR="00B878C0" w:rsidRPr="00920145" w:rsidRDefault="00B878C0" w:rsidP="000221D5">
      <w:pPr>
        <w:numPr>
          <w:ilvl w:val="2"/>
          <w:numId w:val="23"/>
        </w:numPr>
        <w:spacing w:after="120" w:line="360" w:lineRule="auto"/>
        <w:ind w:left="1276" w:hanging="283"/>
        <w:jc w:val="both"/>
        <w:rPr>
          <w:rFonts w:ascii="Verdana" w:hAnsi="Verdana" w:cs="Arial"/>
          <w:sz w:val="20"/>
          <w:szCs w:val="20"/>
        </w:rPr>
      </w:pPr>
      <w:r w:rsidRPr="00920145">
        <w:rPr>
          <w:rFonts w:ascii="Verdana" w:hAnsi="Verdana" w:cs="Arial"/>
          <w:sz w:val="20"/>
          <w:szCs w:val="20"/>
        </w:rPr>
        <w:t>następuje wznowienie obrotu,</w:t>
      </w:r>
    </w:p>
    <w:p w14:paraId="53B89AA3" w14:textId="77777777" w:rsidR="00B878C0" w:rsidRPr="00920145" w:rsidRDefault="00B878C0" w:rsidP="000221D5">
      <w:pPr>
        <w:numPr>
          <w:ilvl w:val="2"/>
          <w:numId w:val="23"/>
        </w:numPr>
        <w:spacing w:after="120" w:line="360" w:lineRule="auto"/>
        <w:ind w:left="1276" w:hanging="283"/>
        <w:jc w:val="both"/>
        <w:rPr>
          <w:rFonts w:ascii="Verdana" w:hAnsi="Verdana" w:cs="Arial"/>
          <w:sz w:val="20"/>
          <w:szCs w:val="20"/>
        </w:rPr>
      </w:pPr>
      <w:r w:rsidRPr="00920145">
        <w:rPr>
          <w:rFonts w:ascii="Verdana" w:hAnsi="Verdana" w:cs="Arial"/>
          <w:sz w:val="20"/>
          <w:szCs w:val="20"/>
        </w:rPr>
        <w:t>wyznacza się nowy kurs odniesienia dla statycznych ograniczeń wahań kursów równy kursowi odniesienia dla tych ograniczeń jaki obowiązywał w trakcie równoważenia podstawowego, przy czym jeżeli kurs ustalony w wyniku równoważenia mieści się również w ostatnich statycznych ograniczeniach wahań kursów, jakie obowiązywały przed rozpoczęciem równoważenia podstawowego, wówczas nowy kurs odniesienia równy jest ostatniemu kursowi odniesienia dla statycznych ograniczeń wahań kursów jaki obowiązywał przed rozpoczęciem równoważenia podstawowego;</w:t>
      </w:r>
    </w:p>
    <w:p w14:paraId="6C11365B" w14:textId="0981935D" w:rsidR="00B878C0" w:rsidRPr="00920145" w:rsidRDefault="00B878C0" w:rsidP="00F8716B">
      <w:pPr>
        <w:numPr>
          <w:ilvl w:val="0"/>
          <w:numId w:val="25"/>
        </w:numPr>
        <w:tabs>
          <w:tab w:val="left" w:pos="993"/>
        </w:tabs>
        <w:spacing w:after="120" w:line="360" w:lineRule="auto"/>
        <w:ind w:left="993" w:hanging="284"/>
        <w:jc w:val="both"/>
        <w:rPr>
          <w:rFonts w:ascii="Verdana" w:hAnsi="Verdana" w:cs="Arial"/>
          <w:sz w:val="20"/>
          <w:szCs w:val="20"/>
        </w:rPr>
      </w:pPr>
      <w:r w:rsidRPr="00920145">
        <w:rPr>
          <w:rFonts w:ascii="Verdana" w:hAnsi="Verdana"/>
          <w:sz w:val="20"/>
          <w:szCs w:val="20"/>
        </w:rPr>
        <w:t>powstanie rynek zleceń rozbieżnych (najwyższy limit w zleceniu kupna jest niższy od najniższego limitu zlecenia sprzedaży lub występują wyłącznie zlecenia kupna lub wyłącznie zlecenia sprzedaży lub występuje brak zleceń)</w:t>
      </w:r>
      <w:r w:rsidR="000221D5" w:rsidRPr="00920145">
        <w:rPr>
          <w:rFonts w:ascii="Verdana" w:hAnsi="Verdana"/>
          <w:sz w:val="20"/>
          <w:szCs w:val="20"/>
        </w:rPr>
        <w:t>,</w:t>
      </w:r>
      <w:r w:rsidRPr="00920145">
        <w:rPr>
          <w:rFonts w:ascii="Verdana" w:hAnsi="Verdana"/>
          <w:sz w:val="20"/>
          <w:szCs w:val="20"/>
        </w:rPr>
        <w:t xml:space="preserve"> wówczas:</w:t>
      </w:r>
    </w:p>
    <w:p w14:paraId="6B5F2469" w14:textId="77777777" w:rsidR="00B878C0" w:rsidRPr="00920145" w:rsidRDefault="00B878C0" w:rsidP="000221D5">
      <w:pPr>
        <w:numPr>
          <w:ilvl w:val="0"/>
          <w:numId w:val="26"/>
        </w:numPr>
        <w:spacing w:after="120" w:line="360" w:lineRule="auto"/>
        <w:ind w:left="1418" w:hanging="141"/>
        <w:jc w:val="both"/>
        <w:rPr>
          <w:rFonts w:ascii="Verdana" w:hAnsi="Verdana" w:cs="Arial"/>
          <w:sz w:val="20"/>
          <w:szCs w:val="20"/>
        </w:rPr>
      </w:pPr>
      <w:r w:rsidRPr="00920145">
        <w:rPr>
          <w:rFonts w:ascii="Verdana" w:hAnsi="Verdana" w:cs="Arial"/>
          <w:sz w:val="20"/>
          <w:szCs w:val="20"/>
        </w:rPr>
        <w:t>następuje wznowienie obrotu,</w:t>
      </w:r>
    </w:p>
    <w:p w14:paraId="3C04CAF4" w14:textId="77777777" w:rsidR="00B878C0" w:rsidRPr="00920145" w:rsidRDefault="00B878C0" w:rsidP="000221D5">
      <w:pPr>
        <w:numPr>
          <w:ilvl w:val="0"/>
          <w:numId w:val="26"/>
        </w:numPr>
        <w:spacing w:after="120" w:line="360" w:lineRule="auto"/>
        <w:ind w:left="1418" w:hanging="141"/>
        <w:jc w:val="both"/>
        <w:rPr>
          <w:rFonts w:ascii="Verdana" w:hAnsi="Verdana" w:cs="Arial"/>
          <w:sz w:val="20"/>
          <w:szCs w:val="20"/>
        </w:rPr>
      </w:pPr>
      <w:r w:rsidRPr="00920145">
        <w:rPr>
          <w:rFonts w:ascii="Verdana" w:hAnsi="Verdana" w:cs="Arial"/>
          <w:sz w:val="20"/>
          <w:szCs w:val="20"/>
        </w:rPr>
        <w:t>wyznacza się nowy kurs odniesienia dla statycznych ograniczeń wahań kursów równy ostatniemu kursowi odniesienia dla tych ograniczeń jaki obowiązywał przed rozpoczęciem równoważenia podstawowego;</w:t>
      </w:r>
    </w:p>
    <w:p w14:paraId="1EEAC165" w14:textId="77777777" w:rsidR="00B878C0" w:rsidRPr="00920145" w:rsidRDefault="00B878C0" w:rsidP="00F8716B">
      <w:pPr>
        <w:numPr>
          <w:ilvl w:val="0"/>
          <w:numId w:val="25"/>
        </w:numPr>
        <w:tabs>
          <w:tab w:val="left" w:pos="993"/>
        </w:tabs>
        <w:spacing w:after="120" w:line="360" w:lineRule="auto"/>
        <w:ind w:left="993" w:hanging="284"/>
        <w:jc w:val="both"/>
        <w:rPr>
          <w:rFonts w:ascii="Verdana" w:hAnsi="Verdana" w:cs="Arial"/>
          <w:sz w:val="20"/>
          <w:szCs w:val="20"/>
        </w:rPr>
      </w:pPr>
      <w:r w:rsidRPr="00920145">
        <w:rPr>
          <w:rFonts w:ascii="Verdana" w:hAnsi="Verdana" w:cs="Arial"/>
          <w:sz w:val="20"/>
          <w:szCs w:val="20"/>
        </w:rPr>
        <w:t xml:space="preserve">zostanie określony kurs zgodnie z zasadami zawartymi w § 134 ust. 2 Regulaminu Giełdy, który nie mieści się w statycznych ograniczeniach wahań kursów obowiązujących w trakcie równoważenia podstawowego, wówczas rozpoczyna się równoważenie dodatkowe. </w:t>
      </w:r>
    </w:p>
    <w:p w14:paraId="2F09EF7F" w14:textId="77777777" w:rsidR="00B878C0" w:rsidRPr="00920145" w:rsidRDefault="00B878C0" w:rsidP="00C21762">
      <w:pPr>
        <w:numPr>
          <w:ilvl w:val="0"/>
          <w:numId w:val="22"/>
        </w:numPr>
        <w:tabs>
          <w:tab w:val="left" w:pos="1134"/>
        </w:tabs>
        <w:spacing w:after="120" w:line="360" w:lineRule="auto"/>
        <w:ind w:hanging="681"/>
        <w:jc w:val="both"/>
        <w:rPr>
          <w:rFonts w:ascii="Verdana" w:hAnsi="Verdana" w:cs="Arial"/>
          <w:sz w:val="20"/>
          <w:szCs w:val="20"/>
        </w:rPr>
      </w:pPr>
      <w:r w:rsidRPr="00920145">
        <w:rPr>
          <w:rFonts w:ascii="Verdana" w:hAnsi="Verdana" w:cs="Arial"/>
          <w:sz w:val="20"/>
          <w:szCs w:val="20"/>
        </w:rPr>
        <w:t>W trakcie równoważenia dodatkowego przewodniczący sesji może:</w:t>
      </w:r>
    </w:p>
    <w:p w14:paraId="2B35B0A2" w14:textId="77777777" w:rsidR="00B878C0" w:rsidRPr="00920145" w:rsidRDefault="00B878C0" w:rsidP="00F8716B">
      <w:pPr>
        <w:numPr>
          <w:ilvl w:val="0"/>
          <w:numId w:val="27"/>
        </w:numPr>
        <w:tabs>
          <w:tab w:val="left" w:pos="1134"/>
        </w:tabs>
        <w:spacing w:after="120" w:line="360" w:lineRule="auto"/>
        <w:ind w:hanging="48"/>
        <w:jc w:val="both"/>
        <w:rPr>
          <w:rFonts w:ascii="Verdana" w:hAnsi="Verdana" w:cs="Arial"/>
          <w:sz w:val="20"/>
          <w:szCs w:val="20"/>
        </w:rPr>
      </w:pPr>
      <w:r w:rsidRPr="00920145">
        <w:rPr>
          <w:rFonts w:ascii="Verdana" w:hAnsi="Verdana" w:cs="Arial"/>
          <w:sz w:val="20"/>
          <w:szCs w:val="20"/>
        </w:rPr>
        <w:t>w sytuacji powstania rynku zleceń rozbieżnych:</w:t>
      </w:r>
    </w:p>
    <w:p w14:paraId="45C5F3FE" w14:textId="77777777" w:rsidR="00B878C0" w:rsidRPr="00920145" w:rsidRDefault="00B878C0" w:rsidP="000221D5">
      <w:pPr>
        <w:numPr>
          <w:ilvl w:val="0"/>
          <w:numId w:val="28"/>
        </w:numPr>
        <w:spacing w:after="120" w:line="360" w:lineRule="auto"/>
        <w:ind w:left="1418" w:hanging="141"/>
        <w:jc w:val="both"/>
        <w:rPr>
          <w:rFonts w:ascii="Verdana" w:hAnsi="Verdana" w:cs="Arial"/>
          <w:sz w:val="20"/>
          <w:szCs w:val="20"/>
        </w:rPr>
      </w:pPr>
      <w:r w:rsidRPr="00920145">
        <w:rPr>
          <w:rFonts w:ascii="Verdana" w:hAnsi="Verdana" w:cs="Arial"/>
          <w:sz w:val="20"/>
          <w:szCs w:val="20"/>
        </w:rPr>
        <w:t>wznowić obrót,</w:t>
      </w:r>
    </w:p>
    <w:p w14:paraId="562E3981" w14:textId="77777777" w:rsidR="00B878C0" w:rsidRPr="00920145" w:rsidRDefault="00B878C0" w:rsidP="000221D5">
      <w:pPr>
        <w:numPr>
          <w:ilvl w:val="0"/>
          <w:numId w:val="28"/>
        </w:numPr>
        <w:spacing w:after="120" w:line="360" w:lineRule="auto"/>
        <w:ind w:left="1418" w:hanging="141"/>
        <w:jc w:val="both"/>
        <w:rPr>
          <w:rFonts w:ascii="Verdana" w:hAnsi="Verdana" w:cs="Arial"/>
          <w:sz w:val="20"/>
          <w:szCs w:val="20"/>
        </w:rPr>
      </w:pPr>
      <w:r w:rsidRPr="00920145">
        <w:rPr>
          <w:rFonts w:ascii="Verdana" w:hAnsi="Verdana" w:cs="Arial"/>
          <w:sz w:val="20"/>
          <w:szCs w:val="20"/>
        </w:rPr>
        <w:t>wyznaczyć nowy kurs odniesienia dla statycznych ograniczeń wahań kursów równy ostatniemu kursowi odniesienia dla tych ograniczeń jaki obowiązywał przed rozpoczęciem równoważenia podstawowego;</w:t>
      </w:r>
    </w:p>
    <w:p w14:paraId="4660E8B9" w14:textId="1A797A0E" w:rsidR="00B878C0" w:rsidRPr="00920145" w:rsidRDefault="00B878C0" w:rsidP="00F8716B">
      <w:pPr>
        <w:numPr>
          <w:ilvl w:val="0"/>
          <w:numId w:val="27"/>
        </w:numPr>
        <w:tabs>
          <w:tab w:val="left" w:pos="993"/>
        </w:tabs>
        <w:spacing w:after="120" w:line="360" w:lineRule="auto"/>
        <w:ind w:left="993" w:hanging="284"/>
        <w:jc w:val="both"/>
        <w:rPr>
          <w:rFonts w:ascii="Verdana" w:hAnsi="Verdana" w:cs="Arial"/>
          <w:sz w:val="20"/>
          <w:szCs w:val="20"/>
        </w:rPr>
      </w:pPr>
      <w:r w:rsidRPr="00920145">
        <w:rPr>
          <w:rFonts w:ascii="Verdana" w:hAnsi="Verdana" w:cs="Arial"/>
          <w:sz w:val="20"/>
          <w:szCs w:val="20"/>
        </w:rPr>
        <w:lastRenderedPageBreak/>
        <w:t>w sytuacji określenia w trakcie równoważenia dodatkowego kursu zgodnie z zasadami zawartymi w § 134 ust. 2 Regulaminu Giełdy:</w:t>
      </w:r>
    </w:p>
    <w:p w14:paraId="0ECCD967" w14:textId="77777777" w:rsidR="00B878C0" w:rsidRPr="00920145" w:rsidRDefault="00B878C0" w:rsidP="000221D5">
      <w:pPr>
        <w:numPr>
          <w:ilvl w:val="0"/>
          <w:numId w:val="29"/>
        </w:numPr>
        <w:spacing w:after="120" w:line="360" w:lineRule="auto"/>
        <w:ind w:left="1418"/>
        <w:jc w:val="both"/>
        <w:rPr>
          <w:rFonts w:ascii="Verdana" w:hAnsi="Verdana" w:cs="Arial"/>
          <w:sz w:val="20"/>
          <w:szCs w:val="20"/>
        </w:rPr>
      </w:pPr>
      <w:r w:rsidRPr="00920145">
        <w:rPr>
          <w:rFonts w:ascii="Verdana" w:hAnsi="Verdana" w:cs="Arial"/>
          <w:sz w:val="20"/>
          <w:szCs w:val="20"/>
        </w:rPr>
        <w:t>ogłosić kurs, po którym zostają zawarte transakcje na podstawie złożonych zleceń, przy czym jeżeli kurs ten nie mieści się w obowiązujących statycznych ograniczeniach wahań kursów przewodniczący sesji ma prawo je zmienić tak aby kurs ten mieścił się w tych ograniczeniach,</w:t>
      </w:r>
    </w:p>
    <w:p w14:paraId="63BCEFE0" w14:textId="77777777" w:rsidR="00B878C0" w:rsidRPr="00920145" w:rsidRDefault="00B878C0" w:rsidP="000221D5">
      <w:pPr>
        <w:numPr>
          <w:ilvl w:val="0"/>
          <w:numId w:val="29"/>
        </w:numPr>
        <w:spacing w:after="120" w:line="360" w:lineRule="auto"/>
        <w:ind w:left="1418"/>
        <w:jc w:val="both"/>
        <w:rPr>
          <w:rFonts w:ascii="Verdana" w:hAnsi="Verdana" w:cs="Arial"/>
          <w:sz w:val="20"/>
          <w:szCs w:val="20"/>
        </w:rPr>
      </w:pPr>
      <w:r w:rsidRPr="00920145">
        <w:rPr>
          <w:rFonts w:ascii="Verdana" w:hAnsi="Verdana" w:cs="Arial"/>
          <w:sz w:val="20"/>
          <w:szCs w:val="20"/>
        </w:rPr>
        <w:t>wznowić obrót,</w:t>
      </w:r>
    </w:p>
    <w:p w14:paraId="624B4BB3" w14:textId="1B1CE77E" w:rsidR="00B878C0" w:rsidRPr="00920145" w:rsidRDefault="00B878C0" w:rsidP="000221D5">
      <w:pPr>
        <w:numPr>
          <w:ilvl w:val="0"/>
          <w:numId w:val="29"/>
        </w:numPr>
        <w:spacing w:after="120" w:line="360" w:lineRule="auto"/>
        <w:ind w:left="1418"/>
        <w:jc w:val="both"/>
        <w:rPr>
          <w:rFonts w:ascii="Verdana" w:hAnsi="Verdana" w:cs="Arial"/>
          <w:sz w:val="20"/>
          <w:szCs w:val="20"/>
        </w:rPr>
      </w:pPr>
      <w:r w:rsidRPr="00920145">
        <w:rPr>
          <w:rFonts w:ascii="Verdana" w:hAnsi="Verdana" w:cs="Arial"/>
          <w:sz w:val="20"/>
          <w:szCs w:val="20"/>
        </w:rPr>
        <w:t>wyznaczyć nowy kurs odniesienia dla statycznych ograniczeń wahań kursów równy ostatniemu kursowi odniesienia dla tych ograniczeń, jaki obowiązywał w trakcie równoważenia dodatkowego, przy czym jeżeli kurs ustalony w wyniku równoważenia mieści się również w ostatnich statycznych ograniczeniach wahań kursów, jakie obowiązywały przed rozpoczęciem równoważenia podstawowego lub jakie obowiązywały przed rozpoczęciem równoważenia dodatkowego w przypadku jeżeli równoważenie rozpoczyna się od równoważenia dodatkowego (z pominięciem równoważenia podstawowego), wówczas nowy kurs odniesienia dla statycznych ograniczeń wahań kursów równy jest ostatniemu kursowi odniesienia dla tych ograniczeń, jaki obowiązywał przed rozpoczęciem odpowiednio równoważenia podstawowego lub równoważenia dodatkowego;</w:t>
      </w:r>
    </w:p>
    <w:p w14:paraId="7DA3FE5F" w14:textId="77777777" w:rsidR="00B878C0" w:rsidRPr="00920145" w:rsidRDefault="00B878C0" w:rsidP="00F8716B">
      <w:pPr>
        <w:numPr>
          <w:ilvl w:val="0"/>
          <w:numId w:val="27"/>
        </w:numPr>
        <w:tabs>
          <w:tab w:val="left" w:pos="993"/>
        </w:tabs>
        <w:spacing w:after="120" w:line="360" w:lineRule="auto"/>
        <w:ind w:left="993" w:hanging="284"/>
        <w:jc w:val="both"/>
        <w:rPr>
          <w:rFonts w:ascii="Verdana" w:hAnsi="Verdana" w:cs="Arial"/>
          <w:sz w:val="20"/>
          <w:szCs w:val="20"/>
        </w:rPr>
      </w:pPr>
      <w:r w:rsidRPr="00920145">
        <w:rPr>
          <w:rFonts w:ascii="Verdana" w:hAnsi="Verdana" w:cs="Arial"/>
          <w:sz w:val="20"/>
          <w:szCs w:val="20"/>
        </w:rPr>
        <w:t xml:space="preserve">zakończyć notowanie bez ogłaszania kursu otwarcia - w przypadku równoważenia dodatkowego na zakończenie fazy aukcji otwarcia; </w:t>
      </w:r>
    </w:p>
    <w:p w14:paraId="17627561" w14:textId="64EAFD40" w:rsidR="00B878C0" w:rsidRPr="00920145" w:rsidRDefault="00B878C0" w:rsidP="00F8716B">
      <w:pPr>
        <w:numPr>
          <w:ilvl w:val="0"/>
          <w:numId w:val="27"/>
        </w:numPr>
        <w:tabs>
          <w:tab w:val="left" w:pos="993"/>
        </w:tabs>
        <w:spacing w:after="120" w:line="360" w:lineRule="auto"/>
        <w:ind w:left="993" w:hanging="284"/>
        <w:jc w:val="both"/>
        <w:rPr>
          <w:rFonts w:ascii="Verdana" w:hAnsi="Verdana" w:cs="Arial"/>
          <w:sz w:val="20"/>
          <w:szCs w:val="20"/>
        </w:rPr>
      </w:pPr>
      <w:r w:rsidRPr="00920145">
        <w:rPr>
          <w:rFonts w:ascii="Verdana" w:hAnsi="Verdana" w:cs="Arial"/>
          <w:sz w:val="20"/>
          <w:szCs w:val="20"/>
        </w:rPr>
        <w:t>zakończyć notowanie i ogłosić kurs zamknięcia równy kursowi ostatniej transakcji lub ostatniemu kursowi zamknięcia - w przypadku równoważenia dodatkowego na zakończenie fazy aukcji zamknięcia.</w:t>
      </w:r>
    </w:p>
    <w:p w14:paraId="373DCF40" w14:textId="77777777" w:rsidR="00B878C0" w:rsidRPr="00920145" w:rsidRDefault="00B878C0" w:rsidP="00F8716B">
      <w:pPr>
        <w:numPr>
          <w:ilvl w:val="0"/>
          <w:numId w:val="22"/>
        </w:numPr>
        <w:tabs>
          <w:tab w:val="left" w:pos="1134"/>
        </w:tabs>
        <w:spacing w:after="120" w:line="360" w:lineRule="auto"/>
        <w:ind w:left="709" w:firstLine="0"/>
        <w:jc w:val="both"/>
        <w:rPr>
          <w:rFonts w:ascii="Verdana" w:hAnsi="Verdana" w:cs="Arial"/>
          <w:sz w:val="20"/>
          <w:szCs w:val="20"/>
        </w:rPr>
      </w:pPr>
      <w:r w:rsidRPr="00920145">
        <w:rPr>
          <w:rFonts w:ascii="Verdana" w:hAnsi="Verdana" w:cs="Arial"/>
          <w:sz w:val="20"/>
          <w:szCs w:val="20"/>
        </w:rPr>
        <w:t>Jeżeli równoważenie, o którym mowa w ust. 10-11, miało miejsce w fazie aukcji otwarcia/fazie aukcji zamknięcia wówczas kurs, po którym zostają zawarte transakcje o którym mowa w ust. 10-11, staje się odpowiednio kursem otwarcia/kursem zamknięcia.</w:t>
      </w:r>
    </w:p>
    <w:p w14:paraId="594488E4" w14:textId="21900BF1" w:rsidR="00B878C0" w:rsidRPr="00920145" w:rsidRDefault="00B878C0" w:rsidP="00F8716B">
      <w:pPr>
        <w:numPr>
          <w:ilvl w:val="0"/>
          <w:numId w:val="22"/>
        </w:numPr>
        <w:tabs>
          <w:tab w:val="num" w:pos="851"/>
          <w:tab w:val="left" w:pos="1134"/>
        </w:tabs>
        <w:spacing w:after="120" w:line="360" w:lineRule="auto"/>
        <w:ind w:left="709" w:firstLine="0"/>
        <w:jc w:val="both"/>
        <w:rPr>
          <w:rFonts w:ascii="Verdana" w:hAnsi="Verdana" w:cs="Arial"/>
          <w:sz w:val="20"/>
          <w:szCs w:val="20"/>
        </w:rPr>
      </w:pPr>
      <w:r w:rsidRPr="00920145">
        <w:rPr>
          <w:rFonts w:ascii="Verdana" w:hAnsi="Verdana" w:cs="Arial"/>
          <w:sz w:val="20"/>
          <w:szCs w:val="20"/>
        </w:rPr>
        <w:t>Przepisy Rozdziału 8 lub 9 określają współczynnik maksymalnej liczby zmian netto statycznych ograniczeń wahań kursów, które następują w ramach równoważenia podstawowego. W przypadku jeżeli na danej sesji giełdowej liczba tych zmian na danym instrumencie osiągnie maksymalną wartość tego współczynnika wówczas kolejne równoważenia na tej sesji dla danego instrumentu przeprowadza się z pominięciem równoważenia podstawowego.</w:t>
      </w:r>
    </w:p>
    <w:p w14:paraId="354466F9" w14:textId="42283E10" w:rsidR="00B878C0" w:rsidRPr="00920145" w:rsidRDefault="00B878C0" w:rsidP="00F8716B">
      <w:pPr>
        <w:numPr>
          <w:ilvl w:val="0"/>
          <w:numId w:val="22"/>
        </w:numPr>
        <w:tabs>
          <w:tab w:val="num" w:pos="851"/>
          <w:tab w:val="left" w:pos="1134"/>
        </w:tabs>
        <w:spacing w:after="120" w:line="360" w:lineRule="auto"/>
        <w:ind w:left="709" w:firstLine="0"/>
        <w:jc w:val="both"/>
        <w:rPr>
          <w:rFonts w:ascii="Verdana" w:hAnsi="Verdana" w:cs="Arial"/>
          <w:sz w:val="20"/>
          <w:szCs w:val="20"/>
        </w:rPr>
      </w:pPr>
      <w:r w:rsidRPr="00920145">
        <w:rPr>
          <w:rFonts w:ascii="Verdana" w:hAnsi="Verdana" w:cs="Arial"/>
          <w:sz w:val="20"/>
          <w:szCs w:val="20"/>
        </w:rPr>
        <w:lastRenderedPageBreak/>
        <w:t>W przypadku jeżeli na danej sesji giełdowej na danym instrumencie nastąpi przejście z równoważenia podstawowego w równoważenie dodatkowe wówczas kolejne równoważenia na tej sesji dla danego instrumentu przeprowadza się z pominięciem równoważenia podstawowego niezależnie od osiągnięcia na tym instrumencie współczynnika maksymalnej liczby zmian netto statycznych ograniczeń wahań kursów.</w:t>
      </w:r>
    </w:p>
    <w:p w14:paraId="1C2F37A0" w14:textId="77777777" w:rsidR="00B878C0" w:rsidRPr="00920145" w:rsidRDefault="00B878C0" w:rsidP="00F8716B">
      <w:pPr>
        <w:numPr>
          <w:ilvl w:val="0"/>
          <w:numId w:val="22"/>
        </w:numPr>
        <w:tabs>
          <w:tab w:val="num" w:pos="851"/>
          <w:tab w:val="left" w:pos="1134"/>
        </w:tabs>
        <w:spacing w:after="120" w:line="360" w:lineRule="auto"/>
        <w:ind w:left="709" w:firstLine="0"/>
        <w:jc w:val="both"/>
        <w:rPr>
          <w:rFonts w:ascii="Verdana" w:hAnsi="Verdana" w:cs="Arial"/>
          <w:sz w:val="20"/>
          <w:szCs w:val="20"/>
        </w:rPr>
      </w:pPr>
      <w:r w:rsidRPr="00920145">
        <w:rPr>
          <w:rFonts w:ascii="Verdana" w:hAnsi="Verdana" w:cs="Arial"/>
          <w:sz w:val="20"/>
          <w:szCs w:val="20"/>
        </w:rPr>
        <w:t>Wykorzystanie współczynnika maksymalnej liczby zmian netto statycznych ograniczeń wahań kursów na danej sesji dla danego instrumentu oblicza się jako wartość bezwzględną liczby zmian statycznych ograniczeń wahań kursów, które następują w ramach równoważenia podstawowego, gdzie:</w:t>
      </w:r>
    </w:p>
    <w:p w14:paraId="5A75AE72" w14:textId="427B39C4" w:rsidR="00B878C0" w:rsidRPr="00920145" w:rsidRDefault="00B878C0" w:rsidP="00785EAD">
      <w:pPr>
        <w:pStyle w:val="Akapitzlist"/>
        <w:numPr>
          <w:ilvl w:val="2"/>
          <w:numId w:val="22"/>
        </w:numPr>
        <w:spacing w:after="120" w:line="360" w:lineRule="auto"/>
        <w:ind w:left="1134"/>
        <w:jc w:val="both"/>
        <w:rPr>
          <w:rFonts w:ascii="Verdana" w:hAnsi="Verdana" w:cs="Arial"/>
          <w:sz w:val="20"/>
          <w:szCs w:val="20"/>
        </w:rPr>
      </w:pPr>
      <w:r w:rsidRPr="00920145">
        <w:rPr>
          <w:rFonts w:ascii="Verdana" w:hAnsi="Verdana" w:cs="Arial"/>
          <w:sz w:val="20"/>
          <w:szCs w:val="20"/>
        </w:rPr>
        <w:t>każda zmiana statycznych ograniczeń wahań kursów, która zwiększa wartość tych ograniczeń jest ujmowana w kalkulacji współczynnika jako wzrost o 1 liczby zmian statycznych ograniczeń wahań kursów,</w:t>
      </w:r>
    </w:p>
    <w:p w14:paraId="6FB22387" w14:textId="49FA600A" w:rsidR="00B878C0" w:rsidRPr="00920145" w:rsidRDefault="00B878C0" w:rsidP="00785EAD">
      <w:pPr>
        <w:pStyle w:val="Akapitzlist"/>
        <w:numPr>
          <w:ilvl w:val="2"/>
          <w:numId w:val="22"/>
        </w:numPr>
        <w:spacing w:after="240" w:line="360" w:lineRule="auto"/>
        <w:ind w:left="1134"/>
        <w:jc w:val="both"/>
        <w:rPr>
          <w:rFonts w:ascii="Verdana" w:hAnsi="Verdana" w:cs="Arial"/>
          <w:sz w:val="20"/>
          <w:szCs w:val="20"/>
        </w:rPr>
      </w:pPr>
      <w:r w:rsidRPr="00920145">
        <w:rPr>
          <w:rFonts w:ascii="Verdana" w:hAnsi="Verdana" w:cs="Arial"/>
          <w:sz w:val="20"/>
          <w:szCs w:val="20"/>
        </w:rPr>
        <w:t>każda zmiana statycznych ograniczeń wahań kursów, która zmniejsza wartość tych ograniczeń jest ujmowana w kalkulacji współczynnika jako spadek o 1 liczby zmian statycznych ograniczeń wahań kursów.”</w:t>
      </w:r>
      <w:r w:rsidR="00042BED" w:rsidRPr="00920145">
        <w:rPr>
          <w:rFonts w:ascii="Verdana" w:hAnsi="Verdana" w:cs="Arial"/>
          <w:sz w:val="20"/>
          <w:szCs w:val="20"/>
        </w:rPr>
        <w:t>;</w:t>
      </w:r>
    </w:p>
    <w:p w14:paraId="0F4EE5EB" w14:textId="080510DA" w:rsidR="00B878C0" w:rsidRPr="00920145" w:rsidRDefault="00042BED" w:rsidP="008362AE">
      <w:pPr>
        <w:pStyle w:val="Nagwek3"/>
      </w:pPr>
      <w:r w:rsidRPr="00920145">
        <w:t>uchyla się §</w:t>
      </w:r>
      <w:r w:rsidR="00525B16" w:rsidRPr="00920145">
        <w:t xml:space="preserve">§ </w:t>
      </w:r>
      <w:r w:rsidRPr="00920145">
        <w:t xml:space="preserve">60 </w:t>
      </w:r>
      <w:r w:rsidR="0049103E" w:rsidRPr="00920145">
        <w:t>–</w:t>
      </w:r>
      <w:r w:rsidRPr="00920145">
        <w:t xml:space="preserve"> 62</w:t>
      </w:r>
      <w:r w:rsidR="0049103E" w:rsidRPr="00920145">
        <w:t>;</w:t>
      </w:r>
    </w:p>
    <w:p w14:paraId="3BEF4673" w14:textId="7B7408EE" w:rsidR="0049103E" w:rsidRPr="00920145" w:rsidRDefault="0049103E" w:rsidP="008362AE">
      <w:pPr>
        <w:pStyle w:val="Nagwek3"/>
      </w:pPr>
      <w:r w:rsidRPr="00920145">
        <w:t>§ 63 otrzymuje brzmienie:</w:t>
      </w:r>
    </w:p>
    <w:p w14:paraId="2D879B22" w14:textId="6F96E6A6" w:rsidR="0049103E" w:rsidRPr="00920145" w:rsidRDefault="0049103E" w:rsidP="00E279C5">
      <w:pPr>
        <w:pStyle w:val="Akapitzlist"/>
        <w:tabs>
          <w:tab w:val="left" w:pos="851"/>
        </w:tabs>
        <w:spacing w:after="120" w:line="360" w:lineRule="auto"/>
        <w:ind w:left="709"/>
        <w:contextualSpacing w:val="0"/>
        <w:jc w:val="both"/>
        <w:rPr>
          <w:rFonts w:ascii="Verdana" w:hAnsi="Verdana"/>
          <w:sz w:val="20"/>
          <w:szCs w:val="20"/>
        </w:rPr>
      </w:pPr>
      <w:r w:rsidRPr="00920145">
        <w:rPr>
          <w:rFonts w:ascii="Verdana" w:hAnsi="Verdana"/>
          <w:sz w:val="20"/>
          <w:szCs w:val="20"/>
        </w:rPr>
        <w:t>„§ 63</w:t>
      </w:r>
    </w:p>
    <w:p w14:paraId="2D53F509" w14:textId="77777777" w:rsidR="00D4145C" w:rsidRPr="00920145" w:rsidRDefault="00D4145C" w:rsidP="00E279C5">
      <w:pPr>
        <w:pStyle w:val="Akapitzlist"/>
        <w:numPr>
          <w:ilvl w:val="0"/>
          <w:numId w:val="30"/>
        </w:numPr>
        <w:tabs>
          <w:tab w:val="clear" w:pos="397"/>
          <w:tab w:val="num" w:pos="851"/>
          <w:tab w:val="left" w:pos="993"/>
        </w:tabs>
        <w:spacing w:after="120" w:line="360" w:lineRule="auto"/>
        <w:ind w:left="709" w:firstLine="0"/>
        <w:contextualSpacing w:val="0"/>
        <w:jc w:val="both"/>
        <w:rPr>
          <w:rFonts w:ascii="Verdana" w:hAnsi="Verdana" w:cs="Arial"/>
          <w:sz w:val="20"/>
          <w:szCs w:val="18"/>
        </w:rPr>
      </w:pPr>
      <w:r w:rsidRPr="00920145">
        <w:rPr>
          <w:rFonts w:ascii="Verdana" w:hAnsi="Verdana" w:cs="Arial"/>
          <w:sz w:val="20"/>
          <w:szCs w:val="18"/>
        </w:rPr>
        <w:t>W systemie notowań ciągłych przeprowadza się równoważenie w sytuacji naruszenia dynamicznych ograniczeń wahań kursów, które uznaje się, że zachodzi jeżeli:</w:t>
      </w:r>
    </w:p>
    <w:p w14:paraId="08EC261A" w14:textId="77777777" w:rsidR="00D4145C" w:rsidRPr="00920145" w:rsidRDefault="00D4145C" w:rsidP="00F8716B">
      <w:pPr>
        <w:pStyle w:val="Akapitzlist"/>
        <w:numPr>
          <w:ilvl w:val="0"/>
          <w:numId w:val="37"/>
        </w:numPr>
        <w:tabs>
          <w:tab w:val="left" w:pos="993"/>
        </w:tabs>
        <w:spacing w:after="120" w:line="360" w:lineRule="auto"/>
        <w:ind w:left="993" w:hanging="284"/>
        <w:contextualSpacing w:val="0"/>
        <w:jc w:val="both"/>
        <w:rPr>
          <w:rFonts w:ascii="Verdana" w:hAnsi="Verdana" w:cs="Arial"/>
          <w:sz w:val="20"/>
          <w:szCs w:val="18"/>
        </w:rPr>
      </w:pPr>
      <w:r w:rsidRPr="00920145">
        <w:rPr>
          <w:rFonts w:ascii="Verdana" w:hAnsi="Verdana" w:cs="Arial"/>
          <w:sz w:val="20"/>
          <w:szCs w:val="18"/>
        </w:rPr>
        <w:t>w chwili zakończenia fazy aukcji otwarcia/fazy aukcji zamknięcia teoretyczny kurs otwarcia (TKO) wykracza poza obowiązujące dynamiczne ograniczenia wahań kursów,</w:t>
      </w:r>
    </w:p>
    <w:p w14:paraId="667E6007" w14:textId="77777777" w:rsidR="00D4145C" w:rsidRPr="00920145" w:rsidRDefault="00D4145C" w:rsidP="00F8716B">
      <w:pPr>
        <w:pStyle w:val="Akapitzlist"/>
        <w:numPr>
          <w:ilvl w:val="0"/>
          <w:numId w:val="37"/>
        </w:numPr>
        <w:tabs>
          <w:tab w:val="left" w:pos="993"/>
        </w:tabs>
        <w:spacing w:after="120" w:line="360" w:lineRule="auto"/>
        <w:ind w:left="993" w:hanging="284"/>
        <w:contextualSpacing w:val="0"/>
        <w:jc w:val="both"/>
        <w:rPr>
          <w:rFonts w:ascii="Verdana" w:hAnsi="Verdana" w:cs="Arial"/>
          <w:sz w:val="20"/>
          <w:szCs w:val="18"/>
        </w:rPr>
      </w:pPr>
      <w:r w:rsidRPr="00920145">
        <w:rPr>
          <w:rFonts w:ascii="Verdana" w:hAnsi="Verdana" w:cs="Arial"/>
          <w:sz w:val="20"/>
          <w:szCs w:val="18"/>
        </w:rPr>
        <w:t>w trakcie fazy notowań ciągłych zostanie złożone zlecenie, którego realizacja skutkowałaby zawarciem transakcji po kursie wykraczającym poza obowiązujące dynamiczne ograniczenia wahań kursów.</w:t>
      </w:r>
    </w:p>
    <w:p w14:paraId="1936C94F" w14:textId="446E0476" w:rsidR="00D4145C" w:rsidRPr="00920145" w:rsidRDefault="00D4145C" w:rsidP="00F8716B">
      <w:pPr>
        <w:pStyle w:val="Akapitzlist"/>
        <w:numPr>
          <w:ilvl w:val="0"/>
          <w:numId w:val="30"/>
        </w:numPr>
        <w:tabs>
          <w:tab w:val="clear" w:pos="397"/>
          <w:tab w:val="num" w:pos="709"/>
          <w:tab w:val="left" w:pos="993"/>
        </w:tabs>
        <w:spacing w:after="120" w:line="360" w:lineRule="auto"/>
        <w:ind w:left="709" w:firstLine="0"/>
        <w:contextualSpacing w:val="0"/>
        <w:jc w:val="both"/>
        <w:rPr>
          <w:rFonts w:ascii="Verdana" w:hAnsi="Verdana" w:cs="Arial"/>
          <w:sz w:val="20"/>
          <w:szCs w:val="18"/>
        </w:rPr>
      </w:pPr>
      <w:r w:rsidRPr="00920145">
        <w:rPr>
          <w:rFonts w:ascii="Verdana" w:hAnsi="Verdana" w:cs="Arial"/>
          <w:sz w:val="20"/>
          <w:szCs w:val="18"/>
        </w:rPr>
        <w:t>Zlecenie, o którym mowa w ust. 1 pkt 2), jest realizowane w granicach dynamicznych ograniczeń wahań kursów, a jego niezrealizowana część pozostaje w arkuszu zleceń na okres równoważenia.</w:t>
      </w:r>
    </w:p>
    <w:p w14:paraId="65D58A3A" w14:textId="1D6504E7" w:rsidR="00D4145C" w:rsidRPr="00920145" w:rsidRDefault="00D4145C" w:rsidP="00F8716B">
      <w:pPr>
        <w:pStyle w:val="Akapitzlist"/>
        <w:numPr>
          <w:ilvl w:val="0"/>
          <w:numId w:val="30"/>
        </w:numPr>
        <w:tabs>
          <w:tab w:val="clear" w:pos="397"/>
          <w:tab w:val="num" w:pos="709"/>
          <w:tab w:val="left" w:pos="993"/>
        </w:tabs>
        <w:spacing w:after="120" w:line="360" w:lineRule="auto"/>
        <w:ind w:left="709" w:firstLine="0"/>
        <w:contextualSpacing w:val="0"/>
        <w:jc w:val="both"/>
        <w:rPr>
          <w:rFonts w:ascii="Verdana" w:hAnsi="Verdana" w:cs="Arial"/>
          <w:sz w:val="20"/>
          <w:szCs w:val="18"/>
        </w:rPr>
      </w:pPr>
      <w:r w:rsidRPr="00920145">
        <w:rPr>
          <w:rFonts w:ascii="Verdana" w:hAnsi="Verdana" w:cs="Arial"/>
          <w:sz w:val="20"/>
          <w:szCs w:val="18"/>
        </w:rPr>
        <w:t>W trakcie równoważenia członkowie giełdy mogą składać, modyfikować i anulować zlecenia maklerskie.</w:t>
      </w:r>
    </w:p>
    <w:p w14:paraId="4C24CB8E" w14:textId="55D876D2" w:rsidR="00D4145C" w:rsidRPr="00920145" w:rsidRDefault="00D4145C" w:rsidP="00F8716B">
      <w:pPr>
        <w:pStyle w:val="Akapitzlist"/>
        <w:numPr>
          <w:ilvl w:val="0"/>
          <w:numId w:val="30"/>
        </w:numPr>
        <w:tabs>
          <w:tab w:val="clear" w:pos="397"/>
          <w:tab w:val="num" w:pos="709"/>
          <w:tab w:val="left" w:pos="993"/>
        </w:tabs>
        <w:spacing w:after="120" w:line="360" w:lineRule="auto"/>
        <w:ind w:left="709" w:firstLine="0"/>
        <w:contextualSpacing w:val="0"/>
        <w:jc w:val="both"/>
        <w:rPr>
          <w:rFonts w:ascii="Verdana" w:hAnsi="Verdana" w:cs="Arial"/>
          <w:sz w:val="20"/>
          <w:szCs w:val="18"/>
        </w:rPr>
      </w:pPr>
      <w:r w:rsidRPr="00920145">
        <w:rPr>
          <w:rFonts w:ascii="Verdana" w:hAnsi="Verdana" w:cs="Arial"/>
          <w:sz w:val="20"/>
          <w:szCs w:val="18"/>
        </w:rPr>
        <w:lastRenderedPageBreak/>
        <w:t>Równoważenie jest przeprowadzane w dwóch etapach.</w:t>
      </w:r>
    </w:p>
    <w:p w14:paraId="3AA1E36C" w14:textId="4FBB3543" w:rsidR="00D4145C" w:rsidRPr="00920145" w:rsidRDefault="00D4145C" w:rsidP="00F8716B">
      <w:pPr>
        <w:pStyle w:val="Akapitzlist"/>
        <w:numPr>
          <w:ilvl w:val="0"/>
          <w:numId w:val="30"/>
        </w:numPr>
        <w:tabs>
          <w:tab w:val="clear" w:pos="397"/>
          <w:tab w:val="num" w:pos="709"/>
          <w:tab w:val="left" w:pos="993"/>
        </w:tabs>
        <w:spacing w:after="120" w:line="360" w:lineRule="auto"/>
        <w:ind w:left="709" w:firstLine="0"/>
        <w:contextualSpacing w:val="0"/>
        <w:jc w:val="both"/>
        <w:rPr>
          <w:rFonts w:ascii="Verdana" w:hAnsi="Verdana" w:cs="Arial"/>
          <w:sz w:val="20"/>
          <w:szCs w:val="18"/>
        </w:rPr>
      </w:pPr>
      <w:r w:rsidRPr="00920145">
        <w:rPr>
          <w:rFonts w:ascii="Verdana" w:hAnsi="Verdana" w:cs="Arial"/>
          <w:sz w:val="20"/>
          <w:szCs w:val="18"/>
        </w:rPr>
        <w:t>W pierwszym etapie przeprowadzane jest równoważenie podstawowe. Jeżeli w jego wyniku nie jest możliwe określenie kursu zgodnie z zasadami zawartymi w § 134 ust. 2 Regulaminu Giełdy, który mieści się w dynamicznych ograniczeniach wahań kursów, wówczas rozpoczyna się równoważenie dodatkowe.</w:t>
      </w:r>
    </w:p>
    <w:p w14:paraId="6F9E8218" w14:textId="43A2B718" w:rsidR="00D4145C" w:rsidRPr="00920145" w:rsidRDefault="00D4145C" w:rsidP="00F8716B">
      <w:pPr>
        <w:pStyle w:val="Akapitzlist"/>
        <w:numPr>
          <w:ilvl w:val="0"/>
          <w:numId w:val="30"/>
        </w:numPr>
        <w:tabs>
          <w:tab w:val="clear" w:pos="397"/>
          <w:tab w:val="num" w:pos="709"/>
          <w:tab w:val="left" w:pos="993"/>
        </w:tabs>
        <w:spacing w:after="120" w:line="360" w:lineRule="auto"/>
        <w:ind w:left="709" w:firstLine="0"/>
        <w:contextualSpacing w:val="0"/>
        <w:jc w:val="both"/>
        <w:rPr>
          <w:rFonts w:ascii="Verdana" w:hAnsi="Verdana" w:cs="Arial"/>
          <w:sz w:val="20"/>
          <w:szCs w:val="18"/>
        </w:rPr>
      </w:pPr>
      <w:r w:rsidRPr="00920145">
        <w:rPr>
          <w:rFonts w:ascii="Verdana" w:hAnsi="Verdana" w:cs="Arial"/>
          <w:sz w:val="20"/>
          <w:szCs w:val="18"/>
        </w:rPr>
        <w:t xml:space="preserve">Czas trwania równoważenia podstawowego jest określony i zdefiniowany osobno dla danego segmentu notowań, zgodnie z przepisami Rozdziału 8 </w:t>
      </w:r>
      <w:r w:rsidR="004D59FC" w:rsidRPr="00920145">
        <w:rPr>
          <w:rFonts w:ascii="Verdana" w:hAnsi="Verdana" w:cs="Arial"/>
          <w:sz w:val="20"/>
          <w:szCs w:val="18"/>
        </w:rPr>
        <w:br/>
      </w:r>
      <w:r w:rsidRPr="00920145">
        <w:rPr>
          <w:rFonts w:ascii="Verdana" w:hAnsi="Verdana" w:cs="Arial"/>
          <w:sz w:val="20"/>
          <w:szCs w:val="18"/>
        </w:rPr>
        <w:t>lub 9, natomiast o zakończeniu równoważenia dodatkowego decyduje przewodniczący sesji.</w:t>
      </w:r>
    </w:p>
    <w:p w14:paraId="2EF1C715" w14:textId="5456E28B" w:rsidR="00D4145C" w:rsidRPr="00920145" w:rsidRDefault="00D4145C" w:rsidP="00F8716B">
      <w:pPr>
        <w:pStyle w:val="Akapitzlist"/>
        <w:numPr>
          <w:ilvl w:val="0"/>
          <w:numId w:val="30"/>
        </w:numPr>
        <w:tabs>
          <w:tab w:val="clear" w:pos="397"/>
          <w:tab w:val="num" w:pos="709"/>
          <w:tab w:val="left" w:pos="993"/>
        </w:tabs>
        <w:spacing w:after="120" w:line="360" w:lineRule="auto"/>
        <w:ind w:left="709" w:firstLine="0"/>
        <w:contextualSpacing w:val="0"/>
        <w:jc w:val="both"/>
        <w:rPr>
          <w:rFonts w:ascii="Verdana" w:hAnsi="Verdana" w:cs="Arial"/>
          <w:sz w:val="20"/>
          <w:szCs w:val="18"/>
        </w:rPr>
      </w:pPr>
      <w:r w:rsidRPr="00920145">
        <w:rPr>
          <w:rFonts w:ascii="Verdana" w:hAnsi="Verdana" w:cs="Arial"/>
          <w:sz w:val="20"/>
          <w:szCs w:val="18"/>
        </w:rPr>
        <w:t xml:space="preserve">W trakcie równoważenia podstawowego wysokość dynamicznych ograniczeń wahań kursów może być rozszerzona do wartości będącej iloczynem wysokości dynamicznych ograniczeń wahań kursów obowiązujących dla danego segmentu notowań zgodnie z przepisami Rozdziału 8 lub 9 </w:t>
      </w:r>
      <w:r w:rsidR="004D59FC" w:rsidRPr="00920145">
        <w:rPr>
          <w:rFonts w:ascii="Verdana" w:hAnsi="Verdana" w:cs="Arial"/>
          <w:sz w:val="20"/>
          <w:szCs w:val="18"/>
        </w:rPr>
        <w:br/>
      </w:r>
      <w:r w:rsidRPr="00920145">
        <w:rPr>
          <w:rFonts w:ascii="Verdana" w:hAnsi="Verdana" w:cs="Arial"/>
          <w:sz w:val="20"/>
          <w:szCs w:val="18"/>
        </w:rPr>
        <w:t xml:space="preserve">i współczynnika rozszerzenia. </w:t>
      </w:r>
    </w:p>
    <w:p w14:paraId="0C6F4DEB" w14:textId="4597DC0E" w:rsidR="00D4145C" w:rsidRPr="00920145" w:rsidRDefault="00D4145C" w:rsidP="00F8716B">
      <w:pPr>
        <w:pStyle w:val="Akapitzlist"/>
        <w:numPr>
          <w:ilvl w:val="0"/>
          <w:numId w:val="30"/>
        </w:numPr>
        <w:tabs>
          <w:tab w:val="clear" w:pos="397"/>
          <w:tab w:val="num" w:pos="709"/>
          <w:tab w:val="left" w:pos="993"/>
        </w:tabs>
        <w:spacing w:after="120" w:line="360" w:lineRule="auto"/>
        <w:ind w:left="709" w:firstLine="0"/>
        <w:contextualSpacing w:val="0"/>
        <w:jc w:val="both"/>
        <w:rPr>
          <w:rFonts w:ascii="Verdana" w:hAnsi="Verdana" w:cs="Arial"/>
          <w:sz w:val="20"/>
          <w:szCs w:val="18"/>
        </w:rPr>
      </w:pPr>
      <w:r w:rsidRPr="00920145">
        <w:rPr>
          <w:rFonts w:ascii="Verdana" w:hAnsi="Verdana" w:cs="Arial"/>
          <w:sz w:val="20"/>
          <w:szCs w:val="18"/>
        </w:rPr>
        <w:t>Wartość współczynnika rozszerzenia, o którym mowa w ust. 7, jest parametrem definiowanym osobno dla danego segmentu notowań, zgodnie z przepisami Rozdziału 8 lub 9.</w:t>
      </w:r>
    </w:p>
    <w:p w14:paraId="250CE952" w14:textId="77777777" w:rsidR="00D4145C" w:rsidRPr="00920145" w:rsidRDefault="00D4145C" w:rsidP="00F8716B">
      <w:pPr>
        <w:pStyle w:val="Akapitzlist"/>
        <w:numPr>
          <w:ilvl w:val="0"/>
          <w:numId w:val="30"/>
        </w:numPr>
        <w:tabs>
          <w:tab w:val="clear" w:pos="397"/>
          <w:tab w:val="num" w:pos="709"/>
          <w:tab w:val="left" w:pos="993"/>
        </w:tabs>
        <w:spacing w:after="120" w:line="360" w:lineRule="auto"/>
        <w:ind w:left="709" w:firstLine="0"/>
        <w:contextualSpacing w:val="0"/>
        <w:jc w:val="both"/>
        <w:rPr>
          <w:rFonts w:ascii="Verdana" w:hAnsi="Verdana" w:cs="Arial"/>
          <w:sz w:val="20"/>
          <w:szCs w:val="18"/>
        </w:rPr>
      </w:pPr>
      <w:r w:rsidRPr="00920145">
        <w:rPr>
          <w:rFonts w:ascii="Verdana" w:hAnsi="Verdana" w:cs="Arial"/>
          <w:sz w:val="20"/>
          <w:szCs w:val="18"/>
        </w:rPr>
        <w:t>Jeżeli w wyniku równoważenia podstawowego:</w:t>
      </w:r>
    </w:p>
    <w:p w14:paraId="7B5FA40F" w14:textId="77777777" w:rsidR="00D4145C" w:rsidRPr="00920145" w:rsidRDefault="00D4145C" w:rsidP="00F8716B">
      <w:pPr>
        <w:numPr>
          <w:ilvl w:val="0"/>
          <w:numId w:val="31"/>
        </w:numPr>
        <w:tabs>
          <w:tab w:val="left" w:pos="993"/>
        </w:tabs>
        <w:spacing w:after="120" w:line="360" w:lineRule="auto"/>
        <w:ind w:left="993" w:hanging="284"/>
        <w:jc w:val="both"/>
        <w:rPr>
          <w:rFonts w:ascii="Verdana" w:hAnsi="Verdana"/>
          <w:sz w:val="20"/>
          <w:szCs w:val="20"/>
        </w:rPr>
      </w:pPr>
      <w:r w:rsidRPr="00920145">
        <w:rPr>
          <w:rFonts w:ascii="Verdana" w:hAnsi="Verdana"/>
          <w:sz w:val="20"/>
          <w:szCs w:val="20"/>
        </w:rPr>
        <w:t xml:space="preserve">zostanie określony kurs zgodnie z zasadami zawartymi w § 134 ust. 2 Regulaminu Giełdy, który mieści się w dynamicznych ograniczeniach wahań kursów obowiązujących w trakcie równoważenia podstawowego, wówczas: </w:t>
      </w:r>
    </w:p>
    <w:p w14:paraId="1F25D946" w14:textId="77777777" w:rsidR="00D4145C" w:rsidRPr="00920145" w:rsidRDefault="00D4145C" w:rsidP="004D59FC">
      <w:pPr>
        <w:numPr>
          <w:ilvl w:val="0"/>
          <w:numId w:val="32"/>
        </w:numPr>
        <w:tabs>
          <w:tab w:val="left" w:pos="993"/>
        </w:tabs>
        <w:spacing w:after="120" w:line="360" w:lineRule="auto"/>
        <w:ind w:left="1276" w:hanging="142"/>
        <w:jc w:val="both"/>
        <w:rPr>
          <w:rFonts w:ascii="Verdana" w:hAnsi="Verdana" w:cs="Arial"/>
          <w:sz w:val="20"/>
          <w:szCs w:val="18"/>
        </w:rPr>
      </w:pPr>
      <w:r w:rsidRPr="00920145">
        <w:rPr>
          <w:rFonts w:ascii="Verdana" w:hAnsi="Verdana" w:cs="Arial"/>
          <w:sz w:val="20"/>
          <w:szCs w:val="18"/>
        </w:rPr>
        <w:t>ogłaszany jest kurs, po którym zostają zawarte transakcje na podstawie złożonych zleceń,</w:t>
      </w:r>
    </w:p>
    <w:p w14:paraId="0A0D15CB" w14:textId="77777777" w:rsidR="00D4145C" w:rsidRPr="00920145" w:rsidRDefault="00D4145C" w:rsidP="004D59FC">
      <w:pPr>
        <w:numPr>
          <w:ilvl w:val="0"/>
          <w:numId w:val="32"/>
        </w:numPr>
        <w:tabs>
          <w:tab w:val="left" w:pos="993"/>
        </w:tabs>
        <w:spacing w:after="120" w:line="360" w:lineRule="auto"/>
        <w:ind w:left="1276" w:hanging="142"/>
        <w:jc w:val="both"/>
        <w:rPr>
          <w:rFonts w:ascii="Verdana" w:hAnsi="Verdana" w:cs="Arial"/>
          <w:sz w:val="20"/>
          <w:szCs w:val="18"/>
        </w:rPr>
      </w:pPr>
      <w:r w:rsidRPr="00920145">
        <w:rPr>
          <w:rFonts w:ascii="Verdana" w:hAnsi="Verdana" w:cs="Arial"/>
          <w:sz w:val="20"/>
          <w:szCs w:val="18"/>
        </w:rPr>
        <w:t>następuje wznowienie obrotu, a kurs zawartych transakcji staje się nowym kursem odniesienia dla dynamicznych ograniczeń wahań kursów;</w:t>
      </w:r>
    </w:p>
    <w:p w14:paraId="3309CB8A" w14:textId="77777777" w:rsidR="00D4145C" w:rsidRPr="00920145" w:rsidRDefault="00D4145C" w:rsidP="00F8716B">
      <w:pPr>
        <w:numPr>
          <w:ilvl w:val="0"/>
          <w:numId w:val="31"/>
        </w:numPr>
        <w:spacing w:after="120" w:line="360" w:lineRule="auto"/>
        <w:ind w:left="993" w:hanging="284"/>
        <w:jc w:val="both"/>
        <w:rPr>
          <w:rFonts w:ascii="Verdana" w:hAnsi="Verdana"/>
          <w:sz w:val="20"/>
          <w:szCs w:val="20"/>
        </w:rPr>
      </w:pPr>
      <w:r w:rsidRPr="00920145">
        <w:rPr>
          <w:rFonts w:ascii="Verdana" w:hAnsi="Verdana"/>
          <w:sz w:val="20"/>
          <w:szCs w:val="20"/>
        </w:rPr>
        <w:t>powstanie rynek zleceń rozbieżnych (najwyższy limit w zleceniu kupna jest niższy od najniższego limitu zlecenia sprzedaży lub występują wyłącznie zlecenia kupna lub wyłącznie zlecenia sprzedaży lub występuje brak zleceń), wówczas:</w:t>
      </w:r>
    </w:p>
    <w:p w14:paraId="19D228DA" w14:textId="77777777" w:rsidR="00D4145C" w:rsidRPr="00920145" w:rsidRDefault="00D4145C" w:rsidP="004D59FC">
      <w:pPr>
        <w:numPr>
          <w:ilvl w:val="0"/>
          <w:numId w:val="33"/>
        </w:numPr>
        <w:spacing w:after="120" w:line="360" w:lineRule="auto"/>
        <w:ind w:left="1276" w:hanging="142"/>
        <w:jc w:val="both"/>
        <w:rPr>
          <w:rFonts w:ascii="Verdana" w:hAnsi="Verdana" w:cs="Arial"/>
          <w:sz w:val="20"/>
          <w:szCs w:val="18"/>
        </w:rPr>
      </w:pPr>
      <w:r w:rsidRPr="00920145">
        <w:rPr>
          <w:rFonts w:ascii="Verdana" w:hAnsi="Verdana" w:cs="Arial"/>
          <w:sz w:val="20"/>
          <w:szCs w:val="18"/>
        </w:rPr>
        <w:t>następuje wznowienie obrotu,</w:t>
      </w:r>
    </w:p>
    <w:p w14:paraId="2E76041F" w14:textId="069F827C" w:rsidR="00D4145C" w:rsidRPr="00920145" w:rsidRDefault="00D4145C" w:rsidP="004D59FC">
      <w:pPr>
        <w:numPr>
          <w:ilvl w:val="0"/>
          <w:numId w:val="33"/>
        </w:numPr>
        <w:spacing w:after="120" w:line="360" w:lineRule="auto"/>
        <w:ind w:left="1276" w:hanging="142"/>
        <w:jc w:val="both"/>
        <w:rPr>
          <w:rFonts w:ascii="Verdana" w:hAnsi="Verdana" w:cs="Arial"/>
          <w:sz w:val="20"/>
          <w:szCs w:val="18"/>
        </w:rPr>
      </w:pPr>
      <w:r w:rsidRPr="00920145">
        <w:rPr>
          <w:rFonts w:ascii="Verdana" w:hAnsi="Verdana" w:cs="Arial"/>
          <w:sz w:val="20"/>
          <w:szCs w:val="18"/>
        </w:rPr>
        <w:t>wyznacza się nowy kurs odniesienia dla dynamicznych ograniczeń wahań kursów równy ostatniemu kursowi odniesienia dla tych ograniczeń, jaki obowiązywał przed rozpoczęciem równoważenia podstawowego;</w:t>
      </w:r>
    </w:p>
    <w:p w14:paraId="0088D356" w14:textId="77777777" w:rsidR="00D4145C" w:rsidRPr="00920145" w:rsidRDefault="00D4145C" w:rsidP="00F8716B">
      <w:pPr>
        <w:numPr>
          <w:ilvl w:val="0"/>
          <w:numId w:val="31"/>
        </w:numPr>
        <w:tabs>
          <w:tab w:val="left" w:pos="993"/>
        </w:tabs>
        <w:spacing w:after="120" w:line="360" w:lineRule="auto"/>
        <w:ind w:left="993" w:hanging="284"/>
        <w:jc w:val="both"/>
        <w:rPr>
          <w:rFonts w:ascii="Verdana" w:hAnsi="Verdana"/>
          <w:sz w:val="20"/>
          <w:szCs w:val="20"/>
        </w:rPr>
      </w:pPr>
      <w:r w:rsidRPr="00920145">
        <w:rPr>
          <w:rFonts w:ascii="Verdana" w:hAnsi="Verdana"/>
          <w:sz w:val="20"/>
          <w:szCs w:val="20"/>
        </w:rPr>
        <w:lastRenderedPageBreak/>
        <w:t>zostanie określony kurs zgodnie z zasadami zawartymi w § 134 ust. 2</w:t>
      </w:r>
      <w:r w:rsidRPr="00920145">
        <w:rPr>
          <w:rFonts w:ascii="Verdana" w:hAnsi="Verdana"/>
          <w:b/>
          <w:bCs/>
          <w:color w:val="FF0000"/>
          <w:sz w:val="20"/>
          <w:szCs w:val="20"/>
        </w:rPr>
        <w:t xml:space="preserve"> </w:t>
      </w:r>
      <w:r w:rsidRPr="00920145">
        <w:rPr>
          <w:rFonts w:ascii="Verdana" w:hAnsi="Verdana"/>
          <w:sz w:val="20"/>
          <w:szCs w:val="20"/>
        </w:rPr>
        <w:t xml:space="preserve">Regulaminu Giełdy, który nie mieści się w dynamicznych ograniczeniach wahań kursów obowiązujących w trakcie równoważenia podstawowego, wówczas rozpoczyna się równoważenie dodatkowe. </w:t>
      </w:r>
    </w:p>
    <w:p w14:paraId="1C2034F4" w14:textId="77777777" w:rsidR="00D4145C" w:rsidRPr="00920145" w:rsidRDefault="00D4145C" w:rsidP="00F8716B">
      <w:pPr>
        <w:numPr>
          <w:ilvl w:val="0"/>
          <w:numId w:val="30"/>
        </w:numPr>
        <w:tabs>
          <w:tab w:val="left" w:pos="1134"/>
        </w:tabs>
        <w:spacing w:after="120" w:line="360" w:lineRule="auto"/>
        <w:ind w:firstLine="312"/>
        <w:jc w:val="both"/>
        <w:rPr>
          <w:rFonts w:ascii="Verdana" w:hAnsi="Verdana" w:cs="Arial"/>
          <w:sz w:val="20"/>
          <w:szCs w:val="18"/>
        </w:rPr>
      </w:pPr>
      <w:r w:rsidRPr="00920145">
        <w:rPr>
          <w:rFonts w:ascii="Verdana" w:hAnsi="Verdana" w:cs="Arial"/>
          <w:sz w:val="20"/>
          <w:szCs w:val="18"/>
        </w:rPr>
        <w:t>W trakcie równoważenia dodatkowego przewodniczący sesji może:</w:t>
      </w:r>
    </w:p>
    <w:p w14:paraId="1A9C3CA7" w14:textId="77777777" w:rsidR="00D4145C" w:rsidRPr="00920145" w:rsidRDefault="00D4145C" w:rsidP="00F8716B">
      <w:pPr>
        <w:numPr>
          <w:ilvl w:val="0"/>
          <w:numId w:val="34"/>
        </w:numPr>
        <w:tabs>
          <w:tab w:val="left" w:pos="1134"/>
        </w:tabs>
        <w:spacing w:after="120" w:line="360" w:lineRule="auto"/>
        <w:ind w:hanging="48"/>
        <w:jc w:val="both"/>
        <w:rPr>
          <w:rFonts w:ascii="Verdana" w:hAnsi="Verdana" w:cs="Arial"/>
          <w:sz w:val="20"/>
          <w:szCs w:val="18"/>
        </w:rPr>
      </w:pPr>
      <w:r w:rsidRPr="00920145">
        <w:rPr>
          <w:rFonts w:ascii="Verdana" w:hAnsi="Verdana" w:cs="Arial"/>
          <w:sz w:val="20"/>
          <w:szCs w:val="18"/>
        </w:rPr>
        <w:t>w sytuacji powstania rynku zleceń rozbieżnych:</w:t>
      </w:r>
    </w:p>
    <w:p w14:paraId="76CF80A2" w14:textId="77777777" w:rsidR="00D4145C" w:rsidRPr="00920145" w:rsidRDefault="00D4145C" w:rsidP="00785EAD">
      <w:pPr>
        <w:numPr>
          <w:ilvl w:val="0"/>
          <w:numId w:val="35"/>
        </w:numPr>
        <w:spacing w:after="120" w:line="360" w:lineRule="auto"/>
        <w:ind w:left="1418" w:hanging="141"/>
        <w:jc w:val="both"/>
        <w:rPr>
          <w:rFonts w:ascii="Verdana" w:hAnsi="Verdana" w:cs="Arial"/>
          <w:sz w:val="20"/>
          <w:szCs w:val="18"/>
        </w:rPr>
      </w:pPr>
      <w:r w:rsidRPr="00920145">
        <w:rPr>
          <w:rFonts w:ascii="Verdana" w:hAnsi="Verdana" w:cs="Arial"/>
          <w:sz w:val="20"/>
          <w:szCs w:val="18"/>
        </w:rPr>
        <w:t>wznowić obrót,</w:t>
      </w:r>
    </w:p>
    <w:p w14:paraId="1186C49F" w14:textId="77777777" w:rsidR="00D4145C" w:rsidRPr="00920145" w:rsidRDefault="00D4145C" w:rsidP="00785EAD">
      <w:pPr>
        <w:numPr>
          <w:ilvl w:val="0"/>
          <w:numId w:val="35"/>
        </w:numPr>
        <w:spacing w:after="120" w:line="360" w:lineRule="auto"/>
        <w:ind w:left="1418" w:hanging="141"/>
        <w:jc w:val="both"/>
        <w:rPr>
          <w:rFonts w:ascii="Verdana" w:hAnsi="Verdana" w:cs="Arial"/>
          <w:sz w:val="20"/>
          <w:szCs w:val="18"/>
        </w:rPr>
      </w:pPr>
      <w:r w:rsidRPr="00920145">
        <w:rPr>
          <w:rFonts w:ascii="Verdana" w:hAnsi="Verdana" w:cs="Arial"/>
          <w:sz w:val="20"/>
          <w:szCs w:val="18"/>
        </w:rPr>
        <w:t>wyznaczyć nowy kurs odniesienia dla dynamicznych ograniczeń wahań kursów równy ostatniemu kursowi odniesienia dla tych ograniczeń jaki obowiązywał przed rozpoczęciem równoważenia podstawowego;</w:t>
      </w:r>
    </w:p>
    <w:p w14:paraId="7A31CA12" w14:textId="77777777" w:rsidR="00D4145C" w:rsidRPr="00920145" w:rsidRDefault="00D4145C" w:rsidP="00F8716B">
      <w:pPr>
        <w:numPr>
          <w:ilvl w:val="0"/>
          <w:numId w:val="34"/>
        </w:numPr>
        <w:tabs>
          <w:tab w:val="left" w:pos="1134"/>
        </w:tabs>
        <w:spacing w:after="120" w:line="360" w:lineRule="auto"/>
        <w:ind w:left="1134" w:hanging="425"/>
        <w:jc w:val="both"/>
        <w:rPr>
          <w:rFonts w:ascii="Verdana" w:hAnsi="Verdana" w:cs="Arial"/>
          <w:sz w:val="20"/>
          <w:szCs w:val="18"/>
        </w:rPr>
      </w:pPr>
      <w:r w:rsidRPr="00920145">
        <w:rPr>
          <w:rFonts w:ascii="Verdana" w:hAnsi="Verdana" w:cs="Arial"/>
          <w:sz w:val="20"/>
          <w:szCs w:val="18"/>
        </w:rPr>
        <w:t>w sytuacji określenia w trakcie równoważenia dodatkowego kursu zgodnie z zasadami zawartymi w § 134 ust. 2 Regulaminu Giełdy:</w:t>
      </w:r>
    </w:p>
    <w:p w14:paraId="63220B39" w14:textId="77777777" w:rsidR="00D4145C" w:rsidRPr="00920145" w:rsidRDefault="00D4145C" w:rsidP="00785EAD">
      <w:pPr>
        <w:numPr>
          <w:ilvl w:val="0"/>
          <w:numId w:val="36"/>
        </w:numPr>
        <w:spacing w:after="120" w:line="360" w:lineRule="auto"/>
        <w:ind w:left="1560"/>
        <w:jc w:val="both"/>
        <w:rPr>
          <w:rFonts w:ascii="Verdana" w:hAnsi="Verdana" w:cs="Arial"/>
          <w:sz w:val="20"/>
          <w:szCs w:val="18"/>
        </w:rPr>
      </w:pPr>
      <w:r w:rsidRPr="00920145">
        <w:rPr>
          <w:rFonts w:ascii="Verdana" w:hAnsi="Verdana" w:cs="Arial"/>
          <w:sz w:val="20"/>
          <w:szCs w:val="18"/>
        </w:rPr>
        <w:t>ogłosić kurs, po którym zostają zawarte transakcje na podstawie złożonych zleceń, przy czym jeżeli kurs ten nie mieści się w obowiązujących dynamicznych ograniczeniach wahań kursów przewodniczący sesji ma prawo je zmienić tak aby kurs ten mieścił się w tych ograniczeniach,</w:t>
      </w:r>
    </w:p>
    <w:p w14:paraId="2C157F1F" w14:textId="30CDDED9" w:rsidR="00D4145C" w:rsidRPr="00920145" w:rsidRDefault="00D4145C" w:rsidP="00785EAD">
      <w:pPr>
        <w:numPr>
          <w:ilvl w:val="0"/>
          <w:numId w:val="36"/>
        </w:numPr>
        <w:spacing w:after="120" w:line="360" w:lineRule="auto"/>
        <w:ind w:left="1560"/>
        <w:jc w:val="both"/>
        <w:rPr>
          <w:rFonts w:ascii="Verdana" w:hAnsi="Verdana" w:cs="Arial"/>
          <w:sz w:val="20"/>
          <w:szCs w:val="18"/>
        </w:rPr>
      </w:pPr>
      <w:r w:rsidRPr="00920145">
        <w:rPr>
          <w:rFonts w:ascii="Verdana" w:hAnsi="Verdana" w:cs="Arial"/>
          <w:sz w:val="20"/>
          <w:szCs w:val="18"/>
        </w:rPr>
        <w:t>wznowić obrót, a kurs zawartych transakcji staje się nowym kursem odniesienia dla dynamicznych ograniczeń wahań kursów</w:t>
      </w:r>
      <w:r w:rsidR="004D59FC" w:rsidRPr="00920145">
        <w:rPr>
          <w:rFonts w:ascii="Verdana" w:hAnsi="Verdana" w:cs="Arial"/>
          <w:sz w:val="20"/>
          <w:szCs w:val="18"/>
        </w:rPr>
        <w:t>;</w:t>
      </w:r>
    </w:p>
    <w:p w14:paraId="4FBA93F0" w14:textId="391E4031" w:rsidR="00D4145C" w:rsidRPr="00920145" w:rsidRDefault="00D4145C" w:rsidP="00F8716B">
      <w:pPr>
        <w:numPr>
          <w:ilvl w:val="0"/>
          <w:numId w:val="34"/>
        </w:numPr>
        <w:tabs>
          <w:tab w:val="left" w:pos="1134"/>
        </w:tabs>
        <w:spacing w:after="120" w:line="360" w:lineRule="auto"/>
        <w:ind w:left="1134" w:hanging="425"/>
        <w:jc w:val="both"/>
        <w:rPr>
          <w:rFonts w:ascii="Verdana" w:hAnsi="Verdana" w:cs="Arial"/>
          <w:sz w:val="20"/>
          <w:szCs w:val="18"/>
        </w:rPr>
      </w:pPr>
      <w:r w:rsidRPr="00920145">
        <w:rPr>
          <w:rFonts w:ascii="Verdana" w:hAnsi="Verdana" w:cs="Arial"/>
          <w:sz w:val="20"/>
          <w:szCs w:val="18"/>
        </w:rPr>
        <w:t>zakończyć notowanie bez ogłaszania kursu otwarcia - w przypadku równoważenia dodatkowego na zakończenie fazy aukcji otwarcia</w:t>
      </w:r>
      <w:r w:rsidR="00003207" w:rsidRPr="00920145">
        <w:rPr>
          <w:rFonts w:ascii="Verdana" w:hAnsi="Verdana" w:cs="Arial"/>
          <w:sz w:val="20"/>
          <w:szCs w:val="18"/>
        </w:rPr>
        <w:t>;</w:t>
      </w:r>
    </w:p>
    <w:p w14:paraId="43CA498F" w14:textId="77777777" w:rsidR="00D4145C" w:rsidRPr="00920145" w:rsidRDefault="00D4145C" w:rsidP="00F8716B">
      <w:pPr>
        <w:numPr>
          <w:ilvl w:val="0"/>
          <w:numId w:val="34"/>
        </w:numPr>
        <w:tabs>
          <w:tab w:val="left" w:pos="1134"/>
        </w:tabs>
        <w:spacing w:after="120" w:line="360" w:lineRule="auto"/>
        <w:ind w:left="1134" w:hanging="425"/>
        <w:jc w:val="both"/>
        <w:rPr>
          <w:rFonts w:ascii="Verdana" w:hAnsi="Verdana" w:cs="Arial"/>
          <w:sz w:val="20"/>
          <w:szCs w:val="18"/>
        </w:rPr>
      </w:pPr>
      <w:r w:rsidRPr="00920145">
        <w:rPr>
          <w:rFonts w:ascii="Verdana" w:hAnsi="Verdana" w:cs="Arial"/>
          <w:sz w:val="20"/>
          <w:szCs w:val="18"/>
        </w:rPr>
        <w:t>zakończyć notowanie i ogłosić kurs zamknięcia równy kursowi ostatniej transakcji lub ostatniemu kursowi zamknięcia - w przypadku równoważenia dodatkowego na  zakończenie fazy aukcji zamknięcia.</w:t>
      </w:r>
    </w:p>
    <w:p w14:paraId="4274D7F4" w14:textId="1DB708D2" w:rsidR="00D4145C" w:rsidRPr="00920145" w:rsidRDefault="00D4145C" w:rsidP="00F8716B">
      <w:pPr>
        <w:numPr>
          <w:ilvl w:val="0"/>
          <w:numId w:val="30"/>
        </w:numPr>
        <w:tabs>
          <w:tab w:val="clear" w:pos="397"/>
          <w:tab w:val="left" w:pos="1134"/>
        </w:tabs>
        <w:spacing w:after="120" w:line="360" w:lineRule="auto"/>
        <w:ind w:left="709" w:firstLine="0"/>
        <w:jc w:val="both"/>
        <w:rPr>
          <w:rFonts w:ascii="Verdana" w:hAnsi="Verdana" w:cs="Arial"/>
          <w:sz w:val="20"/>
          <w:szCs w:val="18"/>
        </w:rPr>
      </w:pPr>
      <w:r w:rsidRPr="00920145">
        <w:rPr>
          <w:rFonts w:ascii="Verdana" w:hAnsi="Verdana" w:cs="Arial"/>
          <w:sz w:val="20"/>
          <w:szCs w:val="18"/>
        </w:rPr>
        <w:t>Jeżeli równoważenie, o którym mowa w ust. 9-10, miało miejsce w fazie aukcji otwarcia/fazie aukcji zamknięcia wówczas kurs, po którym zostają zawarte transakcje</w:t>
      </w:r>
      <w:r w:rsidR="004D59FC" w:rsidRPr="00920145">
        <w:rPr>
          <w:rFonts w:ascii="Verdana" w:hAnsi="Verdana" w:cs="Arial"/>
          <w:sz w:val="20"/>
          <w:szCs w:val="18"/>
        </w:rPr>
        <w:t xml:space="preserve">, </w:t>
      </w:r>
      <w:r w:rsidRPr="00920145">
        <w:rPr>
          <w:rFonts w:ascii="Verdana" w:hAnsi="Verdana" w:cs="Arial"/>
          <w:sz w:val="20"/>
          <w:szCs w:val="18"/>
        </w:rPr>
        <w:t>o którym mowa w ust. 9-10, staje się odpowiednio kursem otwarcia/kursem zamknięcia.</w:t>
      </w:r>
    </w:p>
    <w:p w14:paraId="178D7FCA" w14:textId="4102DF4D" w:rsidR="00D4145C" w:rsidRPr="00920145" w:rsidRDefault="00D4145C" w:rsidP="00F8716B">
      <w:pPr>
        <w:numPr>
          <w:ilvl w:val="0"/>
          <w:numId w:val="30"/>
        </w:numPr>
        <w:tabs>
          <w:tab w:val="clear" w:pos="397"/>
          <w:tab w:val="left" w:pos="1134"/>
        </w:tabs>
        <w:spacing w:after="120" w:line="360" w:lineRule="auto"/>
        <w:ind w:left="709" w:firstLine="0"/>
        <w:jc w:val="both"/>
        <w:rPr>
          <w:rFonts w:ascii="Verdana" w:hAnsi="Verdana" w:cs="Arial"/>
          <w:sz w:val="20"/>
          <w:szCs w:val="18"/>
        </w:rPr>
      </w:pPr>
      <w:r w:rsidRPr="00920145">
        <w:rPr>
          <w:rFonts w:ascii="Verdana" w:hAnsi="Verdana" w:cs="Arial"/>
          <w:sz w:val="20"/>
          <w:szCs w:val="18"/>
        </w:rPr>
        <w:t>Przepisy Rozdziału 8 lub 9 mogą określać wielkość współczynnika maksymalnej liczby zmian netto dynamicznych ograniczeń wahań kursów, które następują w ramach równoważenia podstawowego. W przypadku jeżeli na danej sesji giełdowej liczba tych zmian na danym instrumencie osiągnie maksymalną wartość tego współczynnika wówczas kolejne równoważenia na tej sesji dla danego instrumentu przeprowadza się z pominięciem równoważenia podstawowego.</w:t>
      </w:r>
    </w:p>
    <w:p w14:paraId="2A6C1B30" w14:textId="4DA303BB" w:rsidR="00D4145C" w:rsidRPr="00920145" w:rsidRDefault="00D4145C" w:rsidP="00F8716B">
      <w:pPr>
        <w:numPr>
          <w:ilvl w:val="0"/>
          <w:numId w:val="30"/>
        </w:numPr>
        <w:tabs>
          <w:tab w:val="clear" w:pos="397"/>
          <w:tab w:val="left" w:pos="1134"/>
        </w:tabs>
        <w:spacing w:after="120" w:line="360" w:lineRule="auto"/>
        <w:ind w:left="709" w:firstLine="0"/>
        <w:jc w:val="both"/>
        <w:rPr>
          <w:rFonts w:ascii="Verdana" w:hAnsi="Verdana" w:cs="Arial"/>
          <w:sz w:val="20"/>
          <w:szCs w:val="18"/>
        </w:rPr>
      </w:pPr>
      <w:r w:rsidRPr="00920145">
        <w:rPr>
          <w:rFonts w:ascii="Verdana" w:hAnsi="Verdana" w:cs="Arial"/>
          <w:sz w:val="20"/>
          <w:szCs w:val="18"/>
        </w:rPr>
        <w:lastRenderedPageBreak/>
        <w:t>W przypadku jeżeli na danej sesji giełdowej na danym instrumencie nastąpi przejście z równoważenia podstawowego w równoważenie dodatkowe wówczas kolejne równoważenia na tej sesji dla danego instrumentu przeprowadza się z pominięciem równoważenia podstawowego niezależnie od osiągnięcia na tym instrumencie współczynnika maksymalnej liczby zmian netto dynamicznych ograniczeń wahań kursów.</w:t>
      </w:r>
    </w:p>
    <w:p w14:paraId="105BB9C3" w14:textId="77777777" w:rsidR="00D4145C" w:rsidRPr="00920145" w:rsidRDefault="00D4145C" w:rsidP="00F8716B">
      <w:pPr>
        <w:numPr>
          <w:ilvl w:val="0"/>
          <w:numId w:val="30"/>
        </w:numPr>
        <w:tabs>
          <w:tab w:val="clear" w:pos="397"/>
          <w:tab w:val="left" w:pos="1134"/>
        </w:tabs>
        <w:spacing w:after="120" w:line="360" w:lineRule="auto"/>
        <w:ind w:left="709" w:firstLine="0"/>
        <w:jc w:val="both"/>
        <w:rPr>
          <w:rFonts w:ascii="Verdana" w:hAnsi="Verdana" w:cs="Arial"/>
          <w:sz w:val="20"/>
          <w:szCs w:val="18"/>
        </w:rPr>
      </w:pPr>
      <w:r w:rsidRPr="00920145">
        <w:rPr>
          <w:rFonts w:ascii="Verdana" w:hAnsi="Verdana" w:cs="Arial"/>
          <w:sz w:val="20"/>
          <w:szCs w:val="18"/>
        </w:rPr>
        <w:t>Wykorzystanie współczynnika maksymalnej liczby zmian netto dynamicznych ograniczeń wahań kursów na danej sesji dla danego instrumentu oblicza się jako wartość bezwzględną liczby zmian dynamicznych ograniczeń wahań kursów, które następują w ramach równoważenia podstawowego, gdzie:</w:t>
      </w:r>
    </w:p>
    <w:p w14:paraId="29F21F98" w14:textId="77777777" w:rsidR="00D4145C" w:rsidRPr="00920145" w:rsidRDefault="00D4145C" w:rsidP="00F8716B">
      <w:pPr>
        <w:numPr>
          <w:ilvl w:val="2"/>
          <w:numId w:val="31"/>
        </w:numPr>
        <w:tabs>
          <w:tab w:val="clear" w:pos="1134"/>
          <w:tab w:val="num" w:pos="993"/>
        </w:tabs>
        <w:spacing w:after="120" w:line="360" w:lineRule="auto"/>
        <w:ind w:left="993" w:hanging="284"/>
        <w:jc w:val="both"/>
        <w:rPr>
          <w:rFonts w:ascii="Verdana" w:hAnsi="Verdana" w:cs="Arial"/>
          <w:sz w:val="20"/>
          <w:szCs w:val="18"/>
        </w:rPr>
      </w:pPr>
      <w:r w:rsidRPr="00920145">
        <w:rPr>
          <w:rFonts w:ascii="Verdana" w:hAnsi="Verdana" w:cs="Arial"/>
          <w:sz w:val="20"/>
          <w:szCs w:val="18"/>
        </w:rPr>
        <w:t>każda zmiana dynamicznych ograniczeń wahań kursów, która zwiększa wartość tych ograniczeń jest ujmowana w kalkulacji współczynnika jako wzrost o 1 liczby zmian dynamicznych ograniczeń wahań kursów,</w:t>
      </w:r>
    </w:p>
    <w:p w14:paraId="48B2D512" w14:textId="4F0BCC53" w:rsidR="00D4145C" w:rsidRPr="00920145" w:rsidRDefault="00D4145C" w:rsidP="00F8716B">
      <w:pPr>
        <w:numPr>
          <w:ilvl w:val="2"/>
          <w:numId w:val="31"/>
        </w:numPr>
        <w:tabs>
          <w:tab w:val="clear" w:pos="1134"/>
          <w:tab w:val="num" w:pos="993"/>
        </w:tabs>
        <w:spacing w:after="240" w:line="360" w:lineRule="auto"/>
        <w:ind w:left="993" w:hanging="284"/>
        <w:jc w:val="both"/>
        <w:rPr>
          <w:rFonts w:ascii="Verdana" w:hAnsi="Verdana" w:cs="Arial"/>
          <w:sz w:val="20"/>
          <w:szCs w:val="18"/>
        </w:rPr>
      </w:pPr>
      <w:r w:rsidRPr="00920145">
        <w:rPr>
          <w:rFonts w:ascii="Verdana" w:hAnsi="Verdana" w:cs="Arial"/>
          <w:sz w:val="20"/>
          <w:szCs w:val="18"/>
        </w:rPr>
        <w:t>każda zmiana dynamicznych ograniczeń wahań kursów, która zmniejsza wartość tych ograniczeń jest ujmowana w kalkulacji współczynnika jako spadek o 1 liczby zmian dynamicznych ograniczeń wahań kursów.”;</w:t>
      </w:r>
    </w:p>
    <w:p w14:paraId="0B1B6046" w14:textId="2F84AC7A" w:rsidR="0049103E" w:rsidRPr="00920145" w:rsidRDefault="00075FAF" w:rsidP="008362AE">
      <w:pPr>
        <w:pStyle w:val="Nagwek3"/>
      </w:pPr>
      <w:r w:rsidRPr="00920145">
        <w:t>uchyla się §</w:t>
      </w:r>
      <w:r w:rsidR="00525B16" w:rsidRPr="00920145">
        <w:t xml:space="preserve">§ </w:t>
      </w:r>
      <w:r w:rsidRPr="00920145">
        <w:t>64 – 69;</w:t>
      </w:r>
    </w:p>
    <w:p w14:paraId="6D8A87DA" w14:textId="3E42782B" w:rsidR="00075FAF" w:rsidRPr="00920145" w:rsidRDefault="00FD2889" w:rsidP="008362AE">
      <w:pPr>
        <w:pStyle w:val="Nagwek3"/>
      </w:pPr>
      <w:r w:rsidRPr="00920145">
        <w:t>w § 70:</w:t>
      </w:r>
    </w:p>
    <w:p w14:paraId="78FF2226" w14:textId="6ECE0317" w:rsidR="007C4A9D" w:rsidRPr="00920145" w:rsidRDefault="00FD2889" w:rsidP="00E279C5">
      <w:pPr>
        <w:pStyle w:val="Akapitzlist"/>
        <w:numPr>
          <w:ilvl w:val="4"/>
          <w:numId w:val="31"/>
        </w:numPr>
        <w:tabs>
          <w:tab w:val="left" w:pos="851"/>
        </w:tabs>
        <w:spacing w:after="120" w:line="360" w:lineRule="auto"/>
        <w:ind w:left="851" w:hanging="284"/>
        <w:contextualSpacing w:val="0"/>
        <w:jc w:val="both"/>
        <w:rPr>
          <w:rFonts w:ascii="Verdana" w:hAnsi="Verdana"/>
          <w:sz w:val="20"/>
          <w:szCs w:val="20"/>
        </w:rPr>
      </w:pPr>
      <w:r w:rsidRPr="00920145">
        <w:rPr>
          <w:rFonts w:ascii="Verdana" w:hAnsi="Verdana"/>
          <w:sz w:val="20"/>
          <w:szCs w:val="20"/>
        </w:rPr>
        <w:t>w ust. 2 wyrazy „w ostatnim dniu sesyjnym marca” zastępuje się wyrazami „w ostatnim dniu sesyjnym przed pierwszym poniedziałkiem kwietnia”;</w:t>
      </w:r>
    </w:p>
    <w:p w14:paraId="1C818C80" w14:textId="77777777" w:rsidR="007C4A9D" w:rsidRPr="00920145" w:rsidRDefault="00FD2889" w:rsidP="00F0275A">
      <w:pPr>
        <w:pStyle w:val="Akapitzlist"/>
        <w:numPr>
          <w:ilvl w:val="4"/>
          <w:numId w:val="31"/>
        </w:numPr>
        <w:tabs>
          <w:tab w:val="left" w:pos="851"/>
        </w:tabs>
        <w:spacing w:after="120" w:line="360" w:lineRule="auto"/>
        <w:ind w:left="851" w:hanging="284"/>
        <w:contextualSpacing w:val="0"/>
        <w:jc w:val="both"/>
        <w:rPr>
          <w:rFonts w:ascii="Verdana" w:hAnsi="Verdana"/>
          <w:sz w:val="20"/>
          <w:szCs w:val="20"/>
        </w:rPr>
      </w:pPr>
      <w:r w:rsidRPr="00920145">
        <w:rPr>
          <w:rFonts w:ascii="Verdana" w:hAnsi="Verdana"/>
          <w:sz w:val="20"/>
          <w:szCs w:val="20"/>
        </w:rPr>
        <w:t>w ust. 3 wyrazy „od dnia 1 kwietnia” zastępuje się wyrazami „od pierwszego poniedziałku kwietnia”;</w:t>
      </w:r>
    </w:p>
    <w:p w14:paraId="3834E988" w14:textId="657389FD" w:rsidR="00FD2889" w:rsidRPr="00920145" w:rsidRDefault="00FD2889" w:rsidP="00F0275A">
      <w:pPr>
        <w:pStyle w:val="Akapitzlist"/>
        <w:numPr>
          <w:ilvl w:val="4"/>
          <w:numId w:val="31"/>
        </w:numPr>
        <w:tabs>
          <w:tab w:val="left" w:pos="851"/>
        </w:tabs>
        <w:spacing w:after="120" w:line="360" w:lineRule="auto"/>
        <w:ind w:left="851" w:hanging="284"/>
        <w:contextualSpacing w:val="0"/>
        <w:jc w:val="both"/>
        <w:rPr>
          <w:rFonts w:ascii="Verdana" w:hAnsi="Verdana"/>
          <w:sz w:val="20"/>
          <w:szCs w:val="20"/>
        </w:rPr>
      </w:pPr>
      <w:r w:rsidRPr="00920145">
        <w:rPr>
          <w:rFonts w:ascii="Verdana" w:hAnsi="Verdana"/>
          <w:sz w:val="20"/>
          <w:szCs w:val="20"/>
        </w:rPr>
        <w:t>w ust. 7 akapit po pkt 2) otrzymuje brzmienie:</w:t>
      </w:r>
    </w:p>
    <w:p w14:paraId="0589FA52" w14:textId="16E2675F" w:rsidR="00FD2889" w:rsidRPr="00920145" w:rsidRDefault="00F0275A" w:rsidP="00F0275A">
      <w:pPr>
        <w:pStyle w:val="Akapitzlist"/>
        <w:tabs>
          <w:tab w:val="left" w:pos="851"/>
        </w:tabs>
        <w:spacing w:after="240" w:line="360" w:lineRule="auto"/>
        <w:ind w:left="851" w:hanging="284"/>
        <w:contextualSpacing w:val="0"/>
        <w:jc w:val="both"/>
        <w:rPr>
          <w:rFonts w:ascii="Verdana" w:hAnsi="Verdana"/>
          <w:sz w:val="20"/>
          <w:szCs w:val="20"/>
        </w:rPr>
      </w:pPr>
      <w:r w:rsidRPr="00920145">
        <w:rPr>
          <w:rFonts w:ascii="Verdana" w:hAnsi="Verdana"/>
          <w:sz w:val="20"/>
          <w:szCs w:val="20"/>
        </w:rPr>
        <w:tab/>
      </w:r>
      <w:r w:rsidR="00FD2889" w:rsidRPr="00920145">
        <w:rPr>
          <w:rFonts w:ascii="Verdana" w:hAnsi="Verdana"/>
          <w:sz w:val="20"/>
          <w:szCs w:val="20"/>
        </w:rPr>
        <w:t xml:space="preserve">„Krok notowania określony w przypadku, o którym mowa w pkt 2), obowiązuje do dnia  poprzedzającego pierwszy poniedziałek kwietnia następnego roku kalendarzowego, a dla akcji dopuszczonych po raz pierwszy do obrotu w okresie czterech ostatnich tygodni danego roku kalendarzowego – do dnia poprzedzającego pierwszy poniedziałek kwietnia drugiego roku  kalendarzowego. Po upływie danego okresu stosuje się zasady ogólne, </w:t>
      </w:r>
      <w:r w:rsidR="008D0D9C" w:rsidRPr="00920145">
        <w:rPr>
          <w:rFonts w:ascii="Verdana" w:hAnsi="Verdana"/>
          <w:sz w:val="20"/>
          <w:szCs w:val="20"/>
        </w:rPr>
        <w:br/>
      </w:r>
      <w:r w:rsidR="00FD2889" w:rsidRPr="00920145">
        <w:rPr>
          <w:rFonts w:ascii="Verdana" w:hAnsi="Verdana"/>
          <w:sz w:val="20"/>
          <w:szCs w:val="20"/>
        </w:rPr>
        <w:t>o których mowa w ust. 2-3. Przepisy ust. 4 i 5 stosuje się odpowiednio.”;</w:t>
      </w:r>
    </w:p>
    <w:p w14:paraId="06A45632" w14:textId="77777777" w:rsidR="00C21762" w:rsidRPr="00920145" w:rsidRDefault="00C21762" w:rsidP="00F0275A">
      <w:pPr>
        <w:pStyle w:val="Akapitzlist"/>
        <w:tabs>
          <w:tab w:val="left" w:pos="851"/>
        </w:tabs>
        <w:spacing w:after="240" w:line="360" w:lineRule="auto"/>
        <w:ind w:left="851" w:hanging="284"/>
        <w:contextualSpacing w:val="0"/>
        <w:jc w:val="both"/>
        <w:rPr>
          <w:rFonts w:ascii="Verdana" w:hAnsi="Verdana"/>
          <w:sz w:val="20"/>
          <w:szCs w:val="20"/>
        </w:rPr>
      </w:pPr>
    </w:p>
    <w:p w14:paraId="4C7C39C5" w14:textId="0EC9146C" w:rsidR="008F5F3A" w:rsidRPr="00920145" w:rsidRDefault="00A103EC" w:rsidP="008362AE">
      <w:pPr>
        <w:pStyle w:val="Nagwek3"/>
      </w:pPr>
      <w:r w:rsidRPr="00920145">
        <w:lastRenderedPageBreak/>
        <w:t>§ 71 otrzymuje brzmienie:</w:t>
      </w:r>
    </w:p>
    <w:p w14:paraId="53212C67" w14:textId="6967E585" w:rsidR="00A103EC" w:rsidRPr="00920145" w:rsidRDefault="00A103EC" w:rsidP="00E279C5">
      <w:pPr>
        <w:pStyle w:val="Akapitzlist"/>
        <w:tabs>
          <w:tab w:val="left" w:pos="851"/>
        </w:tabs>
        <w:spacing w:after="120" w:line="360" w:lineRule="auto"/>
        <w:ind w:left="709"/>
        <w:contextualSpacing w:val="0"/>
        <w:jc w:val="both"/>
        <w:rPr>
          <w:rFonts w:ascii="Verdana" w:hAnsi="Verdana"/>
          <w:sz w:val="20"/>
          <w:szCs w:val="20"/>
        </w:rPr>
      </w:pPr>
      <w:r w:rsidRPr="00920145">
        <w:rPr>
          <w:rFonts w:ascii="Verdana" w:hAnsi="Verdana"/>
          <w:sz w:val="20"/>
          <w:szCs w:val="20"/>
        </w:rPr>
        <w:t>„§ 71</w:t>
      </w:r>
    </w:p>
    <w:p w14:paraId="6D0C9B05" w14:textId="02CCD410" w:rsidR="00A103EC" w:rsidRPr="00920145" w:rsidRDefault="00A103EC" w:rsidP="00A23201">
      <w:pPr>
        <w:spacing w:line="360" w:lineRule="auto"/>
        <w:ind w:left="709"/>
        <w:jc w:val="both"/>
        <w:rPr>
          <w:rFonts w:ascii="Verdana" w:hAnsi="Verdana"/>
          <w:sz w:val="20"/>
          <w:szCs w:val="18"/>
        </w:rPr>
      </w:pPr>
      <w:r w:rsidRPr="00920145">
        <w:rPr>
          <w:rFonts w:ascii="Verdana" w:hAnsi="Verdana"/>
          <w:sz w:val="20"/>
          <w:szCs w:val="18"/>
        </w:rPr>
        <w:t xml:space="preserve">Szczegółowe warunki obrotu dla akcji i praw do akcji w systemie notowań ciągłych: </w:t>
      </w:r>
    </w:p>
    <w:p w14:paraId="51DCFFAC" w14:textId="309C563E" w:rsidR="00A103EC" w:rsidRPr="00920145" w:rsidRDefault="00A103EC" w:rsidP="00A23201">
      <w:pPr>
        <w:tabs>
          <w:tab w:val="left" w:pos="851"/>
        </w:tabs>
        <w:spacing w:after="120" w:line="360" w:lineRule="auto"/>
        <w:ind w:left="709"/>
        <w:jc w:val="both"/>
        <w:rPr>
          <w:rFonts w:ascii="Verdana" w:hAnsi="Verdana"/>
          <w:sz w:val="20"/>
          <w:szCs w:val="18"/>
        </w:rPr>
      </w:pPr>
      <w:r w:rsidRPr="00920145">
        <w:rPr>
          <w:rFonts w:ascii="Verdana" w:hAnsi="Verdana"/>
          <w:sz w:val="20"/>
          <w:szCs w:val="18"/>
        </w:rPr>
        <w:t>1) akcje wchodzące w skład indeksu WIG20, z zastrzeżeniem pkt 4) i 5):</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4388"/>
      </w:tblGrid>
      <w:tr w:rsidR="00A103EC" w:rsidRPr="00920145" w14:paraId="4E29B980" w14:textId="77777777" w:rsidTr="002F7B05">
        <w:tc>
          <w:tcPr>
            <w:tcW w:w="3402" w:type="dxa"/>
          </w:tcPr>
          <w:p w14:paraId="30B33DC4" w14:textId="77777777" w:rsidR="00A103EC" w:rsidRPr="00920145" w:rsidRDefault="00A103EC" w:rsidP="00A23201">
            <w:pPr>
              <w:spacing w:after="120" w:line="360" w:lineRule="auto"/>
              <w:rPr>
                <w:rFonts w:ascii="Verdana" w:hAnsi="Verdana"/>
                <w:sz w:val="20"/>
                <w:szCs w:val="20"/>
              </w:rPr>
            </w:pPr>
            <w:r w:rsidRPr="00920145">
              <w:rPr>
                <w:rFonts w:ascii="Verdana" w:hAnsi="Verdana"/>
                <w:sz w:val="20"/>
                <w:szCs w:val="20"/>
              </w:rPr>
              <w:t>Jednostka transakcyjna</w:t>
            </w:r>
          </w:p>
        </w:tc>
        <w:tc>
          <w:tcPr>
            <w:tcW w:w="4388" w:type="dxa"/>
          </w:tcPr>
          <w:p w14:paraId="67554AF6" w14:textId="77777777" w:rsidR="00A103EC" w:rsidRPr="00920145" w:rsidRDefault="00A103EC" w:rsidP="00A23201">
            <w:pPr>
              <w:spacing w:after="120" w:line="360" w:lineRule="auto"/>
              <w:ind w:left="83" w:hanging="8"/>
              <w:rPr>
                <w:rFonts w:ascii="Verdana" w:hAnsi="Verdana"/>
                <w:sz w:val="20"/>
                <w:szCs w:val="20"/>
              </w:rPr>
            </w:pPr>
            <w:r w:rsidRPr="00920145">
              <w:rPr>
                <w:rFonts w:ascii="Verdana" w:hAnsi="Verdana"/>
                <w:sz w:val="20"/>
                <w:szCs w:val="20"/>
              </w:rPr>
              <w:t>jeden instrument, chyba że Zarząd Giełdy określi inną jednostkę transakcyjną</w:t>
            </w:r>
          </w:p>
        </w:tc>
      </w:tr>
      <w:tr w:rsidR="00354976" w:rsidRPr="00920145" w14:paraId="4BEB6A4B" w14:textId="77777777" w:rsidTr="002F7B05">
        <w:tc>
          <w:tcPr>
            <w:tcW w:w="3402" w:type="dxa"/>
          </w:tcPr>
          <w:p w14:paraId="22203C8B" w14:textId="128A4920" w:rsidR="00354976" w:rsidRPr="00920145" w:rsidRDefault="00354976" w:rsidP="00A23201">
            <w:pPr>
              <w:spacing w:after="120" w:line="360" w:lineRule="auto"/>
              <w:rPr>
                <w:rFonts w:ascii="Verdana" w:hAnsi="Verdana"/>
                <w:sz w:val="20"/>
                <w:szCs w:val="20"/>
              </w:rPr>
            </w:pPr>
            <w:r w:rsidRPr="00920145">
              <w:rPr>
                <w:rFonts w:ascii="Verdana" w:hAnsi="Verdana"/>
                <w:sz w:val="20"/>
                <w:szCs w:val="20"/>
              </w:rPr>
              <w:t>Losowy czas otwarcia</w:t>
            </w:r>
            <w:r w:rsidRPr="00920145">
              <w:rPr>
                <w:rFonts w:ascii="Verdana" w:hAnsi="Verdana"/>
                <w:sz w:val="20"/>
                <w:szCs w:val="20"/>
              </w:rPr>
              <w:br/>
              <w:t>dla fazy aukcji otwarcia</w:t>
            </w:r>
          </w:p>
        </w:tc>
        <w:tc>
          <w:tcPr>
            <w:tcW w:w="4388" w:type="dxa"/>
          </w:tcPr>
          <w:p w14:paraId="49BF534C" w14:textId="38B24F1C" w:rsidR="00354976" w:rsidRPr="00920145" w:rsidDel="00354976" w:rsidRDefault="003179AC" w:rsidP="00A23201">
            <w:pPr>
              <w:spacing w:after="120" w:line="360" w:lineRule="auto"/>
              <w:ind w:left="83" w:hanging="8"/>
              <w:rPr>
                <w:rFonts w:ascii="Verdana" w:hAnsi="Verdana"/>
                <w:sz w:val="20"/>
                <w:szCs w:val="20"/>
              </w:rPr>
            </w:pPr>
            <w:r w:rsidRPr="00920145">
              <w:rPr>
                <w:rFonts w:ascii="Verdana" w:hAnsi="Verdana"/>
                <w:sz w:val="20"/>
                <w:szCs w:val="20"/>
              </w:rPr>
              <w:t>(</w:t>
            </w:r>
            <w:r w:rsidR="00354976" w:rsidRPr="00920145">
              <w:rPr>
                <w:rFonts w:ascii="Verdana" w:hAnsi="Verdana"/>
                <w:sz w:val="20"/>
                <w:szCs w:val="20"/>
              </w:rPr>
              <w:t>+</w:t>
            </w:r>
            <w:r w:rsidRPr="00920145">
              <w:rPr>
                <w:rFonts w:ascii="Verdana" w:hAnsi="Verdana"/>
                <w:sz w:val="20"/>
                <w:szCs w:val="20"/>
              </w:rPr>
              <w:t xml:space="preserve">) </w:t>
            </w:r>
            <w:r w:rsidR="00024F3C" w:rsidRPr="00920145">
              <w:rPr>
                <w:rFonts w:ascii="Verdana" w:hAnsi="Verdana"/>
                <w:sz w:val="20"/>
                <w:szCs w:val="20"/>
              </w:rPr>
              <w:t>0-</w:t>
            </w:r>
            <w:r w:rsidR="00354976" w:rsidRPr="00920145">
              <w:rPr>
                <w:rFonts w:ascii="Verdana" w:hAnsi="Verdana"/>
                <w:sz w:val="20"/>
                <w:szCs w:val="20"/>
              </w:rPr>
              <w:t>30 sekund</w:t>
            </w:r>
          </w:p>
        </w:tc>
      </w:tr>
      <w:tr w:rsidR="00354976" w:rsidRPr="00920145" w14:paraId="25C5270F" w14:textId="77777777" w:rsidTr="002F7B05">
        <w:tc>
          <w:tcPr>
            <w:tcW w:w="3402" w:type="dxa"/>
          </w:tcPr>
          <w:p w14:paraId="5593B317" w14:textId="51194BA6" w:rsidR="00354976" w:rsidRPr="00920145" w:rsidRDefault="00354976" w:rsidP="00A23201">
            <w:pPr>
              <w:spacing w:after="120" w:line="360" w:lineRule="auto"/>
              <w:rPr>
                <w:rFonts w:ascii="Verdana" w:hAnsi="Verdana"/>
                <w:sz w:val="20"/>
                <w:szCs w:val="20"/>
              </w:rPr>
            </w:pPr>
            <w:r w:rsidRPr="00920145">
              <w:rPr>
                <w:rFonts w:ascii="Verdana" w:hAnsi="Verdana"/>
                <w:sz w:val="20"/>
                <w:szCs w:val="20"/>
              </w:rPr>
              <w:t>Losowy czas otwarcia</w:t>
            </w:r>
            <w:r w:rsidRPr="00920145">
              <w:rPr>
                <w:rFonts w:ascii="Verdana" w:hAnsi="Verdana"/>
                <w:sz w:val="20"/>
                <w:szCs w:val="20"/>
              </w:rPr>
              <w:br/>
              <w:t>dla fazy aukcji zamknięcia</w:t>
            </w:r>
          </w:p>
        </w:tc>
        <w:tc>
          <w:tcPr>
            <w:tcW w:w="4388" w:type="dxa"/>
          </w:tcPr>
          <w:p w14:paraId="1E4A5C57" w14:textId="0EB29A8D" w:rsidR="00354976" w:rsidRPr="00920145" w:rsidRDefault="003179AC" w:rsidP="00A23201">
            <w:pPr>
              <w:spacing w:after="120" w:line="360" w:lineRule="auto"/>
              <w:ind w:left="83" w:hanging="8"/>
              <w:rPr>
                <w:rFonts w:ascii="Verdana" w:hAnsi="Verdana"/>
                <w:sz w:val="20"/>
                <w:szCs w:val="20"/>
              </w:rPr>
            </w:pPr>
            <w:r w:rsidRPr="00920145">
              <w:rPr>
                <w:rFonts w:ascii="Verdana" w:hAnsi="Verdana"/>
                <w:sz w:val="20"/>
                <w:szCs w:val="20"/>
              </w:rPr>
              <w:t>(-)</w:t>
            </w:r>
            <w:r w:rsidR="00024F3C" w:rsidRPr="00920145">
              <w:rPr>
                <w:rFonts w:ascii="Verdana" w:hAnsi="Verdana"/>
                <w:sz w:val="20"/>
                <w:szCs w:val="20"/>
              </w:rPr>
              <w:t xml:space="preserve"> </w:t>
            </w:r>
            <w:r w:rsidR="007B5359" w:rsidRPr="00920145">
              <w:rPr>
                <w:rFonts w:ascii="Verdana" w:hAnsi="Verdana"/>
                <w:sz w:val="20"/>
                <w:szCs w:val="20"/>
              </w:rPr>
              <w:t>0-3</w:t>
            </w:r>
            <w:r w:rsidR="00354976" w:rsidRPr="00920145">
              <w:rPr>
                <w:rFonts w:ascii="Verdana" w:hAnsi="Verdana"/>
                <w:sz w:val="20"/>
                <w:szCs w:val="20"/>
              </w:rPr>
              <w:t>0 sekund</w:t>
            </w:r>
          </w:p>
        </w:tc>
      </w:tr>
      <w:tr w:rsidR="00A103EC" w:rsidRPr="00920145" w14:paraId="3479DC75" w14:textId="77777777" w:rsidTr="002F7B05">
        <w:tc>
          <w:tcPr>
            <w:tcW w:w="3402" w:type="dxa"/>
          </w:tcPr>
          <w:p w14:paraId="0ED94E02" w14:textId="77777777" w:rsidR="00A103EC" w:rsidRPr="00920145" w:rsidRDefault="00A103EC" w:rsidP="00A23201">
            <w:pPr>
              <w:spacing w:after="120" w:line="360" w:lineRule="auto"/>
              <w:rPr>
                <w:rFonts w:ascii="Verdana" w:hAnsi="Verdana"/>
                <w:sz w:val="20"/>
                <w:szCs w:val="20"/>
              </w:rPr>
            </w:pPr>
            <w:r w:rsidRPr="00920145">
              <w:rPr>
                <w:rFonts w:ascii="Verdana" w:hAnsi="Verdana"/>
                <w:sz w:val="20"/>
                <w:szCs w:val="20"/>
              </w:rPr>
              <w:t>Wysokość statycznych ograniczeń wahań kursów</w:t>
            </w:r>
          </w:p>
          <w:p w14:paraId="41925BBF" w14:textId="77777777" w:rsidR="00A103EC" w:rsidRPr="00920145" w:rsidRDefault="00A103EC" w:rsidP="00A23201">
            <w:pPr>
              <w:spacing w:after="120" w:line="360" w:lineRule="auto"/>
              <w:rPr>
                <w:rFonts w:ascii="Verdana" w:hAnsi="Verdana"/>
                <w:sz w:val="20"/>
                <w:szCs w:val="20"/>
              </w:rPr>
            </w:pPr>
          </w:p>
        </w:tc>
        <w:tc>
          <w:tcPr>
            <w:tcW w:w="4388" w:type="dxa"/>
          </w:tcPr>
          <w:p w14:paraId="26D690FF" w14:textId="77777777" w:rsidR="00A103EC" w:rsidRPr="00920145" w:rsidRDefault="00A103EC" w:rsidP="00190962">
            <w:pPr>
              <w:numPr>
                <w:ilvl w:val="0"/>
                <w:numId w:val="38"/>
              </w:numPr>
              <w:spacing w:after="120" w:line="360" w:lineRule="auto"/>
              <w:rPr>
                <w:rFonts w:ascii="Verdana" w:hAnsi="Verdana"/>
                <w:sz w:val="20"/>
                <w:szCs w:val="20"/>
              </w:rPr>
            </w:pPr>
            <w:r w:rsidRPr="00920145">
              <w:rPr>
                <w:rFonts w:ascii="Verdana" w:hAnsi="Verdana"/>
                <w:sz w:val="20"/>
                <w:szCs w:val="20"/>
              </w:rPr>
              <w:t xml:space="preserve">30,00% od kursu odniesienia - przy kursie odniesienia 0,0100 - 0,0999 jednostki waluty notowania   </w:t>
            </w:r>
          </w:p>
          <w:p w14:paraId="10853B9D" w14:textId="77777777" w:rsidR="00A103EC" w:rsidRPr="00920145" w:rsidRDefault="00A103EC" w:rsidP="00190962">
            <w:pPr>
              <w:numPr>
                <w:ilvl w:val="0"/>
                <w:numId w:val="38"/>
              </w:numPr>
              <w:spacing w:after="120" w:line="360" w:lineRule="auto"/>
              <w:jc w:val="both"/>
              <w:rPr>
                <w:rFonts w:ascii="Verdana" w:hAnsi="Verdana"/>
                <w:sz w:val="20"/>
                <w:szCs w:val="20"/>
              </w:rPr>
            </w:pPr>
            <w:r w:rsidRPr="00920145">
              <w:rPr>
                <w:rFonts w:ascii="Verdana" w:hAnsi="Verdana"/>
                <w:sz w:val="20"/>
                <w:szCs w:val="20"/>
              </w:rPr>
              <w:t xml:space="preserve">15,00% od kursu odniesienia - przy kursie odniesienia 0,1000 - 0,1999 jednostki waluty notowania    </w:t>
            </w:r>
          </w:p>
          <w:p w14:paraId="624CB99E" w14:textId="77777777" w:rsidR="00A103EC" w:rsidRPr="00920145" w:rsidRDefault="00A103EC" w:rsidP="00190962">
            <w:pPr>
              <w:numPr>
                <w:ilvl w:val="0"/>
                <w:numId w:val="38"/>
              </w:numPr>
              <w:spacing w:after="120" w:line="360" w:lineRule="auto"/>
              <w:jc w:val="both"/>
              <w:rPr>
                <w:rFonts w:ascii="Verdana" w:hAnsi="Verdana"/>
                <w:sz w:val="20"/>
                <w:szCs w:val="20"/>
              </w:rPr>
            </w:pPr>
            <w:r w:rsidRPr="00920145">
              <w:rPr>
                <w:rFonts w:ascii="Verdana" w:hAnsi="Verdana"/>
                <w:sz w:val="20"/>
                <w:szCs w:val="20"/>
              </w:rPr>
              <w:t xml:space="preserve">10,00% od kursu odniesienia - przy kursie odniesienia 0,2000 jednostki waluty notowania lub wyższym  </w:t>
            </w:r>
          </w:p>
        </w:tc>
      </w:tr>
      <w:tr w:rsidR="00A103EC" w:rsidRPr="00920145" w14:paraId="72BD482A" w14:textId="77777777" w:rsidTr="002F7B05">
        <w:tc>
          <w:tcPr>
            <w:tcW w:w="3402" w:type="dxa"/>
          </w:tcPr>
          <w:p w14:paraId="420B4A39" w14:textId="77777777" w:rsidR="00A103EC" w:rsidRPr="00920145" w:rsidRDefault="00A103EC" w:rsidP="00A23201">
            <w:pPr>
              <w:spacing w:after="120" w:line="360" w:lineRule="auto"/>
              <w:rPr>
                <w:rFonts w:ascii="Verdana" w:hAnsi="Verdana"/>
                <w:sz w:val="20"/>
                <w:szCs w:val="20"/>
              </w:rPr>
            </w:pPr>
            <w:r w:rsidRPr="00920145">
              <w:rPr>
                <w:rFonts w:ascii="Verdana" w:hAnsi="Verdana"/>
                <w:sz w:val="20"/>
                <w:szCs w:val="20"/>
              </w:rPr>
              <w:t xml:space="preserve">Wysokość dynamicznych ograniczeń wahań kursów </w:t>
            </w:r>
          </w:p>
        </w:tc>
        <w:tc>
          <w:tcPr>
            <w:tcW w:w="4388" w:type="dxa"/>
          </w:tcPr>
          <w:p w14:paraId="462B3EC1" w14:textId="77777777" w:rsidR="00A103EC" w:rsidRPr="00920145" w:rsidRDefault="00A103EC" w:rsidP="00190962">
            <w:pPr>
              <w:numPr>
                <w:ilvl w:val="0"/>
                <w:numId w:val="39"/>
              </w:numPr>
              <w:spacing w:after="120" w:line="360" w:lineRule="auto"/>
              <w:jc w:val="both"/>
              <w:rPr>
                <w:rFonts w:ascii="Verdana" w:hAnsi="Verdana"/>
                <w:sz w:val="20"/>
                <w:szCs w:val="20"/>
              </w:rPr>
            </w:pPr>
            <w:r w:rsidRPr="00920145">
              <w:rPr>
                <w:rFonts w:ascii="Verdana" w:hAnsi="Verdana"/>
                <w:sz w:val="20"/>
                <w:szCs w:val="20"/>
              </w:rPr>
              <w:t xml:space="preserve">6,00% od kursu odniesienia - przy kursie odniesienia 0,0100 - 0,1999 jednostki waluty notowania    </w:t>
            </w:r>
          </w:p>
          <w:p w14:paraId="041347FC" w14:textId="698B75DB" w:rsidR="00A103EC" w:rsidRPr="00920145" w:rsidRDefault="00A103EC" w:rsidP="00190962">
            <w:pPr>
              <w:numPr>
                <w:ilvl w:val="0"/>
                <w:numId w:val="39"/>
              </w:numPr>
              <w:spacing w:after="120" w:line="360" w:lineRule="auto"/>
              <w:jc w:val="both"/>
              <w:rPr>
                <w:rFonts w:ascii="Verdana" w:hAnsi="Verdana"/>
                <w:sz w:val="20"/>
                <w:szCs w:val="20"/>
              </w:rPr>
            </w:pPr>
            <w:r w:rsidRPr="00920145">
              <w:rPr>
                <w:rFonts w:ascii="Verdana" w:hAnsi="Verdana"/>
                <w:sz w:val="20"/>
                <w:szCs w:val="20"/>
              </w:rPr>
              <w:t xml:space="preserve">3,00% od kursu odniesienia - przy kursie odniesienia 0,2000 jednostki waluty notowania lub wyższym </w:t>
            </w:r>
          </w:p>
        </w:tc>
      </w:tr>
      <w:tr w:rsidR="00A103EC" w:rsidRPr="00920145" w14:paraId="56097E6C" w14:textId="77777777" w:rsidTr="002F7B05">
        <w:tc>
          <w:tcPr>
            <w:tcW w:w="3402" w:type="dxa"/>
          </w:tcPr>
          <w:p w14:paraId="1DF193CE" w14:textId="77777777" w:rsidR="00A103EC" w:rsidRPr="00920145" w:rsidRDefault="00A103EC" w:rsidP="00A23201">
            <w:pPr>
              <w:spacing w:after="120" w:line="360" w:lineRule="auto"/>
              <w:rPr>
                <w:rFonts w:ascii="Verdana" w:hAnsi="Verdana"/>
                <w:sz w:val="20"/>
                <w:szCs w:val="20"/>
              </w:rPr>
            </w:pPr>
            <w:r w:rsidRPr="00920145">
              <w:rPr>
                <w:rFonts w:ascii="Verdana" w:hAnsi="Verdana"/>
                <w:sz w:val="20"/>
                <w:szCs w:val="20"/>
              </w:rPr>
              <w:t xml:space="preserve">Maksymalne wartości dla limitów cen w zleceniu maklerskim   </w:t>
            </w:r>
          </w:p>
        </w:tc>
        <w:tc>
          <w:tcPr>
            <w:tcW w:w="4388" w:type="dxa"/>
          </w:tcPr>
          <w:p w14:paraId="7B3C5EB0" w14:textId="77777777" w:rsidR="00A103EC" w:rsidRPr="00920145" w:rsidRDefault="00A103EC" w:rsidP="00A23201">
            <w:pPr>
              <w:spacing w:after="120" w:line="360" w:lineRule="auto"/>
              <w:rPr>
                <w:rFonts w:ascii="Verdana" w:hAnsi="Verdana"/>
                <w:sz w:val="20"/>
                <w:szCs w:val="20"/>
              </w:rPr>
            </w:pPr>
            <w:r w:rsidRPr="00920145">
              <w:rPr>
                <w:rFonts w:ascii="Verdana" w:hAnsi="Verdana"/>
                <w:sz w:val="20"/>
                <w:szCs w:val="20"/>
              </w:rPr>
              <w:t>40% względem kursu odniesienia dla statycznych ograniczeń wahań kursu</w:t>
            </w:r>
          </w:p>
        </w:tc>
      </w:tr>
      <w:tr w:rsidR="00A103EC" w:rsidRPr="00920145" w14:paraId="6120B56B" w14:textId="77777777" w:rsidTr="002F7B05">
        <w:tc>
          <w:tcPr>
            <w:tcW w:w="3402" w:type="dxa"/>
          </w:tcPr>
          <w:p w14:paraId="4543D212" w14:textId="77777777" w:rsidR="00A103EC" w:rsidRPr="00920145" w:rsidRDefault="00A103EC" w:rsidP="00A23201">
            <w:pPr>
              <w:spacing w:after="120" w:line="360" w:lineRule="auto"/>
              <w:rPr>
                <w:rFonts w:ascii="Verdana" w:hAnsi="Verdana"/>
                <w:sz w:val="20"/>
                <w:szCs w:val="20"/>
              </w:rPr>
            </w:pPr>
            <w:r w:rsidRPr="00920145">
              <w:rPr>
                <w:rFonts w:ascii="Verdana" w:hAnsi="Verdana"/>
                <w:sz w:val="20"/>
                <w:szCs w:val="20"/>
              </w:rPr>
              <w:t xml:space="preserve">Maksymalna wartość zlecenia maklerskiego     </w:t>
            </w:r>
          </w:p>
        </w:tc>
        <w:tc>
          <w:tcPr>
            <w:tcW w:w="4388" w:type="dxa"/>
          </w:tcPr>
          <w:p w14:paraId="55DED866" w14:textId="77777777" w:rsidR="00A103EC" w:rsidRPr="00920145" w:rsidRDefault="00A103EC" w:rsidP="00A23201">
            <w:pPr>
              <w:spacing w:after="120" w:line="360" w:lineRule="auto"/>
              <w:rPr>
                <w:rFonts w:ascii="Verdana" w:hAnsi="Verdana"/>
                <w:sz w:val="20"/>
                <w:szCs w:val="20"/>
              </w:rPr>
            </w:pPr>
            <w:r w:rsidRPr="00920145">
              <w:rPr>
                <w:rFonts w:ascii="Verdana" w:hAnsi="Verdana"/>
                <w:sz w:val="20"/>
                <w:szCs w:val="20"/>
              </w:rPr>
              <w:t xml:space="preserve"> 50.000.000 jednostek waluty notowania</w:t>
            </w:r>
          </w:p>
        </w:tc>
      </w:tr>
      <w:tr w:rsidR="00A103EC" w:rsidRPr="00920145" w14:paraId="2B1911DB" w14:textId="77777777" w:rsidTr="002F7B05">
        <w:tc>
          <w:tcPr>
            <w:tcW w:w="3402" w:type="dxa"/>
          </w:tcPr>
          <w:p w14:paraId="3EDCA715" w14:textId="77777777" w:rsidR="00A103EC" w:rsidRPr="00920145" w:rsidRDefault="00A103EC" w:rsidP="00A23201">
            <w:pPr>
              <w:spacing w:after="120" w:line="360" w:lineRule="auto"/>
              <w:rPr>
                <w:rFonts w:ascii="Verdana" w:hAnsi="Verdana"/>
                <w:sz w:val="20"/>
                <w:szCs w:val="20"/>
              </w:rPr>
            </w:pPr>
            <w:r w:rsidRPr="00920145">
              <w:rPr>
                <w:rFonts w:ascii="Verdana" w:hAnsi="Verdana"/>
                <w:sz w:val="20"/>
                <w:szCs w:val="20"/>
              </w:rPr>
              <w:lastRenderedPageBreak/>
              <w:t xml:space="preserve">Maksymalny wolumen zlecenia maklerskiego    </w:t>
            </w:r>
          </w:p>
        </w:tc>
        <w:tc>
          <w:tcPr>
            <w:tcW w:w="4388" w:type="dxa"/>
          </w:tcPr>
          <w:p w14:paraId="3202A8F8" w14:textId="77777777" w:rsidR="00A103EC" w:rsidRPr="00920145" w:rsidRDefault="00A103EC" w:rsidP="00A23201">
            <w:pPr>
              <w:spacing w:after="120" w:line="360" w:lineRule="auto"/>
              <w:jc w:val="both"/>
              <w:rPr>
                <w:rFonts w:ascii="Verdana" w:hAnsi="Verdana"/>
                <w:sz w:val="20"/>
                <w:szCs w:val="20"/>
              </w:rPr>
            </w:pPr>
            <w:r w:rsidRPr="00920145">
              <w:rPr>
                <w:rFonts w:ascii="Verdana" w:hAnsi="Verdana"/>
                <w:sz w:val="20"/>
                <w:szCs w:val="20"/>
              </w:rPr>
              <w:t>2% instrumentów finansowych wprowadzonych do obrotu giełdowego i oznaczonych tym samym kodem ISIN, a w przypadku gdy 2% tych instrumentów stanowi mniej niż 1.000.000 instrumentów - nie więcej niż 1.000.000 instrumentów</w:t>
            </w:r>
          </w:p>
        </w:tc>
      </w:tr>
      <w:tr w:rsidR="00A103EC" w:rsidRPr="00920145" w14:paraId="4D86EF49" w14:textId="77777777" w:rsidTr="002F7B05">
        <w:tc>
          <w:tcPr>
            <w:tcW w:w="3402" w:type="dxa"/>
          </w:tcPr>
          <w:p w14:paraId="7BCEB747" w14:textId="77777777" w:rsidR="00A103EC" w:rsidRPr="00920145" w:rsidRDefault="00A103EC" w:rsidP="00A23201">
            <w:pPr>
              <w:spacing w:after="120" w:line="360" w:lineRule="auto"/>
              <w:rPr>
                <w:rFonts w:ascii="Verdana" w:hAnsi="Verdana"/>
                <w:sz w:val="20"/>
                <w:szCs w:val="20"/>
              </w:rPr>
            </w:pPr>
            <w:r w:rsidRPr="00920145">
              <w:rPr>
                <w:rFonts w:ascii="Verdana" w:hAnsi="Verdana"/>
                <w:sz w:val="20"/>
                <w:szCs w:val="20"/>
              </w:rPr>
              <w:t>Równoważenie podstawowe dla statycznych ograniczeń wahań kursów</w:t>
            </w:r>
          </w:p>
        </w:tc>
        <w:tc>
          <w:tcPr>
            <w:tcW w:w="4388" w:type="dxa"/>
          </w:tcPr>
          <w:p w14:paraId="3087DF72" w14:textId="77777777" w:rsidR="00A103EC" w:rsidRPr="00920145" w:rsidRDefault="00A103EC" w:rsidP="00A23201">
            <w:pPr>
              <w:spacing w:after="120" w:line="360" w:lineRule="auto"/>
              <w:rPr>
                <w:rFonts w:ascii="Verdana" w:hAnsi="Verdana"/>
                <w:sz w:val="20"/>
                <w:szCs w:val="20"/>
              </w:rPr>
            </w:pPr>
            <w:r w:rsidRPr="00920145">
              <w:rPr>
                <w:rFonts w:ascii="Verdana" w:hAnsi="Verdana"/>
                <w:sz w:val="20"/>
                <w:szCs w:val="20"/>
              </w:rPr>
              <w:t>Tak</w:t>
            </w:r>
          </w:p>
          <w:p w14:paraId="445A0BE3" w14:textId="6BA83F0E" w:rsidR="00A103EC" w:rsidRPr="00920145" w:rsidRDefault="00A103EC" w:rsidP="00A23201">
            <w:pPr>
              <w:spacing w:after="120" w:line="360" w:lineRule="auto"/>
              <w:rPr>
                <w:rFonts w:ascii="Verdana" w:hAnsi="Verdana"/>
                <w:sz w:val="20"/>
                <w:szCs w:val="20"/>
              </w:rPr>
            </w:pPr>
          </w:p>
        </w:tc>
      </w:tr>
      <w:tr w:rsidR="00A103EC" w:rsidRPr="00920145" w14:paraId="5D89AEC9" w14:textId="77777777" w:rsidTr="002F7B05">
        <w:tc>
          <w:tcPr>
            <w:tcW w:w="3402" w:type="dxa"/>
          </w:tcPr>
          <w:p w14:paraId="4C96ABF8" w14:textId="77777777" w:rsidR="00A103EC" w:rsidRPr="00920145" w:rsidRDefault="00A103EC" w:rsidP="00A23201">
            <w:pPr>
              <w:spacing w:after="120" w:line="360" w:lineRule="auto"/>
              <w:rPr>
                <w:rFonts w:ascii="Verdana" w:hAnsi="Verdana"/>
                <w:sz w:val="20"/>
                <w:szCs w:val="20"/>
              </w:rPr>
            </w:pPr>
            <w:r w:rsidRPr="00920145">
              <w:rPr>
                <w:rFonts w:ascii="Verdana" w:hAnsi="Verdana"/>
                <w:sz w:val="20"/>
                <w:szCs w:val="20"/>
              </w:rPr>
              <w:t>Czas trwania równoważenia podstawowego dla statycznych ograniczeń wahań kursów</w:t>
            </w:r>
          </w:p>
        </w:tc>
        <w:tc>
          <w:tcPr>
            <w:tcW w:w="4388" w:type="dxa"/>
          </w:tcPr>
          <w:p w14:paraId="4B502AE0" w14:textId="77777777" w:rsidR="00A103EC" w:rsidRPr="00920145" w:rsidRDefault="00A103EC" w:rsidP="00A23201">
            <w:pPr>
              <w:spacing w:after="120" w:line="360" w:lineRule="auto"/>
              <w:rPr>
                <w:rFonts w:ascii="Verdana" w:hAnsi="Verdana"/>
                <w:sz w:val="20"/>
                <w:szCs w:val="20"/>
              </w:rPr>
            </w:pPr>
            <w:r w:rsidRPr="00920145">
              <w:rPr>
                <w:rFonts w:ascii="Verdana" w:hAnsi="Verdana"/>
                <w:sz w:val="20"/>
                <w:szCs w:val="20"/>
              </w:rPr>
              <w:t>300 sekund</w:t>
            </w:r>
          </w:p>
        </w:tc>
      </w:tr>
      <w:tr w:rsidR="00A103EC" w:rsidRPr="00920145" w14:paraId="56C829EE" w14:textId="77777777" w:rsidTr="002F7B05">
        <w:tc>
          <w:tcPr>
            <w:tcW w:w="3402" w:type="dxa"/>
          </w:tcPr>
          <w:p w14:paraId="060345F1" w14:textId="77777777" w:rsidR="00A103EC" w:rsidRPr="00920145" w:rsidRDefault="00A103EC" w:rsidP="00A23201">
            <w:pPr>
              <w:spacing w:after="120" w:line="360" w:lineRule="auto"/>
              <w:rPr>
                <w:rFonts w:ascii="Verdana" w:hAnsi="Verdana"/>
                <w:sz w:val="20"/>
                <w:szCs w:val="20"/>
              </w:rPr>
            </w:pPr>
            <w:r w:rsidRPr="00920145">
              <w:rPr>
                <w:rFonts w:ascii="Verdana" w:hAnsi="Verdana"/>
                <w:sz w:val="20"/>
                <w:szCs w:val="20"/>
              </w:rPr>
              <w:t>Współczynnik przesunięcia kursu odniesienia dla równoważenia w fazie aukcji otwarcia</w:t>
            </w:r>
          </w:p>
        </w:tc>
        <w:tc>
          <w:tcPr>
            <w:tcW w:w="4388" w:type="dxa"/>
          </w:tcPr>
          <w:p w14:paraId="469ED7C3" w14:textId="77777777" w:rsidR="00A103EC" w:rsidRPr="00920145" w:rsidRDefault="00A103EC" w:rsidP="00A23201">
            <w:pPr>
              <w:spacing w:after="120" w:line="360" w:lineRule="auto"/>
              <w:rPr>
                <w:rFonts w:ascii="Verdana" w:hAnsi="Verdana"/>
                <w:sz w:val="20"/>
                <w:szCs w:val="20"/>
              </w:rPr>
            </w:pPr>
            <w:r w:rsidRPr="00920145">
              <w:rPr>
                <w:rFonts w:ascii="Verdana" w:hAnsi="Verdana"/>
                <w:sz w:val="20"/>
                <w:szCs w:val="20"/>
              </w:rPr>
              <w:t>1</w:t>
            </w:r>
          </w:p>
        </w:tc>
      </w:tr>
      <w:tr w:rsidR="00A103EC" w:rsidRPr="00920145" w14:paraId="154865DD" w14:textId="77777777" w:rsidTr="002F7B05">
        <w:tc>
          <w:tcPr>
            <w:tcW w:w="3402" w:type="dxa"/>
          </w:tcPr>
          <w:p w14:paraId="57FD8459" w14:textId="77777777" w:rsidR="00A103EC" w:rsidRPr="00920145" w:rsidRDefault="00A103EC" w:rsidP="00A23201">
            <w:pPr>
              <w:spacing w:after="120" w:line="360" w:lineRule="auto"/>
              <w:rPr>
                <w:rFonts w:ascii="Verdana" w:hAnsi="Verdana"/>
                <w:sz w:val="20"/>
                <w:szCs w:val="20"/>
              </w:rPr>
            </w:pPr>
            <w:r w:rsidRPr="00920145">
              <w:rPr>
                <w:rFonts w:ascii="Verdana" w:hAnsi="Verdana"/>
                <w:sz w:val="20"/>
                <w:szCs w:val="20"/>
              </w:rPr>
              <w:t>Współczynnik przesunięcia kursu odniesienia dla równoważenia w fazach innych niż faza aukcji otwarcia</w:t>
            </w:r>
          </w:p>
        </w:tc>
        <w:tc>
          <w:tcPr>
            <w:tcW w:w="4388" w:type="dxa"/>
          </w:tcPr>
          <w:p w14:paraId="33CB31F5" w14:textId="77777777" w:rsidR="00A103EC" w:rsidRPr="00920145" w:rsidRDefault="00A103EC" w:rsidP="00A23201">
            <w:pPr>
              <w:spacing w:after="120" w:line="360" w:lineRule="auto"/>
              <w:rPr>
                <w:rFonts w:ascii="Verdana" w:hAnsi="Verdana"/>
                <w:sz w:val="20"/>
                <w:szCs w:val="20"/>
              </w:rPr>
            </w:pPr>
            <w:r w:rsidRPr="00920145">
              <w:rPr>
                <w:rFonts w:ascii="Verdana" w:hAnsi="Verdana"/>
                <w:sz w:val="20"/>
                <w:szCs w:val="20"/>
              </w:rPr>
              <w:t>0,5</w:t>
            </w:r>
          </w:p>
        </w:tc>
      </w:tr>
      <w:tr w:rsidR="00A103EC" w:rsidRPr="00920145" w14:paraId="23D55684" w14:textId="77777777" w:rsidTr="002F7B05">
        <w:tc>
          <w:tcPr>
            <w:tcW w:w="3402" w:type="dxa"/>
          </w:tcPr>
          <w:p w14:paraId="15788B4E" w14:textId="77777777" w:rsidR="00A103EC" w:rsidRPr="00920145" w:rsidRDefault="00A103EC" w:rsidP="00A23201">
            <w:pPr>
              <w:spacing w:after="120" w:line="360" w:lineRule="auto"/>
              <w:rPr>
                <w:rFonts w:ascii="Verdana" w:hAnsi="Verdana"/>
                <w:sz w:val="20"/>
                <w:szCs w:val="20"/>
              </w:rPr>
            </w:pPr>
            <w:r w:rsidRPr="00920145">
              <w:rPr>
                <w:rFonts w:ascii="Verdana" w:hAnsi="Verdana"/>
                <w:sz w:val="20"/>
                <w:szCs w:val="20"/>
              </w:rPr>
              <w:t>Współczynnik maksymalnej liczby zmian netto statycznych ograniczeń wahań kursów</w:t>
            </w:r>
          </w:p>
        </w:tc>
        <w:tc>
          <w:tcPr>
            <w:tcW w:w="4388" w:type="dxa"/>
          </w:tcPr>
          <w:p w14:paraId="4C84F5C5" w14:textId="77777777" w:rsidR="00A103EC" w:rsidRPr="00920145" w:rsidRDefault="00A103EC" w:rsidP="00A23201">
            <w:pPr>
              <w:spacing w:after="120" w:line="360" w:lineRule="auto"/>
              <w:rPr>
                <w:rFonts w:ascii="Verdana" w:hAnsi="Verdana"/>
                <w:sz w:val="20"/>
                <w:szCs w:val="20"/>
              </w:rPr>
            </w:pPr>
            <w:r w:rsidRPr="00920145">
              <w:rPr>
                <w:rFonts w:ascii="Verdana" w:hAnsi="Verdana"/>
                <w:sz w:val="20"/>
                <w:szCs w:val="20"/>
              </w:rPr>
              <w:t>2</w:t>
            </w:r>
          </w:p>
        </w:tc>
      </w:tr>
      <w:tr w:rsidR="00A103EC" w:rsidRPr="00920145" w14:paraId="5F0802DD" w14:textId="77777777" w:rsidTr="002F7B05">
        <w:tc>
          <w:tcPr>
            <w:tcW w:w="3402" w:type="dxa"/>
          </w:tcPr>
          <w:p w14:paraId="4A64D886" w14:textId="77777777" w:rsidR="00A103EC" w:rsidRPr="00920145" w:rsidRDefault="00A103EC" w:rsidP="00A23201">
            <w:pPr>
              <w:spacing w:after="120" w:line="360" w:lineRule="auto"/>
              <w:rPr>
                <w:rFonts w:ascii="Verdana" w:hAnsi="Verdana"/>
                <w:sz w:val="20"/>
                <w:szCs w:val="20"/>
              </w:rPr>
            </w:pPr>
            <w:r w:rsidRPr="00920145">
              <w:rPr>
                <w:rFonts w:ascii="Verdana" w:hAnsi="Verdana"/>
                <w:sz w:val="20"/>
                <w:szCs w:val="20"/>
              </w:rPr>
              <w:t>Czas trwania równoważenia podstawowego dla dynamicznych ograniczeń wahań kursów</w:t>
            </w:r>
          </w:p>
        </w:tc>
        <w:tc>
          <w:tcPr>
            <w:tcW w:w="4388" w:type="dxa"/>
          </w:tcPr>
          <w:p w14:paraId="19D36CF7" w14:textId="77777777" w:rsidR="00A103EC" w:rsidRPr="00920145" w:rsidRDefault="00A103EC" w:rsidP="00A23201">
            <w:pPr>
              <w:spacing w:after="120" w:line="360" w:lineRule="auto"/>
              <w:rPr>
                <w:rFonts w:ascii="Verdana" w:hAnsi="Verdana"/>
                <w:sz w:val="20"/>
                <w:szCs w:val="20"/>
              </w:rPr>
            </w:pPr>
            <w:r w:rsidRPr="00920145">
              <w:rPr>
                <w:rFonts w:ascii="Verdana" w:hAnsi="Verdana"/>
                <w:sz w:val="20"/>
                <w:szCs w:val="20"/>
              </w:rPr>
              <w:t>60 sekund</w:t>
            </w:r>
          </w:p>
        </w:tc>
      </w:tr>
      <w:tr w:rsidR="00A103EC" w:rsidRPr="00920145" w14:paraId="0952DE04" w14:textId="77777777" w:rsidTr="002F7B05">
        <w:tc>
          <w:tcPr>
            <w:tcW w:w="3402" w:type="dxa"/>
          </w:tcPr>
          <w:p w14:paraId="5162CEE5" w14:textId="77777777" w:rsidR="00A103EC" w:rsidRPr="00920145" w:rsidRDefault="00A103EC" w:rsidP="00A23201">
            <w:pPr>
              <w:spacing w:after="120" w:line="360" w:lineRule="auto"/>
              <w:rPr>
                <w:rFonts w:ascii="Verdana" w:hAnsi="Verdana"/>
                <w:sz w:val="20"/>
                <w:szCs w:val="20"/>
              </w:rPr>
            </w:pPr>
            <w:r w:rsidRPr="00920145">
              <w:rPr>
                <w:rFonts w:ascii="Verdana" w:hAnsi="Verdana"/>
                <w:sz w:val="20"/>
                <w:szCs w:val="20"/>
              </w:rPr>
              <w:t>Współczynnik rozszerzenia dla równoważenia w fazie aukcji otwarcia</w:t>
            </w:r>
          </w:p>
        </w:tc>
        <w:tc>
          <w:tcPr>
            <w:tcW w:w="4388" w:type="dxa"/>
          </w:tcPr>
          <w:p w14:paraId="56A815A2" w14:textId="77777777" w:rsidR="00A103EC" w:rsidRPr="00920145" w:rsidRDefault="00A103EC" w:rsidP="00A23201">
            <w:pPr>
              <w:spacing w:after="120" w:line="360" w:lineRule="auto"/>
              <w:rPr>
                <w:rFonts w:ascii="Verdana" w:hAnsi="Verdana"/>
                <w:sz w:val="20"/>
                <w:szCs w:val="20"/>
              </w:rPr>
            </w:pPr>
            <w:r w:rsidRPr="00920145">
              <w:rPr>
                <w:rFonts w:ascii="Verdana" w:hAnsi="Verdana"/>
                <w:sz w:val="20"/>
                <w:szCs w:val="20"/>
              </w:rPr>
              <w:t>3,0</w:t>
            </w:r>
          </w:p>
        </w:tc>
      </w:tr>
      <w:tr w:rsidR="00A103EC" w:rsidRPr="00920145" w14:paraId="7BAEB8B3" w14:textId="77777777" w:rsidTr="002F7B05">
        <w:tc>
          <w:tcPr>
            <w:tcW w:w="3402" w:type="dxa"/>
          </w:tcPr>
          <w:p w14:paraId="4B1C0416" w14:textId="77777777" w:rsidR="00A103EC" w:rsidRPr="00920145" w:rsidRDefault="00A103EC" w:rsidP="00A23201">
            <w:pPr>
              <w:spacing w:after="120" w:line="360" w:lineRule="auto"/>
              <w:rPr>
                <w:rFonts w:ascii="Verdana" w:hAnsi="Verdana"/>
                <w:sz w:val="20"/>
                <w:szCs w:val="20"/>
              </w:rPr>
            </w:pPr>
            <w:r w:rsidRPr="00920145">
              <w:rPr>
                <w:rFonts w:ascii="Verdana" w:hAnsi="Verdana"/>
                <w:sz w:val="20"/>
                <w:szCs w:val="20"/>
              </w:rPr>
              <w:t>Współczynnik rozszerzenia dla równoważenia w fazach innych niż faza aukcji otwarcia</w:t>
            </w:r>
          </w:p>
        </w:tc>
        <w:tc>
          <w:tcPr>
            <w:tcW w:w="4388" w:type="dxa"/>
          </w:tcPr>
          <w:p w14:paraId="0CD5A885" w14:textId="77777777" w:rsidR="00A103EC" w:rsidRPr="00920145" w:rsidRDefault="00A103EC" w:rsidP="00A23201">
            <w:pPr>
              <w:spacing w:after="120" w:line="360" w:lineRule="auto"/>
              <w:rPr>
                <w:rFonts w:ascii="Verdana" w:hAnsi="Verdana"/>
                <w:sz w:val="20"/>
                <w:szCs w:val="20"/>
              </w:rPr>
            </w:pPr>
            <w:r w:rsidRPr="00920145">
              <w:rPr>
                <w:rFonts w:ascii="Verdana" w:hAnsi="Verdana"/>
                <w:sz w:val="20"/>
                <w:szCs w:val="20"/>
              </w:rPr>
              <w:t>2,0</w:t>
            </w:r>
          </w:p>
        </w:tc>
      </w:tr>
      <w:tr w:rsidR="00A103EC" w:rsidRPr="00920145" w14:paraId="3BE35CDD" w14:textId="77777777" w:rsidTr="002F7B05">
        <w:tc>
          <w:tcPr>
            <w:tcW w:w="3402" w:type="dxa"/>
          </w:tcPr>
          <w:p w14:paraId="78F0A8AE" w14:textId="77777777" w:rsidR="00A103EC" w:rsidRPr="00920145" w:rsidRDefault="00A103EC" w:rsidP="00A23201">
            <w:pPr>
              <w:spacing w:after="120" w:line="360" w:lineRule="auto"/>
              <w:rPr>
                <w:rFonts w:ascii="Verdana" w:hAnsi="Verdana"/>
                <w:sz w:val="20"/>
                <w:szCs w:val="20"/>
              </w:rPr>
            </w:pPr>
            <w:r w:rsidRPr="00920145">
              <w:rPr>
                <w:rFonts w:ascii="Verdana" w:hAnsi="Verdana"/>
                <w:sz w:val="20"/>
                <w:szCs w:val="20"/>
              </w:rPr>
              <w:lastRenderedPageBreak/>
              <w:t>Współczynnik maksymalnej liczby zmian netto dynamicznych ograniczeń wahań kursów</w:t>
            </w:r>
          </w:p>
        </w:tc>
        <w:tc>
          <w:tcPr>
            <w:tcW w:w="4388" w:type="dxa"/>
          </w:tcPr>
          <w:p w14:paraId="43840C94" w14:textId="77777777" w:rsidR="00A103EC" w:rsidRPr="00920145" w:rsidRDefault="00A103EC" w:rsidP="00A23201">
            <w:pPr>
              <w:spacing w:after="120" w:line="360" w:lineRule="auto"/>
              <w:rPr>
                <w:rFonts w:ascii="Verdana" w:hAnsi="Verdana"/>
                <w:sz w:val="20"/>
                <w:szCs w:val="20"/>
              </w:rPr>
            </w:pPr>
            <w:r w:rsidRPr="00920145">
              <w:rPr>
                <w:rFonts w:ascii="Verdana" w:hAnsi="Verdana"/>
                <w:sz w:val="20"/>
                <w:szCs w:val="20"/>
              </w:rPr>
              <w:t>20</w:t>
            </w:r>
          </w:p>
        </w:tc>
      </w:tr>
    </w:tbl>
    <w:p w14:paraId="1C6E4E9F" w14:textId="03FC44FA" w:rsidR="00A103EC" w:rsidRPr="00920145" w:rsidRDefault="00A103EC" w:rsidP="00A23201">
      <w:pPr>
        <w:spacing w:after="120" w:line="360" w:lineRule="auto"/>
      </w:pPr>
    </w:p>
    <w:p w14:paraId="6793D421" w14:textId="0A986A84" w:rsidR="00A103EC" w:rsidRPr="00920145" w:rsidRDefault="00A103EC" w:rsidP="00A23201">
      <w:pPr>
        <w:spacing w:after="120" w:line="360" w:lineRule="auto"/>
        <w:ind w:left="360" w:firstLine="349"/>
        <w:jc w:val="both"/>
        <w:rPr>
          <w:rFonts w:ascii="Verdana" w:hAnsi="Verdana"/>
          <w:sz w:val="20"/>
          <w:szCs w:val="18"/>
        </w:rPr>
      </w:pPr>
      <w:r w:rsidRPr="00920145">
        <w:rPr>
          <w:rFonts w:ascii="Verdana" w:hAnsi="Verdana"/>
          <w:sz w:val="20"/>
          <w:szCs w:val="18"/>
        </w:rPr>
        <w:t xml:space="preserve">2) akcje wchodzące w skład indeksu mWIG40, z zastrzeżeniem pkt 4) i 5):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4388"/>
      </w:tblGrid>
      <w:tr w:rsidR="00A103EC" w:rsidRPr="00920145" w14:paraId="28A97FC2" w14:textId="77777777" w:rsidTr="002F7B05">
        <w:tc>
          <w:tcPr>
            <w:tcW w:w="3402" w:type="dxa"/>
            <w:tcBorders>
              <w:top w:val="single" w:sz="4" w:space="0" w:color="auto"/>
              <w:left w:val="single" w:sz="4" w:space="0" w:color="auto"/>
              <w:bottom w:val="single" w:sz="4" w:space="0" w:color="auto"/>
              <w:right w:val="single" w:sz="4" w:space="0" w:color="auto"/>
            </w:tcBorders>
          </w:tcPr>
          <w:p w14:paraId="6BBD18FE" w14:textId="77777777" w:rsidR="00A103EC" w:rsidRPr="00920145" w:rsidRDefault="00A103EC" w:rsidP="00A23201">
            <w:pPr>
              <w:spacing w:after="120" w:line="360" w:lineRule="auto"/>
              <w:rPr>
                <w:rFonts w:ascii="Verdana" w:hAnsi="Verdana"/>
                <w:sz w:val="20"/>
                <w:szCs w:val="20"/>
              </w:rPr>
            </w:pPr>
            <w:r w:rsidRPr="00920145">
              <w:rPr>
                <w:rFonts w:ascii="Verdana" w:hAnsi="Verdana"/>
                <w:sz w:val="20"/>
                <w:szCs w:val="20"/>
              </w:rPr>
              <w:t>Jednostka transakcyjna</w:t>
            </w:r>
          </w:p>
        </w:tc>
        <w:tc>
          <w:tcPr>
            <w:tcW w:w="4388" w:type="dxa"/>
            <w:tcBorders>
              <w:top w:val="single" w:sz="4" w:space="0" w:color="auto"/>
              <w:left w:val="single" w:sz="4" w:space="0" w:color="auto"/>
              <w:bottom w:val="single" w:sz="4" w:space="0" w:color="auto"/>
              <w:right w:val="single" w:sz="4" w:space="0" w:color="auto"/>
            </w:tcBorders>
          </w:tcPr>
          <w:p w14:paraId="5074B751" w14:textId="77777777" w:rsidR="00A103EC" w:rsidRPr="00920145" w:rsidRDefault="00A103EC" w:rsidP="00A23201">
            <w:pPr>
              <w:spacing w:after="120" w:line="360" w:lineRule="auto"/>
              <w:ind w:left="83" w:hanging="8"/>
              <w:rPr>
                <w:rFonts w:ascii="Verdana" w:hAnsi="Verdana"/>
                <w:sz w:val="20"/>
                <w:szCs w:val="20"/>
              </w:rPr>
            </w:pPr>
            <w:r w:rsidRPr="00920145">
              <w:rPr>
                <w:rFonts w:ascii="Verdana" w:hAnsi="Verdana"/>
                <w:sz w:val="20"/>
                <w:szCs w:val="20"/>
              </w:rPr>
              <w:t>jeden instrument, chyba że Zarząd Giełdy określi inną jednostkę transakcyjną</w:t>
            </w:r>
          </w:p>
        </w:tc>
      </w:tr>
      <w:tr w:rsidR="00C73408" w:rsidRPr="00920145" w14:paraId="5D58E02E" w14:textId="77777777" w:rsidTr="002F7B05">
        <w:tc>
          <w:tcPr>
            <w:tcW w:w="3402" w:type="dxa"/>
            <w:tcBorders>
              <w:top w:val="single" w:sz="4" w:space="0" w:color="auto"/>
              <w:left w:val="single" w:sz="4" w:space="0" w:color="auto"/>
              <w:bottom w:val="single" w:sz="4" w:space="0" w:color="auto"/>
              <w:right w:val="single" w:sz="4" w:space="0" w:color="auto"/>
            </w:tcBorders>
          </w:tcPr>
          <w:p w14:paraId="3288DCBA" w14:textId="5DF8EFEB" w:rsidR="00C73408" w:rsidRPr="00920145" w:rsidRDefault="00C73408" w:rsidP="00C73408">
            <w:pPr>
              <w:spacing w:after="120" w:line="360" w:lineRule="auto"/>
              <w:rPr>
                <w:rFonts w:ascii="Verdana" w:hAnsi="Verdana"/>
                <w:sz w:val="20"/>
                <w:szCs w:val="20"/>
              </w:rPr>
            </w:pPr>
            <w:r w:rsidRPr="00920145">
              <w:rPr>
                <w:rFonts w:ascii="Verdana" w:hAnsi="Verdana"/>
                <w:sz w:val="20"/>
                <w:szCs w:val="20"/>
              </w:rPr>
              <w:t>Losowy czas otwarcia</w:t>
            </w:r>
            <w:r w:rsidRPr="00920145">
              <w:rPr>
                <w:rFonts w:ascii="Verdana" w:hAnsi="Verdana"/>
                <w:sz w:val="20"/>
                <w:szCs w:val="20"/>
              </w:rPr>
              <w:br/>
              <w:t>dla fazy aukcji otwarcia</w:t>
            </w:r>
          </w:p>
        </w:tc>
        <w:tc>
          <w:tcPr>
            <w:tcW w:w="4388" w:type="dxa"/>
            <w:tcBorders>
              <w:top w:val="single" w:sz="4" w:space="0" w:color="auto"/>
              <w:left w:val="single" w:sz="4" w:space="0" w:color="auto"/>
              <w:bottom w:val="single" w:sz="4" w:space="0" w:color="auto"/>
              <w:right w:val="single" w:sz="4" w:space="0" w:color="auto"/>
            </w:tcBorders>
          </w:tcPr>
          <w:p w14:paraId="47889214" w14:textId="47A3B9CC" w:rsidR="00C73408" w:rsidRPr="00920145" w:rsidRDefault="003179AC" w:rsidP="00C73408">
            <w:pPr>
              <w:spacing w:after="120" w:line="360" w:lineRule="auto"/>
              <w:ind w:left="83" w:hanging="8"/>
              <w:rPr>
                <w:rFonts w:ascii="Verdana" w:hAnsi="Verdana"/>
                <w:sz w:val="20"/>
                <w:szCs w:val="20"/>
              </w:rPr>
            </w:pPr>
            <w:r w:rsidRPr="00920145">
              <w:rPr>
                <w:rFonts w:ascii="Verdana" w:hAnsi="Verdana"/>
                <w:sz w:val="20"/>
                <w:szCs w:val="20"/>
              </w:rPr>
              <w:t>(</w:t>
            </w:r>
            <w:r w:rsidR="00C73408" w:rsidRPr="00920145">
              <w:rPr>
                <w:rFonts w:ascii="Verdana" w:hAnsi="Verdana"/>
                <w:sz w:val="20"/>
                <w:szCs w:val="20"/>
              </w:rPr>
              <w:t>+</w:t>
            </w:r>
            <w:r w:rsidRPr="00920145">
              <w:rPr>
                <w:rFonts w:ascii="Verdana" w:hAnsi="Verdana"/>
                <w:sz w:val="20"/>
                <w:szCs w:val="20"/>
              </w:rPr>
              <w:t>)</w:t>
            </w:r>
            <w:r w:rsidR="00C73408" w:rsidRPr="00920145">
              <w:rPr>
                <w:rFonts w:ascii="Verdana" w:hAnsi="Verdana"/>
                <w:sz w:val="20"/>
                <w:szCs w:val="20"/>
              </w:rPr>
              <w:t xml:space="preserve"> 0-30 sekund</w:t>
            </w:r>
          </w:p>
        </w:tc>
      </w:tr>
      <w:tr w:rsidR="00C73408" w:rsidRPr="00920145" w14:paraId="6264BF0D" w14:textId="77777777" w:rsidTr="002F7B05">
        <w:tc>
          <w:tcPr>
            <w:tcW w:w="3402" w:type="dxa"/>
            <w:tcBorders>
              <w:top w:val="single" w:sz="4" w:space="0" w:color="auto"/>
              <w:left w:val="single" w:sz="4" w:space="0" w:color="auto"/>
              <w:bottom w:val="single" w:sz="4" w:space="0" w:color="auto"/>
              <w:right w:val="single" w:sz="4" w:space="0" w:color="auto"/>
            </w:tcBorders>
          </w:tcPr>
          <w:p w14:paraId="25969414" w14:textId="0081B716" w:rsidR="00C73408" w:rsidRPr="00920145" w:rsidRDefault="00C73408" w:rsidP="00C73408">
            <w:pPr>
              <w:spacing w:after="120" w:line="360" w:lineRule="auto"/>
              <w:rPr>
                <w:rFonts w:ascii="Verdana" w:hAnsi="Verdana"/>
                <w:sz w:val="20"/>
                <w:szCs w:val="20"/>
              </w:rPr>
            </w:pPr>
            <w:r w:rsidRPr="00920145">
              <w:rPr>
                <w:rFonts w:ascii="Verdana" w:hAnsi="Verdana"/>
                <w:sz w:val="20"/>
                <w:szCs w:val="20"/>
              </w:rPr>
              <w:t>Losowy czas otwarcia</w:t>
            </w:r>
            <w:r w:rsidRPr="00920145">
              <w:rPr>
                <w:rFonts w:ascii="Verdana" w:hAnsi="Verdana"/>
                <w:sz w:val="20"/>
                <w:szCs w:val="20"/>
              </w:rPr>
              <w:br/>
              <w:t>dla fazy aukcji zamknięcia</w:t>
            </w:r>
          </w:p>
        </w:tc>
        <w:tc>
          <w:tcPr>
            <w:tcW w:w="4388" w:type="dxa"/>
            <w:tcBorders>
              <w:top w:val="single" w:sz="4" w:space="0" w:color="auto"/>
              <w:left w:val="single" w:sz="4" w:space="0" w:color="auto"/>
              <w:bottom w:val="single" w:sz="4" w:space="0" w:color="auto"/>
              <w:right w:val="single" w:sz="4" w:space="0" w:color="auto"/>
            </w:tcBorders>
          </w:tcPr>
          <w:p w14:paraId="1CBB8EDF" w14:textId="73884741" w:rsidR="00C73408" w:rsidRPr="00920145" w:rsidRDefault="003179AC" w:rsidP="00C73408">
            <w:pPr>
              <w:spacing w:after="120" w:line="360" w:lineRule="auto"/>
              <w:ind w:left="83" w:hanging="8"/>
              <w:rPr>
                <w:rFonts w:ascii="Verdana" w:hAnsi="Verdana"/>
                <w:sz w:val="20"/>
                <w:szCs w:val="20"/>
              </w:rPr>
            </w:pPr>
            <w:r w:rsidRPr="00920145">
              <w:rPr>
                <w:rFonts w:ascii="Verdana" w:hAnsi="Verdana"/>
                <w:sz w:val="20"/>
                <w:szCs w:val="20"/>
              </w:rPr>
              <w:t>(</w:t>
            </w:r>
            <w:r w:rsidR="00C73408" w:rsidRPr="00920145">
              <w:rPr>
                <w:rFonts w:ascii="Verdana" w:hAnsi="Verdana"/>
                <w:sz w:val="20"/>
                <w:szCs w:val="20"/>
              </w:rPr>
              <w:t>-</w:t>
            </w:r>
            <w:r w:rsidRPr="00920145">
              <w:rPr>
                <w:rFonts w:ascii="Verdana" w:hAnsi="Verdana"/>
                <w:sz w:val="20"/>
                <w:szCs w:val="20"/>
              </w:rPr>
              <w:t>)</w:t>
            </w:r>
            <w:r w:rsidR="00C73408" w:rsidRPr="00920145">
              <w:rPr>
                <w:rFonts w:ascii="Verdana" w:hAnsi="Verdana"/>
                <w:sz w:val="20"/>
                <w:szCs w:val="20"/>
              </w:rPr>
              <w:t xml:space="preserve"> 0-30 sekund</w:t>
            </w:r>
          </w:p>
        </w:tc>
      </w:tr>
      <w:tr w:rsidR="00A103EC" w:rsidRPr="00920145" w14:paraId="028AB93A" w14:textId="77777777" w:rsidTr="002F7B05">
        <w:tc>
          <w:tcPr>
            <w:tcW w:w="3402" w:type="dxa"/>
          </w:tcPr>
          <w:p w14:paraId="2366FB1E" w14:textId="77777777" w:rsidR="00A103EC" w:rsidRPr="00920145" w:rsidRDefault="00A103EC" w:rsidP="00A23201">
            <w:pPr>
              <w:spacing w:after="120" w:line="360" w:lineRule="auto"/>
              <w:rPr>
                <w:rFonts w:ascii="Verdana" w:hAnsi="Verdana"/>
                <w:sz w:val="20"/>
                <w:szCs w:val="20"/>
              </w:rPr>
            </w:pPr>
            <w:r w:rsidRPr="00920145">
              <w:rPr>
                <w:rFonts w:ascii="Verdana" w:hAnsi="Verdana"/>
                <w:sz w:val="20"/>
                <w:szCs w:val="20"/>
              </w:rPr>
              <w:t>Wysokość statycznych ograniczeń wahań kursów</w:t>
            </w:r>
          </w:p>
        </w:tc>
        <w:tc>
          <w:tcPr>
            <w:tcW w:w="4388" w:type="dxa"/>
          </w:tcPr>
          <w:p w14:paraId="40BC759B" w14:textId="77777777" w:rsidR="00A103EC" w:rsidRPr="00920145" w:rsidRDefault="00A103EC" w:rsidP="00190962">
            <w:pPr>
              <w:numPr>
                <w:ilvl w:val="0"/>
                <w:numId w:val="41"/>
              </w:numPr>
              <w:spacing w:after="120" w:line="360" w:lineRule="auto"/>
              <w:jc w:val="both"/>
              <w:rPr>
                <w:rFonts w:ascii="Verdana" w:hAnsi="Verdana"/>
                <w:sz w:val="20"/>
                <w:szCs w:val="20"/>
              </w:rPr>
            </w:pPr>
            <w:r w:rsidRPr="00920145">
              <w:rPr>
                <w:rFonts w:ascii="Verdana" w:hAnsi="Verdana"/>
                <w:sz w:val="20"/>
                <w:szCs w:val="20"/>
              </w:rPr>
              <w:t xml:space="preserve">30,00% od kursu odniesienia - przy kursie odniesienia 0,0100 - 0,0999 jednostki waluty notowania  </w:t>
            </w:r>
          </w:p>
          <w:p w14:paraId="18F88EA2" w14:textId="77777777" w:rsidR="00A103EC" w:rsidRPr="00920145" w:rsidRDefault="00A103EC" w:rsidP="00190962">
            <w:pPr>
              <w:numPr>
                <w:ilvl w:val="0"/>
                <w:numId w:val="41"/>
              </w:numPr>
              <w:spacing w:after="120" w:line="360" w:lineRule="auto"/>
              <w:jc w:val="both"/>
              <w:rPr>
                <w:rFonts w:ascii="Verdana" w:hAnsi="Verdana"/>
                <w:sz w:val="20"/>
                <w:szCs w:val="20"/>
              </w:rPr>
            </w:pPr>
            <w:r w:rsidRPr="00920145">
              <w:rPr>
                <w:rFonts w:ascii="Verdana" w:hAnsi="Verdana"/>
                <w:sz w:val="20"/>
                <w:szCs w:val="20"/>
              </w:rPr>
              <w:t xml:space="preserve">15,00% od kursu odniesienia - przy kursie odniesienia 0,1000 - 0,1999 jednostki waluty notowania  </w:t>
            </w:r>
          </w:p>
          <w:p w14:paraId="12848FBB" w14:textId="77777777" w:rsidR="00A103EC" w:rsidRPr="00920145" w:rsidRDefault="00A103EC" w:rsidP="00190962">
            <w:pPr>
              <w:numPr>
                <w:ilvl w:val="0"/>
                <w:numId w:val="41"/>
              </w:numPr>
              <w:spacing w:after="120" w:line="360" w:lineRule="auto"/>
              <w:jc w:val="both"/>
              <w:rPr>
                <w:rFonts w:ascii="Verdana" w:hAnsi="Verdana"/>
                <w:sz w:val="20"/>
                <w:szCs w:val="20"/>
              </w:rPr>
            </w:pPr>
            <w:r w:rsidRPr="00920145">
              <w:rPr>
                <w:rFonts w:ascii="Verdana" w:hAnsi="Verdana"/>
                <w:sz w:val="20"/>
                <w:szCs w:val="20"/>
              </w:rPr>
              <w:t>10,00% od kursu odniesienia - przy kursie odniesienia 0,2000 jednostki waluty notowania lub wyższym</w:t>
            </w:r>
          </w:p>
        </w:tc>
      </w:tr>
      <w:tr w:rsidR="00A103EC" w:rsidRPr="00920145" w14:paraId="096BA3D2" w14:textId="77777777" w:rsidTr="002F7B05">
        <w:tc>
          <w:tcPr>
            <w:tcW w:w="3402" w:type="dxa"/>
          </w:tcPr>
          <w:p w14:paraId="1EF093B4" w14:textId="77777777" w:rsidR="00A103EC" w:rsidRPr="00920145" w:rsidRDefault="00A103EC" w:rsidP="00A23201">
            <w:pPr>
              <w:spacing w:after="120" w:line="360" w:lineRule="auto"/>
              <w:rPr>
                <w:rFonts w:ascii="Verdana" w:hAnsi="Verdana"/>
                <w:sz w:val="20"/>
                <w:szCs w:val="20"/>
              </w:rPr>
            </w:pPr>
            <w:r w:rsidRPr="00920145">
              <w:rPr>
                <w:rFonts w:ascii="Verdana" w:hAnsi="Verdana"/>
                <w:sz w:val="20"/>
                <w:szCs w:val="20"/>
              </w:rPr>
              <w:t>Wysokość dynamicznych ograniczeń wahań kursów</w:t>
            </w:r>
          </w:p>
        </w:tc>
        <w:tc>
          <w:tcPr>
            <w:tcW w:w="4388" w:type="dxa"/>
          </w:tcPr>
          <w:p w14:paraId="0E5F2BA0" w14:textId="77777777" w:rsidR="00A103EC" w:rsidRPr="00920145" w:rsidRDefault="00A103EC" w:rsidP="00190962">
            <w:pPr>
              <w:numPr>
                <w:ilvl w:val="1"/>
                <w:numId w:val="40"/>
              </w:numPr>
              <w:spacing w:after="120" w:line="360" w:lineRule="auto"/>
              <w:ind w:left="361" w:hanging="336"/>
              <w:jc w:val="both"/>
              <w:rPr>
                <w:rFonts w:ascii="Verdana" w:hAnsi="Verdana"/>
                <w:sz w:val="20"/>
                <w:szCs w:val="20"/>
              </w:rPr>
            </w:pPr>
            <w:r w:rsidRPr="00920145">
              <w:rPr>
                <w:rFonts w:ascii="Verdana" w:hAnsi="Verdana"/>
                <w:sz w:val="20"/>
                <w:szCs w:val="20"/>
              </w:rPr>
              <w:t xml:space="preserve">9,00% od kursu odniesienia - przy kursie odniesienia 0,0100 - 0,1999 jednostki waluty notowania   </w:t>
            </w:r>
          </w:p>
          <w:p w14:paraId="74194B53" w14:textId="77777777" w:rsidR="00A103EC" w:rsidRPr="00920145" w:rsidRDefault="00A103EC" w:rsidP="00190962">
            <w:pPr>
              <w:numPr>
                <w:ilvl w:val="1"/>
                <w:numId w:val="40"/>
              </w:numPr>
              <w:spacing w:after="120" w:line="360" w:lineRule="auto"/>
              <w:ind w:left="361" w:hanging="336"/>
              <w:jc w:val="both"/>
              <w:rPr>
                <w:rFonts w:ascii="Verdana" w:hAnsi="Verdana"/>
                <w:sz w:val="20"/>
                <w:szCs w:val="20"/>
              </w:rPr>
            </w:pPr>
            <w:r w:rsidRPr="00920145">
              <w:rPr>
                <w:rFonts w:ascii="Verdana" w:hAnsi="Verdana"/>
                <w:sz w:val="20"/>
                <w:szCs w:val="20"/>
              </w:rPr>
              <w:t xml:space="preserve">4,00% od kursu odniesienia - przy kursie odniesienia 0,2000 jednostki waluty notowania lub wyższym                          </w:t>
            </w:r>
          </w:p>
        </w:tc>
      </w:tr>
      <w:tr w:rsidR="00A103EC" w:rsidRPr="00920145" w14:paraId="6B987F52" w14:textId="77777777" w:rsidTr="002F7B05">
        <w:tc>
          <w:tcPr>
            <w:tcW w:w="3402" w:type="dxa"/>
          </w:tcPr>
          <w:p w14:paraId="4D1046C7" w14:textId="77777777" w:rsidR="00A103EC" w:rsidRPr="00920145" w:rsidRDefault="00A103EC" w:rsidP="00A23201">
            <w:pPr>
              <w:spacing w:after="120" w:line="360" w:lineRule="auto"/>
              <w:rPr>
                <w:rFonts w:ascii="Verdana" w:hAnsi="Verdana"/>
                <w:sz w:val="20"/>
                <w:szCs w:val="20"/>
              </w:rPr>
            </w:pPr>
            <w:r w:rsidRPr="00920145">
              <w:rPr>
                <w:rFonts w:ascii="Verdana" w:hAnsi="Verdana"/>
                <w:sz w:val="20"/>
                <w:szCs w:val="20"/>
              </w:rPr>
              <w:t xml:space="preserve">Maksymalne wartości dla limitów cen w zleceniu maklerskim    </w:t>
            </w:r>
          </w:p>
        </w:tc>
        <w:tc>
          <w:tcPr>
            <w:tcW w:w="4388" w:type="dxa"/>
          </w:tcPr>
          <w:p w14:paraId="0FD14D8B" w14:textId="4784D90E" w:rsidR="00A103EC" w:rsidRPr="00920145" w:rsidRDefault="00A103EC" w:rsidP="00A23201">
            <w:pPr>
              <w:spacing w:after="120" w:line="360" w:lineRule="auto"/>
              <w:rPr>
                <w:rFonts w:ascii="Verdana" w:hAnsi="Verdana"/>
                <w:sz w:val="20"/>
                <w:szCs w:val="20"/>
              </w:rPr>
            </w:pPr>
            <w:r w:rsidRPr="00920145">
              <w:rPr>
                <w:rFonts w:ascii="Verdana" w:hAnsi="Verdana"/>
                <w:sz w:val="20"/>
                <w:szCs w:val="20"/>
              </w:rPr>
              <w:t>50% względem kursu odniesienia dla statycznych ograniczeń wahań kursu</w:t>
            </w:r>
          </w:p>
        </w:tc>
      </w:tr>
      <w:tr w:rsidR="00A103EC" w:rsidRPr="00920145" w14:paraId="45966401" w14:textId="77777777" w:rsidTr="002F7B05">
        <w:tc>
          <w:tcPr>
            <w:tcW w:w="3402" w:type="dxa"/>
          </w:tcPr>
          <w:p w14:paraId="545964F9" w14:textId="77777777" w:rsidR="00A103EC" w:rsidRPr="00920145" w:rsidRDefault="00A103EC" w:rsidP="00A23201">
            <w:pPr>
              <w:spacing w:after="120" w:line="360" w:lineRule="auto"/>
              <w:rPr>
                <w:rFonts w:ascii="Verdana" w:hAnsi="Verdana"/>
                <w:sz w:val="20"/>
                <w:szCs w:val="20"/>
              </w:rPr>
            </w:pPr>
            <w:r w:rsidRPr="00920145">
              <w:rPr>
                <w:rFonts w:ascii="Verdana" w:hAnsi="Verdana"/>
                <w:sz w:val="20"/>
                <w:szCs w:val="20"/>
              </w:rPr>
              <w:t xml:space="preserve">Maksymalna wartość zlecenia maklerskiego     </w:t>
            </w:r>
          </w:p>
        </w:tc>
        <w:tc>
          <w:tcPr>
            <w:tcW w:w="4388" w:type="dxa"/>
          </w:tcPr>
          <w:p w14:paraId="04838BC9" w14:textId="4E87D363" w:rsidR="00A103EC" w:rsidRPr="00920145" w:rsidRDefault="00A103EC" w:rsidP="00A23201">
            <w:pPr>
              <w:pStyle w:val="Default"/>
              <w:spacing w:after="120" w:line="360" w:lineRule="auto"/>
              <w:jc w:val="both"/>
              <w:rPr>
                <w:sz w:val="20"/>
                <w:szCs w:val="20"/>
              </w:rPr>
            </w:pPr>
            <w:r w:rsidRPr="00920145">
              <w:rPr>
                <w:sz w:val="20"/>
                <w:szCs w:val="20"/>
              </w:rPr>
              <w:t xml:space="preserve">30.000.000 jednostek waluty notowania   </w:t>
            </w:r>
          </w:p>
        </w:tc>
      </w:tr>
      <w:tr w:rsidR="00A103EC" w:rsidRPr="00920145" w14:paraId="70166D29" w14:textId="77777777" w:rsidTr="002F7B05">
        <w:tc>
          <w:tcPr>
            <w:tcW w:w="3402" w:type="dxa"/>
          </w:tcPr>
          <w:p w14:paraId="358746DE" w14:textId="77777777" w:rsidR="00A103EC" w:rsidRPr="00920145" w:rsidRDefault="00A103EC" w:rsidP="00A23201">
            <w:pPr>
              <w:spacing w:after="120" w:line="360" w:lineRule="auto"/>
              <w:rPr>
                <w:rFonts w:ascii="Verdana" w:hAnsi="Verdana"/>
                <w:sz w:val="20"/>
                <w:szCs w:val="20"/>
              </w:rPr>
            </w:pPr>
            <w:r w:rsidRPr="00920145">
              <w:rPr>
                <w:rFonts w:ascii="Verdana" w:hAnsi="Verdana"/>
                <w:sz w:val="20"/>
                <w:szCs w:val="20"/>
              </w:rPr>
              <w:lastRenderedPageBreak/>
              <w:t xml:space="preserve">Maksymalny wolumen zlecenia maklerskiego    </w:t>
            </w:r>
          </w:p>
        </w:tc>
        <w:tc>
          <w:tcPr>
            <w:tcW w:w="4388" w:type="dxa"/>
          </w:tcPr>
          <w:p w14:paraId="21B67796" w14:textId="77777777" w:rsidR="00A103EC" w:rsidRPr="00920145" w:rsidRDefault="00A103EC" w:rsidP="00A23201">
            <w:pPr>
              <w:spacing w:after="120" w:line="360" w:lineRule="auto"/>
              <w:jc w:val="both"/>
              <w:rPr>
                <w:rFonts w:ascii="Verdana" w:hAnsi="Verdana"/>
                <w:sz w:val="20"/>
                <w:szCs w:val="20"/>
              </w:rPr>
            </w:pPr>
            <w:r w:rsidRPr="00920145">
              <w:rPr>
                <w:rFonts w:ascii="Verdana" w:hAnsi="Verdana"/>
                <w:sz w:val="20"/>
                <w:szCs w:val="20"/>
              </w:rPr>
              <w:t>2% instrumentów finansowych wprowadzonych do obrotu giełdowego i oznaczonych tym samym kodem ISIN, a w przypadku gdy 2% tych instrumentów stanowi mniej niż 1.000.000 instrumentów – nie więcej  niż 1.000.000 instrumentów</w:t>
            </w:r>
          </w:p>
        </w:tc>
      </w:tr>
      <w:tr w:rsidR="00A103EC" w:rsidRPr="00920145" w14:paraId="65BE538A" w14:textId="77777777" w:rsidTr="002F7B05">
        <w:tc>
          <w:tcPr>
            <w:tcW w:w="3402" w:type="dxa"/>
          </w:tcPr>
          <w:p w14:paraId="2766BC86" w14:textId="77777777" w:rsidR="00A103EC" w:rsidRPr="00920145" w:rsidRDefault="00A103EC" w:rsidP="00A23201">
            <w:pPr>
              <w:spacing w:after="120" w:line="360" w:lineRule="auto"/>
              <w:rPr>
                <w:rFonts w:ascii="Verdana" w:hAnsi="Verdana"/>
                <w:sz w:val="20"/>
                <w:szCs w:val="20"/>
              </w:rPr>
            </w:pPr>
            <w:r w:rsidRPr="00920145">
              <w:rPr>
                <w:rFonts w:ascii="Verdana" w:hAnsi="Verdana"/>
                <w:sz w:val="20"/>
                <w:szCs w:val="20"/>
              </w:rPr>
              <w:t>Równoważenie podstawowe dla statycznych ograniczeń wahań kursów</w:t>
            </w:r>
          </w:p>
        </w:tc>
        <w:tc>
          <w:tcPr>
            <w:tcW w:w="4388" w:type="dxa"/>
          </w:tcPr>
          <w:p w14:paraId="2B5B399F" w14:textId="77777777" w:rsidR="00A103EC" w:rsidRPr="00920145" w:rsidRDefault="00A103EC" w:rsidP="00A23201">
            <w:pPr>
              <w:spacing w:after="120" w:line="360" w:lineRule="auto"/>
              <w:rPr>
                <w:rFonts w:ascii="Verdana" w:hAnsi="Verdana"/>
                <w:sz w:val="20"/>
                <w:szCs w:val="20"/>
              </w:rPr>
            </w:pPr>
            <w:r w:rsidRPr="00920145">
              <w:rPr>
                <w:rFonts w:ascii="Verdana" w:hAnsi="Verdana" w:cs="Arial"/>
                <w:sz w:val="20"/>
                <w:szCs w:val="20"/>
              </w:rPr>
              <w:t>Tak</w:t>
            </w:r>
          </w:p>
        </w:tc>
      </w:tr>
      <w:tr w:rsidR="00A103EC" w:rsidRPr="00920145" w14:paraId="75F07FD9" w14:textId="77777777" w:rsidTr="002F7B05">
        <w:tc>
          <w:tcPr>
            <w:tcW w:w="3402" w:type="dxa"/>
          </w:tcPr>
          <w:p w14:paraId="5197B99C" w14:textId="77777777" w:rsidR="00A103EC" w:rsidRPr="00920145" w:rsidRDefault="00A103EC" w:rsidP="00A23201">
            <w:pPr>
              <w:spacing w:after="120" w:line="360" w:lineRule="auto"/>
              <w:rPr>
                <w:rFonts w:ascii="Verdana" w:hAnsi="Verdana"/>
                <w:sz w:val="20"/>
                <w:szCs w:val="20"/>
              </w:rPr>
            </w:pPr>
            <w:r w:rsidRPr="00920145">
              <w:rPr>
                <w:rFonts w:ascii="Verdana" w:hAnsi="Verdana"/>
                <w:sz w:val="20"/>
                <w:szCs w:val="20"/>
              </w:rPr>
              <w:t>Czas trwania równoważenia podstawowego dla statycznych ograniczeń wahań kursów</w:t>
            </w:r>
          </w:p>
        </w:tc>
        <w:tc>
          <w:tcPr>
            <w:tcW w:w="4388" w:type="dxa"/>
          </w:tcPr>
          <w:p w14:paraId="44B885C4" w14:textId="77777777" w:rsidR="00A103EC" w:rsidRPr="00920145" w:rsidRDefault="00A103EC" w:rsidP="00A23201">
            <w:pPr>
              <w:spacing w:after="120" w:line="360" w:lineRule="auto"/>
              <w:rPr>
                <w:rFonts w:ascii="Verdana" w:hAnsi="Verdana" w:cs="Arial"/>
                <w:sz w:val="20"/>
                <w:szCs w:val="20"/>
              </w:rPr>
            </w:pPr>
            <w:r w:rsidRPr="00920145">
              <w:rPr>
                <w:rFonts w:ascii="Verdana" w:hAnsi="Verdana" w:cs="Arial"/>
                <w:sz w:val="20"/>
                <w:szCs w:val="20"/>
              </w:rPr>
              <w:t>300 sekund</w:t>
            </w:r>
          </w:p>
        </w:tc>
      </w:tr>
      <w:tr w:rsidR="00A103EC" w:rsidRPr="00920145" w14:paraId="1A44A9FC" w14:textId="77777777" w:rsidTr="002F7B05">
        <w:tc>
          <w:tcPr>
            <w:tcW w:w="3402" w:type="dxa"/>
          </w:tcPr>
          <w:p w14:paraId="2665AB42" w14:textId="77777777" w:rsidR="00A103EC" w:rsidRPr="00920145" w:rsidRDefault="00A103EC" w:rsidP="00A23201">
            <w:pPr>
              <w:spacing w:after="120" w:line="360" w:lineRule="auto"/>
              <w:rPr>
                <w:rFonts w:ascii="Verdana" w:hAnsi="Verdana"/>
                <w:sz w:val="20"/>
                <w:szCs w:val="20"/>
              </w:rPr>
            </w:pPr>
            <w:r w:rsidRPr="00920145">
              <w:rPr>
                <w:rFonts w:ascii="Verdana" w:hAnsi="Verdana"/>
                <w:sz w:val="20"/>
                <w:szCs w:val="20"/>
              </w:rPr>
              <w:t>Współczynnik przesunięcia kursu odniesienia dla równoważenia w fazie aukcji otwarcia</w:t>
            </w:r>
          </w:p>
        </w:tc>
        <w:tc>
          <w:tcPr>
            <w:tcW w:w="4388" w:type="dxa"/>
          </w:tcPr>
          <w:p w14:paraId="2567CD88" w14:textId="77777777" w:rsidR="00A103EC" w:rsidRPr="00920145" w:rsidRDefault="00A103EC" w:rsidP="00A23201">
            <w:pPr>
              <w:spacing w:after="120" w:line="360" w:lineRule="auto"/>
              <w:rPr>
                <w:rFonts w:ascii="Verdana" w:hAnsi="Verdana" w:cs="Arial"/>
                <w:sz w:val="20"/>
                <w:szCs w:val="20"/>
              </w:rPr>
            </w:pPr>
            <w:r w:rsidRPr="00920145">
              <w:rPr>
                <w:rFonts w:ascii="Verdana" w:hAnsi="Verdana" w:cs="Arial"/>
                <w:sz w:val="20"/>
                <w:szCs w:val="20"/>
              </w:rPr>
              <w:t>1</w:t>
            </w:r>
          </w:p>
        </w:tc>
      </w:tr>
      <w:tr w:rsidR="00A103EC" w:rsidRPr="00920145" w14:paraId="466C0D0D" w14:textId="77777777" w:rsidTr="002F7B05">
        <w:tc>
          <w:tcPr>
            <w:tcW w:w="3402" w:type="dxa"/>
          </w:tcPr>
          <w:p w14:paraId="5739D846" w14:textId="77777777" w:rsidR="00A103EC" w:rsidRPr="00920145" w:rsidRDefault="00A103EC" w:rsidP="00A23201">
            <w:pPr>
              <w:spacing w:after="120" w:line="360" w:lineRule="auto"/>
              <w:rPr>
                <w:rFonts w:ascii="Verdana" w:hAnsi="Verdana"/>
                <w:sz w:val="20"/>
                <w:szCs w:val="20"/>
              </w:rPr>
            </w:pPr>
            <w:r w:rsidRPr="00920145">
              <w:rPr>
                <w:rFonts w:ascii="Verdana" w:hAnsi="Verdana"/>
                <w:sz w:val="20"/>
                <w:szCs w:val="20"/>
              </w:rPr>
              <w:t xml:space="preserve">Współczynnik przesunięcia kursu odniesienia dla równoważenia </w:t>
            </w:r>
            <w:r w:rsidRPr="00920145">
              <w:rPr>
                <w:rFonts w:ascii="Verdana" w:hAnsi="Verdana"/>
                <w:sz w:val="20"/>
                <w:szCs w:val="20"/>
              </w:rPr>
              <w:br/>
              <w:t>w fazach innych niż faza aukcji otwarcia</w:t>
            </w:r>
          </w:p>
        </w:tc>
        <w:tc>
          <w:tcPr>
            <w:tcW w:w="4388" w:type="dxa"/>
          </w:tcPr>
          <w:p w14:paraId="612AEA51" w14:textId="77777777" w:rsidR="00A103EC" w:rsidRPr="00920145" w:rsidRDefault="00A103EC" w:rsidP="00A23201">
            <w:pPr>
              <w:spacing w:after="120" w:line="360" w:lineRule="auto"/>
              <w:rPr>
                <w:rFonts w:ascii="Verdana" w:hAnsi="Verdana" w:cs="Arial"/>
                <w:sz w:val="20"/>
                <w:szCs w:val="20"/>
              </w:rPr>
            </w:pPr>
            <w:r w:rsidRPr="00920145">
              <w:rPr>
                <w:rFonts w:ascii="Verdana" w:hAnsi="Verdana" w:cs="Arial"/>
                <w:sz w:val="20"/>
                <w:szCs w:val="20"/>
              </w:rPr>
              <w:t>0,5</w:t>
            </w:r>
          </w:p>
        </w:tc>
      </w:tr>
      <w:tr w:rsidR="00A103EC" w:rsidRPr="00920145" w14:paraId="099BFD3E" w14:textId="77777777" w:rsidTr="002F7B05">
        <w:tc>
          <w:tcPr>
            <w:tcW w:w="3402" w:type="dxa"/>
          </w:tcPr>
          <w:p w14:paraId="3A3D8D94" w14:textId="77777777" w:rsidR="00A103EC" w:rsidRPr="00920145" w:rsidRDefault="00A103EC" w:rsidP="00A23201">
            <w:pPr>
              <w:spacing w:after="120" w:line="360" w:lineRule="auto"/>
              <w:rPr>
                <w:rFonts w:ascii="Verdana" w:hAnsi="Verdana"/>
                <w:sz w:val="20"/>
                <w:szCs w:val="20"/>
              </w:rPr>
            </w:pPr>
            <w:r w:rsidRPr="00920145">
              <w:rPr>
                <w:rFonts w:ascii="Verdana" w:hAnsi="Verdana"/>
                <w:sz w:val="20"/>
                <w:szCs w:val="20"/>
              </w:rPr>
              <w:t>Współczynnik maksymalnej liczby zmian netto statycznych ograniczeń wahań kursów</w:t>
            </w:r>
          </w:p>
        </w:tc>
        <w:tc>
          <w:tcPr>
            <w:tcW w:w="4388" w:type="dxa"/>
          </w:tcPr>
          <w:p w14:paraId="666D4925" w14:textId="77777777" w:rsidR="00A103EC" w:rsidRPr="00920145" w:rsidRDefault="00A103EC" w:rsidP="00A23201">
            <w:pPr>
              <w:spacing w:after="120" w:line="360" w:lineRule="auto"/>
              <w:rPr>
                <w:rFonts w:ascii="Verdana" w:hAnsi="Verdana" w:cs="Arial"/>
                <w:sz w:val="20"/>
                <w:szCs w:val="20"/>
              </w:rPr>
            </w:pPr>
            <w:r w:rsidRPr="00920145">
              <w:rPr>
                <w:rFonts w:ascii="Verdana" w:hAnsi="Verdana" w:cs="Arial"/>
                <w:sz w:val="20"/>
                <w:szCs w:val="20"/>
              </w:rPr>
              <w:t>2</w:t>
            </w:r>
          </w:p>
        </w:tc>
      </w:tr>
      <w:tr w:rsidR="00A103EC" w:rsidRPr="00920145" w14:paraId="1104524F" w14:textId="77777777" w:rsidTr="002F7B05">
        <w:tc>
          <w:tcPr>
            <w:tcW w:w="3402" w:type="dxa"/>
          </w:tcPr>
          <w:p w14:paraId="404EDD1C" w14:textId="77777777" w:rsidR="00A103EC" w:rsidRPr="00920145" w:rsidRDefault="00A103EC" w:rsidP="00A23201">
            <w:pPr>
              <w:spacing w:after="120" w:line="360" w:lineRule="auto"/>
              <w:rPr>
                <w:rFonts w:ascii="Verdana" w:hAnsi="Verdana"/>
                <w:sz w:val="20"/>
                <w:szCs w:val="20"/>
              </w:rPr>
            </w:pPr>
            <w:r w:rsidRPr="00920145">
              <w:rPr>
                <w:rFonts w:ascii="Verdana" w:hAnsi="Verdana"/>
                <w:sz w:val="20"/>
                <w:szCs w:val="20"/>
              </w:rPr>
              <w:t>Czas trwania równoważenia podstawowego dla dynamicznych ograniczeń wahań kursów</w:t>
            </w:r>
          </w:p>
        </w:tc>
        <w:tc>
          <w:tcPr>
            <w:tcW w:w="4388" w:type="dxa"/>
          </w:tcPr>
          <w:p w14:paraId="2C854DBF" w14:textId="77777777" w:rsidR="00A103EC" w:rsidRPr="00920145" w:rsidRDefault="00A103EC" w:rsidP="00A23201">
            <w:pPr>
              <w:spacing w:after="120" w:line="360" w:lineRule="auto"/>
              <w:rPr>
                <w:rFonts w:ascii="Verdana" w:hAnsi="Verdana" w:cs="Arial"/>
                <w:sz w:val="20"/>
                <w:szCs w:val="20"/>
              </w:rPr>
            </w:pPr>
            <w:r w:rsidRPr="00920145">
              <w:rPr>
                <w:rFonts w:ascii="Verdana" w:hAnsi="Verdana" w:cs="Arial"/>
                <w:sz w:val="20"/>
                <w:szCs w:val="20"/>
              </w:rPr>
              <w:t>60 sekund</w:t>
            </w:r>
          </w:p>
        </w:tc>
      </w:tr>
      <w:tr w:rsidR="00A103EC" w:rsidRPr="00920145" w14:paraId="0551506F" w14:textId="77777777" w:rsidTr="002F7B05">
        <w:tc>
          <w:tcPr>
            <w:tcW w:w="3402" w:type="dxa"/>
          </w:tcPr>
          <w:p w14:paraId="6DD663D5" w14:textId="77777777" w:rsidR="00A103EC" w:rsidRPr="00920145" w:rsidRDefault="00A103EC" w:rsidP="00A23201">
            <w:pPr>
              <w:spacing w:after="120" w:line="360" w:lineRule="auto"/>
              <w:rPr>
                <w:rFonts w:ascii="Verdana" w:hAnsi="Verdana"/>
                <w:sz w:val="20"/>
                <w:szCs w:val="20"/>
              </w:rPr>
            </w:pPr>
            <w:r w:rsidRPr="00920145">
              <w:rPr>
                <w:rFonts w:ascii="Verdana" w:hAnsi="Verdana"/>
                <w:sz w:val="20"/>
                <w:szCs w:val="20"/>
              </w:rPr>
              <w:t>Współczynnik rozszerzenia dla równoważenia w fazie aukcji otwarcia</w:t>
            </w:r>
          </w:p>
        </w:tc>
        <w:tc>
          <w:tcPr>
            <w:tcW w:w="4388" w:type="dxa"/>
          </w:tcPr>
          <w:p w14:paraId="54C0D8FD" w14:textId="77777777" w:rsidR="00A103EC" w:rsidRPr="00920145" w:rsidRDefault="00A103EC" w:rsidP="00A23201">
            <w:pPr>
              <w:spacing w:after="120" w:line="360" w:lineRule="auto"/>
              <w:rPr>
                <w:rFonts w:ascii="Verdana" w:hAnsi="Verdana" w:cs="Arial"/>
                <w:sz w:val="20"/>
                <w:szCs w:val="20"/>
              </w:rPr>
            </w:pPr>
            <w:r w:rsidRPr="00920145">
              <w:rPr>
                <w:rFonts w:ascii="Verdana" w:hAnsi="Verdana" w:cs="Arial"/>
                <w:sz w:val="20"/>
                <w:szCs w:val="20"/>
              </w:rPr>
              <w:t>3,0</w:t>
            </w:r>
          </w:p>
        </w:tc>
      </w:tr>
      <w:tr w:rsidR="00A103EC" w:rsidRPr="00920145" w14:paraId="34F7DE51" w14:textId="77777777" w:rsidTr="002F7B05">
        <w:tc>
          <w:tcPr>
            <w:tcW w:w="3402" w:type="dxa"/>
          </w:tcPr>
          <w:p w14:paraId="1B8762BB" w14:textId="77777777" w:rsidR="00A103EC" w:rsidRPr="00920145" w:rsidRDefault="00A103EC" w:rsidP="00A23201">
            <w:pPr>
              <w:spacing w:after="120" w:line="360" w:lineRule="auto"/>
              <w:rPr>
                <w:rFonts w:ascii="Verdana" w:hAnsi="Verdana"/>
                <w:sz w:val="20"/>
                <w:szCs w:val="20"/>
              </w:rPr>
            </w:pPr>
            <w:r w:rsidRPr="00920145">
              <w:rPr>
                <w:rFonts w:ascii="Verdana" w:hAnsi="Verdana"/>
                <w:sz w:val="20"/>
                <w:szCs w:val="20"/>
              </w:rPr>
              <w:t>Współczynnik rozszerzenia dla równoważenia w fazach innych niż faza aukcji otwarcia</w:t>
            </w:r>
          </w:p>
        </w:tc>
        <w:tc>
          <w:tcPr>
            <w:tcW w:w="4388" w:type="dxa"/>
          </w:tcPr>
          <w:p w14:paraId="33E36073" w14:textId="77777777" w:rsidR="00A103EC" w:rsidRPr="00920145" w:rsidRDefault="00A103EC" w:rsidP="00A23201">
            <w:pPr>
              <w:spacing w:after="120" w:line="360" w:lineRule="auto"/>
              <w:rPr>
                <w:rFonts w:ascii="Verdana" w:hAnsi="Verdana" w:cs="Arial"/>
                <w:sz w:val="20"/>
                <w:szCs w:val="20"/>
              </w:rPr>
            </w:pPr>
            <w:r w:rsidRPr="00920145">
              <w:rPr>
                <w:rFonts w:ascii="Verdana" w:hAnsi="Verdana" w:cs="Arial"/>
                <w:sz w:val="20"/>
                <w:szCs w:val="20"/>
              </w:rPr>
              <w:t>2,0</w:t>
            </w:r>
          </w:p>
        </w:tc>
      </w:tr>
      <w:tr w:rsidR="00A103EC" w:rsidRPr="00920145" w14:paraId="6E6D08A0" w14:textId="77777777" w:rsidTr="002F7B05">
        <w:tc>
          <w:tcPr>
            <w:tcW w:w="3402" w:type="dxa"/>
          </w:tcPr>
          <w:p w14:paraId="2418884B" w14:textId="77777777" w:rsidR="00A103EC" w:rsidRPr="00920145" w:rsidRDefault="00A103EC" w:rsidP="00A23201">
            <w:pPr>
              <w:spacing w:after="120" w:line="360" w:lineRule="auto"/>
              <w:rPr>
                <w:rFonts w:ascii="Verdana" w:hAnsi="Verdana"/>
                <w:sz w:val="20"/>
                <w:szCs w:val="20"/>
              </w:rPr>
            </w:pPr>
            <w:r w:rsidRPr="00920145">
              <w:rPr>
                <w:rFonts w:ascii="Verdana" w:hAnsi="Verdana"/>
                <w:sz w:val="20"/>
                <w:szCs w:val="20"/>
              </w:rPr>
              <w:lastRenderedPageBreak/>
              <w:t>Współczynnik maksymalnej liczby zmian netto dynamicznych ograniczeń wahań kursów</w:t>
            </w:r>
          </w:p>
        </w:tc>
        <w:tc>
          <w:tcPr>
            <w:tcW w:w="4388" w:type="dxa"/>
          </w:tcPr>
          <w:p w14:paraId="5C3167EE" w14:textId="77777777" w:rsidR="00A103EC" w:rsidRPr="00920145" w:rsidRDefault="00A103EC" w:rsidP="00A23201">
            <w:pPr>
              <w:spacing w:after="120" w:line="360" w:lineRule="auto"/>
              <w:rPr>
                <w:rFonts w:ascii="Verdana" w:hAnsi="Verdana" w:cs="Arial"/>
                <w:sz w:val="20"/>
                <w:szCs w:val="20"/>
              </w:rPr>
            </w:pPr>
            <w:r w:rsidRPr="00920145">
              <w:rPr>
                <w:rFonts w:ascii="Verdana" w:hAnsi="Verdana" w:cs="Arial"/>
                <w:sz w:val="20"/>
                <w:szCs w:val="20"/>
              </w:rPr>
              <w:t>20</w:t>
            </w:r>
          </w:p>
        </w:tc>
      </w:tr>
    </w:tbl>
    <w:p w14:paraId="291406D5" w14:textId="47CFD6B2" w:rsidR="00A103EC" w:rsidRPr="00920145" w:rsidRDefault="00A103EC" w:rsidP="00A23201">
      <w:pPr>
        <w:spacing w:after="120" w:line="360" w:lineRule="auto"/>
        <w:ind w:left="709"/>
        <w:rPr>
          <w:sz w:val="18"/>
        </w:rPr>
      </w:pPr>
    </w:p>
    <w:p w14:paraId="0B6C578A" w14:textId="77777777" w:rsidR="00950E6C" w:rsidRPr="00920145" w:rsidRDefault="00950E6C" w:rsidP="00A23201">
      <w:pPr>
        <w:spacing w:after="120" w:line="360" w:lineRule="auto"/>
        <w:ind w:left="709"/>
        <w:rPr>
          <w:sz w:val="18"/>
        </w:rPr>
      </w:pPr>
    </w:p>
    <w:p w14:paraId="6FF2C83A" w14:textId="0634BB3E" w:rsidR="00DE497C" w:rsidRPr="00920145" w:rsidRDefault="00DE497C" w:rsidP="00A23201">
      <w:pPr>
        <w:spacing w:after="120" w:line="360" w:lineRule="auto"/>
        <w:ind w:left="709"/>
        <w:jc w:val="both"/>
        <w:rPr>
          <w:rFonts w:ascii="Verdana" w:hAnsi="Verdana"/>
          <w:sz w:val="20"/>
          <w:szCs w:val="18"/>
        </w:rPr>
      </w:pPr>
      <w:r w:rsidRPr="00920145">
        <w:rPr>
          <w:rFonts w:ascii="Verdana" w:hAnsi="Verdana"/>
          <w:sz w:val="20"/>
          <w:szCs w:val="18"/>
        </w:rPr>
        <w:t xml:space="preserve">3) akcje inne niż określone w pkt 1) i 2) oraz prawa do akcji, </w:t>
      </w:r>
      <w:r w:rsidRPr="00920145">
        <w:rPr>
          <w:rFonts w:ascii="Verdana" w:hAnsi="Verdana"/>
          <w:sz w:val="20"/>
          <w:szCs w:val="18"/>
        </w:rPr>
        <w:br/>
        <w:t xml:space="preserve">z zastrzeżeniem pkt 4) i 5):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4388"/>
      </w:tblGrid>
      <w:tr w:rsidR="00DE497C" w:rsidRPr="00920145" w14:paraId="02A3235A" w14:textId="77777777" w:rsidTr="002F7B05">
        <w:tc>
          <w:tcPr>
            <w:tcW w:w="3402" w:type="dxa"/>
            <w:tcBorders>
              <w:top w:val="single" w:sz="4" w:space="0" w:color="auto"/>
              <w:left w:val="single" w:sz="4" w:space="0" w:color="auto"/>
              <w:bottom w:val="single" w:sz="4" w:space="0" w:color="auto"/>
              <w:right w:val="single" w:sz="4" w:space="0" w:color="auto"/>
            </w:tcBorders>
          </w:tcPr>
          <w:p w14:paraId="47DF3076" w14:textId="77777777" w:rsidR="00DE497C" w:rsidRPr="00920145" w:rsidRDefault="00DE497C" w:rsidP="00A23201">
            <w:pPr>
              <w:spacing w:after="120" w:line="360" w:lineRule="auto"/>
              <w:rPr>
                <w:rFonts w:ascii="Verdana" w:hAnsi="Verdana"/>
                <w:sz w:val="20"/>
                <w:szCs w:val="18"/>
              </w:rPr>
            </w:pPr>
            <w:r w:rsidRPr="00920145">
              <w:rPr>
                <w:rFonts w:ascii="Verdana" w:hAnsi="Verdana"/>
                <w:sz w:val="20"/>
                <w:szCs w:val="18"/>
              </w:rPr>
              <w:t>Jednostka transakcyjna</w:t>
            </w:r>
          </w:p>
        </w:tc>
        <w:tc>
          <w:tcPr>
            <w:tcW w:w="4388" w:type="dxa"/>
            <w:tcBorders>
              <w:top w:val="single" w:sz="4" w:space="0" w:color="auto"/>
              <w:left w:val="single" w:sz="4" w:space="0" w:color="auto"/>
              <w:bottom w:val="single" w:sz="4" w:space="0" w:color="auto"/>
              <w:right w:val="single" w:sz="4" w:space="0" w:color="auto"/>
            </w:tcBorders>
          </w:tcPr>
          <w:p w14:paraId="5852FC3A" w14:textId="77777777" w:rsidR="00DE497C" w:rsidRPr="00920145" w:rsidRDefault="00DE497C" w:rsidP="00A23201">
            <w:pPr>
              <w:spacing w:after="120" w:line="360" w:lineRule="auto"/>
              <w:ind w:left="83" w:hanging="8"/>
              <w:rPr>
                <w:rFonts w:ascii="Verdana" w:hAnsi="Verdana"/>
                <w:sz w:val="20"/>
                <w:szCs w:val="18"/>
              </w:rPr>
            </w:pPr>
            <w:r w:rsidRPr="00920145">
              <w:rPr>
                <w:rFonts w:ascii="Verdana" w:hAnsi="Verdana"/>
                <w:sz w:val="20"/>
                <w:szCs w:val="18"/>
              </w:rPr>
              <w:t>jeden instrument, chyba że Zarząd Giełdy określi inną jednostkę transakcyjną</w:t>
            </w:r>
          </w:p>
        </w:tc>
      </w:tr>
      <w:tr w:rsidR="00C73408" w:rsidRPr="00920145" w14:paraId="0A52A648" w14:textId="77777777" w:rsidTr="002F7B05">
        <w:tc>
          <w:tcPr>
            <w:tcW w:w="3402" w:type="dxa"/>
            <w:tcBorders>
              <w:top w:val="single" w:sz="4" w:space="0" w:color="auto"/>
              <w:left w:val="single" w:sz="4" w:space="0" w:color="auto"/>
              <w:bottom w:val="single" w:sz="4" w:space="0" w:color="auto"/>
              <w:right w:val="single" w:sz="4" w:space="0" w:color="auto"/>
            </w:tcBorders>
          </w:tcPr>
          <w:p w14:paraId="23FA4A9A" w14:textId="2266DCC8" w:rsidR="00C73408" w:rsidRPr="00920145" w:rsidRDefault="00C73408" w:rsidP="00C73408">
            <w:pPr>
              <w:spacing w:after="120" w:line="360" w:lineRule="auto"/>
              <w:rPr>
                <w:rFonts w:ascii="Verdana" w:hAnsi="Verdana"/>
                <w:sz w:val="20"/>
                <w:szCs w:val="18"/>
              </w:rPr>
            </w:pPr>
            <w:r w:rsidRPr="00920145">
              <w:rPr>
                <w:rFonts w:ascii="Verdana" w:hAnsi="Verdana"/>
                <w:sz w:val="20"/>
                <w:szCs w:val="20"/>
              </w:rPr>
              <w:t>Losowy czas otwarcia</w:t>
            </w:r>
            <w:r w:rsidRPr="00920145">
              <w:rPr>
                <w:rFonts w:ascii="Verdana" w:hAnsi="Verdana"/>
                <w:sz w:val="20"/>
                <w:szCs w:val="20"/>
              </w:rPr>
              <w:br/>
              <w:t>dla fazy aukcji otwarcia</w:t>
            </w:r>
          </w:p>
        </w:tc>
        <w:tc>
          <w:tcPr>
            <w:tcW w:w="4388" w:type="dxa"/>
            <w:tcBorders>
              <w:top w:val="single" w:sz="4" w:space="0" w:color="auto"/>
              <w:left w:val="single" w:sz="4" w:space="0" w:color="auto"/>
              <w:bottom w:val="single" w:sz="4" w:space="0" w:color="auto"/>
              <w:right w:val="single" w:sz="4" w:space="0" w:color="auto"/>
            </w:tcBorders>
          </w:tcPr>
          <w:p w14:paraId="540CCE49" w14:textId="11A2154C" w:rsidR="00C73408" w:rsidRPr="00920145" w:rsidRDefault="003179AC" w:rsidP="00C73408">
            <w:pPr>
              <w:spacing w:after="120" w:line="360" w:lineRule="auto"/>
              <w:ind w:left="83" w:hanging="8"/>
              <w:rPr>
                <w:rFonts w:ascii="Verdana" w:hAnsi="Verdana"/>
                <w:sz w:val="20"/>
                <w:szCs w:val="18"/>
              </w:rPr>
            </w:pPr>
            <w:r w:rsidRPr="00920145">
              <w:rPr>
                <w:rFonts w:ascii="Verdana" w:hAnsi="Verdana"/>
                <w:sz w:val="20"/>
                <w:szCs w:val="20"/>
              </w:rPr>
              <w:t>(</w:t>
            </w:r>
            <w:r w:rsidR="00C73408" w:rsidRPr="00920145">
              <w:rPr>
                <w:rFonts w:ascii="Verdana" w:hAnsi="Verdana"/>
                <w:sz w:val="20"/>
                <w:szCs w:val="20"/>
              </w:rPr>
              <w:t>+</w:t>
            </w:r>
            <w:r w:rsidRPr="00920145">
              <w:rPr>
                <w:rFonts w:ascii="Verdana" w:hAnsi="Verdana"/>
                <w:sz w:val="20"/>
                <w:szCs w:val="20"/>
              </w:rPr>
              <w:t>)</w:t>
            </w:r>
            <w:r w:rsidR="00C73408" w:rsidRPr="00920145">
              <w:rPr>
                <w:rFonts w:ascii="Verdana" w:hAnsi="Verdana"/>
                <w:sz w:val="20"/>
                <w:szCs w:val="20"/>
              </w:rPr>
              <w:t xml:space="preserve"> 0-30 sekund</w:t>
            </w:r>
          </w:p>
        </w:tc>
      </w:tr>
      <w:tr w:rsidR="00C73408" w:rsidRPr="00920145" w14:paraId="1C8B3DF8" w14:textId="77777777" w:rsidTr="002F7B05">
        <w:tc>
          <w:tcPr>
            <w:tcW w:w="3402" w:type="dxa"/>
            <w:tcBorders>
              <w:top w:val="single" w:sz="4" w:space="0" w:color="auto"/>
              <w:left w:val="single" w:sz="4" w:space="0" w:color="auto"/>
              <w:bottom w:val="single" w:sz="4" w:space="0" w:color="auto"/>
              <w:right w:val="single" w:sz="4" w:space="0" w:color="auto"/>
            </w:tcBorders>
          </w:tcPr>
          <w:p w14:paraId="29A973FC" w14:textId="6AD54DA5" w:rsidR="00C73408" w:rsidRPr="00920145" w:rsidRDefault="00C73408" w:rsidP="00C73408">
            <w:pPr>
              <w:spacing w:after="120" w:line="360" w:lineRule="auto"/>
              <w:rPr>
                <w:rFonts w:ascii="Verdana" w:hAnsi="Verdana"/>
                <w:sz w:val="20"/>
                <w:szCs w:val="18"/>
              </w:rPr>
            </w:pPr>
            <w:r w:rsidRPr="00920145">
              <w:rPr>
                <w:rFonts w:ascii="Verdana" w:hAnsi="Verdana"/>
                <w:sz w:val="20"/>
                <w:szCs w:val="20"/>
              </w:rPr>
              <w:t>Losowy czas otwarcia</w:t>
            </w:r>
            <w:r w:rsidRPr="00920145">
              <w:rPr>
                <w:rFonts w:ascii="Verdana" w:hAnsi="Verdana"/>
                <w:sz w:val="20"/>
                <w:szCs w:val="20"/>
              </w:rPr>
              <w:br/>
              <w:t>dla fazy aukcji zamknięcia</w:t>
            </w:r>
          </w:p>
        </w:tc>
        <w:tc>
          <w:tcPr>
            <w:tcW w:w="4388" w:type="dxa"/>
            <w:tcBorders>
              <w:top w:val="single" w:sz="4" w:space="0" w:color="auto"/>
              <w:left w:val="single" w:sz="4" w:space="0" w:color="auto"/>
              <w:bottom w:val="single" w:sz="4" w:space="0" w:color="auto"/>
              <w:right w:val="single" w:sz="4" w:space="0" w:color="auto"/>
            </w:tcBorders>
          </w:tcPr>
          <w:p w14:paraId="64D36309" w14:textId="1835776C" w:rsidR="00C73408" w:rsidRPr="00920145" w:rsidRDefault="003179AC" w:rsidP="00C73408">
            <w:pPr>
              <w:spacing w:after="120" w:line="360" w:lineRule="auto"/>
              <w:ind w:left="83" w:hanging="8"/>
              <w:rPr>
                <w:rFonts w:ascii="Verdana" w:hAnsi="Verdana"/>
                <w:sz w:val="20"/>
                <w:szCs w:val="18"/>
              </w:rPr>
            </w:pPr>
            <w:r w:rsidRPr="00920145">
              <w:rPr>
                <w:rFonts w:ascii="Verdana" w:hAnsi="Verdana"/>
                <w:sz w:val="20"/>
                <w:szCs w:val="20"/>
              </w:rPr>
              <w:t>(</w:t>
            </w:r>
            <w:r w:rsidR="00C73408" w:rsidRPr="00920145">
              <w:rPr>
                <w:rFonts w:ascii="Verdana" w:hAnsi="Verdana"/>
                <w:sz w:val="20"/>
                <w:szCs w:val="20"/>
              </w:rPr>
              <w:t>-</w:t>
            </w:r>
            <w:r w:rsidRPr="00920145">
              <w:rPr>
                <w:rFonts w:ascii="Verdana" w:hAnsi="Verdana"/>
                <w:sz w:val="20"/>
                <w:szCs w:val="20"/>
              </w:rPr>
              <w:t>)</w:t>
            </w:r>
            <w:r w:rsidR="00C73408" w:rsidRPr="00920145">
              <w:rPr>
                <w:rFonts w:ascii="Verdana" w:hAnsi="Verdana"/>
                <w:sz w:val="20"/>
                <w:szCs w:val="20"/>
              </w:rPr>
              <w:t xml:space="preserve"> 0-30 sekund</w:t>
            </w:r>
          </w:p>
        </w:tc>
      </w:tr>
      <w:tr w:rsidR="00DE497C" w:rsidRPr="00920145" w14:paraId="0574BAEB" w14:textId="77777777" w:rsidTr="002F7B05">
        <w:tc>
          <w:tcPr>
            <w:tcW w:w="3402" w:type="dxa"/>
          </w:tcPr>
          <w:p w14:paraId="5F0FE18B" w14:textId="77777777" w:rsidR="00DE497C" w:rsidRPr="00920145" w:rsidRDefault="00DE497C" w:rsidP="00A23201">
            <w:pPr>
              <w:spacing w:after="120" w:line="360" w:lineRule="auto"/>
              <w:rPr>
                <w:rFonts w:ascii="Verdana" w:hAnsi="Verdana"/>
                <w:sz w:val="20"/>
                <w:szCs w:val="18"/>
              </w:rPr>
            </w:pPr>
            <w:r w:rsidRPr="00920145">
              <w:rPr>
                <w:rFonts w:ascii="Verdana" w:hAnsi="Verdana"/>
                <w:sz w:val="20"/>
                <w:szCs w:val="18"/>
              </w:rPr>
              <w:t>Wysokość statycznych ograniczeń wahań kursów</w:t>
            </w:r>
          </w:p>
        </w:tc>
        <w:tc>
          <w:tcPr>
            <w:tcW w:w="4388" w:type="dxa"/>
          </w:tcPr>
          <w:p w14:paraId="7F4C857B" w14:textId="77777777" w:rsidR="00DE497C" w:rsidRPr="00920145" w:rsidRDefault="00DE497C" w:rsidP="00190962">
            <w:pPr>
              <w:numPr>
                <w:ilvl w:val="0"/>
                <w:numId w:val="43"/>
              </w:numPr>
              <w:spacing w:after="120" w:line="360" w:lineRule="auto"/>
              <w:jc w:val="both"/>
              <w:rPr>
                <w:rFonts w:ascii="Verdana" w:hAnsi="Verdana"/>
                <w:sz w:val="20"/>
                <w:szCs w:val="18"/>
              </w:rPr>
            </w:pPr>
            <w:r w:rsidRPr="00920145">
              <w:rPr>
                <w:rFonts w:ascii="Verdana" w:hAnsi="Verdana"/>
                <w:sz w:val="20"/>
                <w:szCs w:val="18"/>
              </w:rPr>
              <w:t xml:space="preserve">30,00% od kursu odniesienia - przy kursie odniesienia 0,0100 - 0,0999 jednostki waluty notowania   </w:t>
            </w:r>
          </w:p>
          <w:p w14:paraId="35A9C6C8" w14:textId="77777777" w:rsidR="00DE497C" w:rsidRPr="00920145" w:rsidRDefault="00DE497C" w:rsidP="00190962">
            <w:pPr>
              <w:numPr>
                <w:ilvl w:val="0"/>
                <w:numId w:val="43"/>
              </w:numPr>
              <w:spacing w:after="120" w:line="360" w:lineRule="auto"/>
              <w:jc w:val="both"/>
              <w:rPr>
                <w:rFonts w:ascii="Verdana" w:hAnsi="Verdana"/>
                <w:sz w:val="20"/>
                <w:szCs w:val="18"/>
              </w:rPr>
            </w:pPr>
            <w:r w:rsidRPr="00920145">
              <w:rPr>
                <w:rFonts w:ascii="Verdana" w:hAnsi="Verdana"/>
                <w:sz w:val="20"/>
                <w:szCs w:val="18"/>
              </w:rPr>
              <w:t xml:space="preserve">15,00% od kursu odniesienia - przy kursie odniesienia 0,1000 - 0,1999 jednostki waluty notowania   </w:t>
            </w:r>
          </w:p>
          <w:p w14:paraId="4D3BAD50" w14:textId="77777777" w:rsidR="00DE497C" w:rsidRPr="00920145" w:rsidRDefault="00DE497C" w:rsidP="00190962">
            <w:pPr>
              <w:numPr>
                <w:ilvl w:val="0"/>
                <w:numId w:val="43"/>
              </w:numPr>
              <w:spacing w:after="120" w:line="360" w:lineRule="auto"/>
              <w:jc w:val="both"/>
              <w:rPr>
                <w:rFonts w:ascii="Verdana" w:hAnsi="Verdana"/>
                <w:sz w:val="20"/>
                <w:szCs w:val="18"/>
              </w:rPr>
            </w:pPr>
            <w:r w:rsidRPr="00920145">
              <w:rPr>
                <w:rFonts w:ascii="Verdana" w:hAnsi="Verdana"/>
                <w:sz w:val="20"/>
                <w:szCs w:val="18"/>
              </w:rPr>
              <w:t xml:space="preserve">10,00% od kursu odniesienia - przy kursie odniesienia 0,2000 jednostki waluty notowania lub wyższym  </w:t>
            </w:r>
          </w:p>
        </w:tc>
      </w:tr>
      <w:tr w:rsidR="00DE497C" w:rsidRPr="00920145" w14:paraId="6E198687" w14:textId="77777777" w:rsidTr="002F7B05">
        <w:tc>
          <w:tcPr>
            <w:tcW w:w="3402" w:type="dxa"/>
          </w:tcPr>
          <w:p w14:paraId="6A338F94" w14:textId="77777777" w:rsidR="00DE497C" w:rsidRPr="00920145" w:rsidRDefault="00DE497C" w:rsidP="00A23201">
            <w:pPr>
              <w:spacing w:after="120" w:line="360" w:lineRule="auto"/>
              <w:rPr>
                <w:rFonts w:ascii="Verdana" w:hAnsi="Verdana"/>
                <w:sz w:val="20"/>
                <w:szCs w:val="18"/>
              </w:rPr>
            </w:pPr>
            <w:r w:rsidRPr="00920145">
              <w:rPr>
                <w:rFonts w:ascii="Verdana" w:hAnsi="Verdana"/>
                <w:sz w:val="20"/>
                <w:szCs w:val="18"/>
              </w:rPr>
              <w:t xml:space="preserve">Wysokość dynamicznych ograniczeń wahań kursów </w:t>
            </w:r>
          </w:p>
        </w:tc>
        <w:tc>
          <w:tcPr>
            <w:tcW w:w="4388" w:type="dxa"/>
          </w:tcPr>
          <w:p w14:paraId="5718022C" w14:textId="77777777" w:rsidR="00DE497C" w:rsidRPr="00920145" w:rsidRDefault="00DE497C" w:rsidP="00190962">
            <w:pPr>
              <w:numPr>
                <w:ilvl w:val="0"/>
                <w:numId w:val="42"/>
              </w:numPr>
              <w:spacing w:after="120" w:line="360" w:lineRule="auto"/>
              <w:jc w:val="both"/>
              <w:rPr>
                <w:rFonts w:ascii="Verdana" w:hAnsi="Verdana"/>
                <w:sz w:val="20"/>
                <w:szCs w:val="18"/>
              </w:rPr>
            </w:pPr>
            <w:r w:rsidRPr="00920145">
              <w:rPr>
                <w:rFonts w:ascii="Verdana" w:hAnsi="Verdana"/>
                <w:sz w:val="20"/>
                <w:szCs w:val="18"/>
              </w:rPr>
              <w:t xml:space="preserve">9,00% od kursu odniesienia - przy kursie odniesienia 0,0100 - 0,1999 jednostki waluty notowania    </w:t>
            </w:r>
          </w:p>
          <w:p w14:paraId="4F1830EB" w14:textId="77777777" w:rsidR="00DE497C" w:rsidRPr="00920145" w:rsidRDefault="00DE497C" w:rsidP="00190962">
            <w:pPr>
              <w:numPr>
                <w:ilvl w:val="0"/>
                <w:numId w:val="42"/>
              </w:numPr>
              <w:spacing w:after="120" w:line="360" w:lineRule="auto"/>
              <w:jc w:val="both"/>
              <w:rPr>
                <w:rFonts w:ascii="Verdana" w:hAnsi="Verdana"/>
                <w:sz w:val="20"/>
                <w:szCs w:val="18"/>
              </w:rPr>
            </w:pPr>
            <w:r w:rsidRPr="00920145">
              <w:rPr>
                <w:rFonts w:ascii="Verdana" w:hAnsi="Verdana"/>
                <w:sz w:val="20"/>
                <w:szCs w:val="18"/>
              </w:rPr>
              <w:t xml:space="preserve">6,00% od kursu odniesienia - przy kursie odniesienia 0,2000 jednostki waluty notowania lub wyższym </w:t>
            </w:r>
          </w:p>
        </w:tc>
      </w:tr>
      <w:tr w:rsidR="00DE497C" w:rsidRPr="00920145" w14:paraId="64EA186E" w14:textId="77777777" w:rsidTr="002F7B05">
        <w:tc>
          <w:tcPr>
            <w:tcW w:w="3402" w:type="dxa"/>
          </w:tcPr>
          <w:p w14:paraId="046A2139" w14:textId="77777777" w:rsidR="00DE497C" w:rsidRPr="00920145" w:rsidRDefault="00DE497C" w:rsidP="00A23201">
            <w:pPr>
              <w:spacing w:after="120" w:line="360" w:lineRule="auto"/>
              <w:rPr>
                <w:rFonts w:ascii="Verdana" w:hAnsi="Verdana"/>
                <w:sz w:val="20"/>
                <w:szCs w:val="18"/>
              </w:rPr>
            </w:pPr>
            <w:r w:rsidRPr="00920145">
              <w:rPr>
                <w:rFonts w:ascii="Verdana" w:hAnsi="Verdana"/>
                <w:sz w:val="20"/>
                <w:szCs w:val="18"/>
              </w:rPr>
              <w:t xml:space="preserve">Maksymalne wartości dla limitów cen w zleceniu maklerskim   </w:t>
            </w:r>
          </w:p>
        </w:tc>
        <w:tc>
          <w:tcPr>
            <w:tcW w:w="4388" w:type="dxa"/>
          </w:tcPr>
          <w:p w14:paraId="09D5AA12" w14:textId="7BB3801A" w:rsidR="00DE497C" w:rsidRPr="00920145" w:rsidRDefault="00DE497C" w:rsidP="00A23201">
            <w:pPr>
              <w:spacing w:after="120" w:line="360" w:lineRule="auto"/>
              <w:rPr>
                <w:rFonts w:ascii="Verdana" w:hAnsi="Verdana"/>
                <w:sz w:val="20"/>
                <w:szCs w:val="18"/>
              </w:rPr>
            </w:pPr>
            <w:r w:rsidRPr="00920145">
              <w:rPr>
                <w:rFonts w:ascii="Verdana" w:hAnsi="Verdana"/>
                <w:sz w:val="20"/>
                <w:szCs w:val="18"/>
              </w:rPr>
              <w:t>50% względem kursu odniesienia dla statycznych ograniczeń wahań kursu</w:t>
            </w:r>
          </w:p>
        </w:tc>
      </w:tr>
      <w:tr w:rsidR="00DE497C" w:rsidRPr="00920145" w14:paraId="3B4DF981" w14:textId="77777777" w:rsidTr="002F7B05">
        <w:tc>
          <w:tcPr>
            <w:tcW w:w="3402" w:type="dxa"/>
          </w:tcPr>
          <w:p w14:paraId="03B80E07" w14:textId="77777777" w:rsidR="00DE497C" w:rsidRPr="00920145" w:rsidRDefault="00DE497C" w:rsidP="00A23201">
            <w:pPr>
              <w:spacing w:after="120" w:line="360" w:lineRule="auto"/>
              <w:rPr>
                <w:rFonts w:ascii="Verdana" w:hAnsi="Verdana"/>
                <w:sz w:val="20"/>
                <w:szCs w:val="18"/>
              </w:rPr>
            </w:pPr>
            <w:r w:rsidRPr="00920145">
              <w:rPr>
                <w:rFonts w:ascii="Verdana" w:hAnsi="Verdana"/>
                <w:sz w:val="20"/>
                <w:szCs w:val="18"/>
              </w:rPr>
              <w:lastRenderedPageBreak/>
              <w:t xml:space="preserve">Maksymalna wartość zlecenia maklerskiego     </w:t>
            </w:r>
          </w:p>
        </w:tc>
        <w:tc>
          <w:tcPr>
            <w:tcW w:w="4388" w:type="dxa"/>
          </w:tcPr>
          <w:p w14:paraId="46FEE2C2" w14:textId="30464D26" w:rsidR="00DE497C" w:rsidRPr="00920145" w:rsidRDefault="00DE497C" w:rsidP="00A23201">
            <w:pPr>
              <w:spacing w:after="120" w:line="360" w:lineRule="auto"/>
              <w:rPr>
                <w:rFonts w:ascii="Verdana" w:hAnsi="Verdana"/>
                <w:sz w:val="20"/>
                <w:szCs w:val="18"/>
              </w:rPr>
            </w:pPr>
            <w:r w:rsidRPr="00920145">
              <w:rPr>
                <w:rFonts w:ascii="Verdana" w:hAnsi="Verdana"/>
                <w:sz w:val="20"/>
                <w:szCs w:val="18"/>
              </w:rPr>
              <w:t xml:space="preserve">10.000.000 jednostek waluty notowania  </w:t>
            </w:r>
          </w:p>
        </w:tc>
      </w:tr>
      <w:tr w:rsidR="00DE497C" w:rsidRPr="00920145" w14:paraId="406C1082" w14:textId="77777777" w:rsidTr="002F7B05">
        <w:tc>
          <w:tcPr>
            <w:tcW w:w="3402" w:type="dxa"/>
            <w:tcBorders>
              <w:top w:val="single" w:sz="4" w:space="0" w:color="auto"/>
              <w:left w:val="single" w:sz="4" w:space="0" w:color="auto"/>
              <w:bottom w:val="single" w:sz="4" w:space="0" w:color="auto"/>
              <w:right w:val="single" w:sz="4" w:space="0" w:color="auto"/>
            </w:tcBorders>
          </w:tcPr>
          <w:p w14:paraId="39699937" w14:textId="77777777" w:rsidR="00DE497C" w:rsidRPr="00920145" w:rsidRDefault="00DE497C" w:rsidP="00A23201">
            <w:pPr>
              <w:spacing w:after="120" w:line="360" w:lineRule="auto"/>
              <w:rPr>
                <w:rFonts w:ascii="Verdana" w:hAnsi="Verdana"/>
                <w:sz w:val="20"/>
                <w:szCs w:val="18"/>
              </w:rPr>
            </w:pPr>
            <w:r w:rsidRPr="00920145">
              <w:rPr>
                <w:rFonts w:ascii="Verdana" w:hAnsi="Verdana"/>
                <w:sz w:val="20"/>
                <w:szCs w:val="18"/>
              </w:rPr>
              <w:t xml:space="preserve">Maksymalny wolumen zlecenia maklerskiego     </w:t>
            </w:r>
          </w:p>
        </w:tc>
        <w:tc>
          <w:tcPr>
            <w:tcW w:w="4388" w:type="dxa"/>
            <w:tcBorders>
              <w:top w:val="single" w:sz="4" w:space="0" w:color="auto"/>
              <w:left w:val="single" w:sz="4" w:space="0" w:color="auto"/>
              <w:bottom w:val="single" w:sz="4" w:space="0" w:color="auto"/>
              <w:right w:val="single" w:sz="4" w:space="0" w:color="auto"/>
            </w:tcBorders>
          </w:tcPr>
          <w:p w14:paraId="2327942C" w14:textId="7B4A48EA" w:rsidR="00DE497C" w:rsidRPr="00920145" w:rsidRDefault="00DE497C" w:rsidP="00A23201">
            <w:pPr>
              <w:spacing w:after="120" w:line="360" w:lineRule="auto"/>
              <w:jc w:val="both"/>
              <w:rPr>
                <w:rFonts w:ascii="Verdana" w:hAnsi="Verdana"/>
                <w:sz w:val="20"/>
                <w:szCs w:val="18"/>
              </w:rPr>
            </w:pPr>
            <w:r w:rsidRPr="00920145">
              <w:rPr>
                <w:rFonts w:ascii="Verdana" w:hAnsi="Verdana"/>
                <w:sz w:val="20"/>
                <w:szCs w:val="18"/>
              </w:rPr>
              <w:t xml:space="preserve">2% instrumentów finansowych wprowadzonych do obrotu giełdowego </w:t>
            </w:r>
            <w:r w:rsidR="00E95ACE" w:rsidRPr="00920145">
              <w:rPr>
                <w:rFonts w:ascii="Verdana" w:hAnsi="Verdana"/>
                <w:sz w:val="20"/>
                <w:szCs w:val="18"/>
              </w:rPr>
              <w:br/>
            </w:r>
            <w:r w:rsidRPr="00920145">
              <w:rPr>
                <w:rFonts w:ascii="Verdana" w:hAnsi="Verdana"/>
                <w:sz w:val="20"/>
                <w:szCs w:val="18"/>
              </w:rPr>
              <w:t xml:space="preserve">i oznaczonych tym samym kodem ISIN, </w:t>
            </w:r>
            <w:r w:rsidR="00E95ACE" w:rsidRPr="00920145">
              <w:rPr>
                <w:rFonts w:ascii="Verdana" w:hAnsi="Verdana"/>
                <w:sz w:val="20"/>
                <w:szCs w:val="18"/>
              </w:rPr>
              <w:br/>
            </w:r>
            <w:r w:rsidRPr="00920145">
              <w:rPr>
                <w:rFonts w:ascii="Verdana" w:hAnsi="Verdana"/>
                <w:sz w:val="20"/>
                <w:szCs w:val="18"/>
              </w:rPr>
              <w:t>a w przypadku gdy 2% tych instrumentów stanowi mniej niż 1.000.000 instrumentów – nie więcej  niż 1.000.000 instrumentów</w:t>
            </w:r>
          </w:p>
        </w:tc>
      </w:tr>
      <w:tr w:rsidR="00DE497C" w:rsidRPr="00920145" w14:paraId="78CC1BBE" w14:textId="77777777" w:rsidTr="002F7B05">
        <w:tc>
          <w:tcPr>
            <w:tcW w:w="3402" w:type="dxa"/>
            <w:tcBorders>
              <w:top w:val="single" w:sz="4" w:space="0" w:color="auto"/>
              <w:left w:val="single" w:sz="4" w:space="0" w:color="auto"/>
              <w:bottom w:val="single" w:sz="4" w:space="0" w:color="auto"/>
              <w:right w:val="single" w:sz="4" w:space="0" w:color="auto"/>
            </w:tcBorders>
          </w:tcPr>
          <w:p w14:paraId="0CC231BB" w14:textId="77777777" w:rsidR="00DE497C" w:rsidRPr="00920145" w:rsidRDefault="00DE497C" w:rsidP="00A23201">
            <w:pPr>
              <w:spacing w:after="120" w:line="360" w:lineRule="auto"/>
              <w:rPr>
                <w:rFonts w:ascii="Verdana" w:hAnsi="Verdana"/>
                <w:sz w:val="20"/>
                <w:szCs w:val="18"/>
              </w:rPr>
            </w:pPr>
            <w:r w:rsidRPr="00920145">
              <w:rPr>
                <w:rFonts w:ascii="Verdana" w:hAnsi="Verdana"/>
                <w:sz w:val="20"/>
                <w:szCs w:val="18"/>
              </w:rPr>
              <w:t>Równoważenie podstawowe dla statycznych ograniczeń wahań kursów</w:t>
            </w:r>
          </w:p>
        </w:tc>
        <w:tc>
          <w:tcPr>
            <w:tcW w:w="4388" w:type="dxa"/>
            <w:tcBorders>
              <w:top w:val="single" w:sz="4" w:space="0" w:color="auto"/>
              <w:left w:val="single" w:sz="4" w:space="0" w:color="auto"/>
              <w:bottom w:val="single" w:sz="4" w:space="0" w:color="auto"/>
              <w:right w:val="single" w:sz="4" w:space="0" w:color="auto"/>
            </w:tcBorders>
          </w:tcPr>
          <w:p w14:paraId="10FA98FF" w14:textId="77777777" w:rsidR="00DE497C" w:rsidRPr="00920145" w:rsidRDefault="00DE497C" w:rsidP="00A23201">
            <w:pPr>
              <w:spacing w:after="120" w:line="360" w:lineRule="auto"/>
              <w:rPr>
                <w:rFonts w:ascii="Verdana" w:hAnsi="Verdana"/>
                <w:sz w:val="20"/>
                <w:szCs w:val="18"/>
              </w:rPr>
            </w:pPr>
            <w:r w:rsidRPr="00920145">
              <w:rPr>
                <w:rFonts w:ascii="Verdana" w:hAnsi="Verdana"/>
                <w:sz w:val="20"/>
                <w:szCs w:val="18"/>
              </w:rPr>
              <w:t>Tak</w:t>
            </w:r>
          </w:p>
        </w:tc>
      </w:tr>
      <w:tr w:rsidR="00DE497C" w:rsidRPr="00920145" w14:paraId="0E63CCCE" w14:textId="77777777" w:rsidTr="002F7B05">
        <w:tc>
          <w:tcPr>
            <w:tcW w:w="3402" w:type="dxa"/>
            <w:tcBorders>
              <w:top w:val="single" w:sz="4" w:space="0" w:color="auto"/>
              <w:left w:val="single" w:sz="4" w:space="0" w:color="auto"/>
              <w:bottom w:val="single" w:sz="4" w:space="0" w:color="auto"/>
              <w:right w:val="single" w:sz="4" w:space="0" w:color="auto"/>
            </w:tcBorders>
          </w:tcPr>
          <w:p w14:paraId="49512F33" w14:textId="77777777" w:rsidR="00DE497C" w:rsidRPr="00920145" w:rsidRDefault="00DE497C" w:rsidP="00A23201">
            <w:pPr>
              <w:spacing w:after="120" w:line="360" w:lineRule="auto"/>
              <w:rPr>
                <w:rFonts w:ascii="Verdana" w:hAnsi="Verdana"/>
                <w:sz w:val="20"/>
                <w:szCs w:val="18"/>
              </w:rPr>
            </w:pPr>
            <w:r w:rsidRPr="00920145">
              <w:rPr>
                <w:rFonts w:ascii="Verdana" w:hAnsi="Verdana"/>
                <w:sz w:val="20"/>
                <w:szCs w:val="18"/>
              </w:rPr>
              <w:t>Czas trwania równoważenia podstawowego dla statycznych ograniczeń wahań kursów</w:t>
            </w:r>
          </w:p>
        </w:tc>
        <w:tc>
          <w:tcPr>
            <w:tcW w:w="4388" w:type="dxa"/>
            <w:tcBorders>
              <w:top w:val="single" w:sz="4" w:space="0" w:color="auto"/>
              <w:left w:val="single" w:sz="4" w:space="0" w:color="auto"/>
              <w:bottom w:val="single" w:sz="4" w:space="0" w:color="auto"/>
              <w:right w:val="single" w:sz="4" w:space="0" w:color="auto"/>
            </w:tcBorders>
          </w:tcPr>
          <w:p w14:paraId="4A8C9603" w14:textId="77777777" w:rsidR="00DE497C" w:rsidRPr="00920145" w:rsidRDefault="00DE497C" w:rsidP="00A23201">
            <w:pPr>
              <w:spacing w:after="120" w:line="360" w:lineRule="auto"/>
              <w:rPr>
                <w:rFonts w:ascii="Verdana" w:hAnsi="Verdana"/>
                <w:sz w:val="20"/>
                <w:szCs w:val="18"/>
              </w:rPr>
            </w:pPr>
            <w:r w:rsidRPr="00920145">
              <w:rPr>
                <w:rFonts w:ascii="Verdana" w:hAnsi="Verdana"/>
                <w:sz w:val="20"/>
                <w:szCs w:val="18"/>
              </w:rPr>
              <w:t>300 sekund</w:t>
            </w:r>
          </w:p>
        </w:tc>
      </w:tr>
      <w:tr w:rsidR="00DE497C" w:rsidRPr="00920145" w14:paraId="5147F751" w14:textId="77777777" w:rsidTr="002F7B05">
        <w:tc>
          <w:tcPr>
            <w:tcW w:w="3402" w:type="dxa"/>
            <w:tcBorders>
              <w:top w:val="single" w:sz="4" w:space="0" w:color="auto"/>
              <w:left w:val="single" w:sz="4" w:space="0" w:color="auto"/>
              <w:bottom w:val="single" w:sz="4" w:space="0" w:color="auto"/>
              <w:right w:val="single" w:sz="4" w:space="0" w:color="auto"/>
            </w:tcBorders>
          </w:tcPr>
          <w:p w14:paraId="25B4BAE7" w14:textId="77777777" w:rsidR="00DE497C" w:rsidRPr="00920145" w:rsidRDefault="00DE497C" w:rsidP="00A23201">
            <w:pPr>
              <w:spacing w:after="120" w:line="360" w:lineRule="auto"/>
              <w:rPr>
                <w:rFonts w:ascii="Verdana" w:hAnsi="Verdana"/>
                <w:sz w:val="20"/>
                <w:szCs w:val="18"/>
              </w:rPr>
            </w:pPr>
            <w:r w:rsidRPr="00920145">
              <w:rPr>
                <w:rFonts w:ascii="Verdana" w:hAnsi="Verdana"/>
                <w:sz w:val="20"/>
                <w:szCs w:val="18"/>
              </w:rPr>
              <w:t>Współczynnik przesunięcia kursu odniesienia dla równoważenia w fazie aukcji otwarcia</w:t>
            </w:r>
          </w:p>
        </w:tc>
        <w:tc>
          <w:tcPr>
            <w:tcW w:w="4388" w:type="dxa"/>
            <w:tcBorders>
              <w:top w:val="single" w:sz="4" w:space="0" w:color="auto"/>
              <w:left w:val="single" w:sz="4" w:space="0" w:color="auto"/>
              <w:bottom w:val="single" w:sz="4" w:space="0" w:color="auto"/>
              <w:right w:val="single" w:sz="4" w:space="0" w:color="auto"/>
            </w:tcBorders>
          </w:tcPr>
          <w:p w14:paraId="2172EF03" w14:textId="77777777" w:rsidR="00DE497C" w:rsidRPr="00920145" w:rsidRDefault="00DE497C" w:rsidP="00A23201">
            <w:pPr>
              <w:spacing w:after="120" w:line="360" w:lineRule="auto"/>
              <w:rPr>
                <w:rFonts w:ascii="Verdana" w:hAnsi="Verdana"/>
                <w:sz w:val="20"/>
                <w:szCs w:val="18"/>
              </w:rPr>
            </w:pPr>
            <w:r w:rsidRPr="00920145">
              <w:rPr>
                <w:rFonts w:ascii="Verdana" w:hAnsi="Verdana"/>
                <w:sz w:val="20"/>
                <w:szCs w:val="18"/>
              </w:rPr>
              <w:t>1</w:t>
            </w:r>
          </w:p>
        </w:tc>
      </w:tr>
      <w:tr w:rsidR="00DE497C" w:rsidRPr="00920145" w14:paraId="431FFD59" w14:textId="77777777" w:rsidTr="002F7B05">
        <w:tc>
          <w:tcPr>
            <w:tcW w:w="3402" w:type="dxa"/>
            <w:tcBorders>
              <w:top w:val="single" w:sz="4" w:space="0" w:color="auto"/>
              <w:left w:val="single" w:sz="4" w:space="0" w:color="auto"/>
              <w:bottom w:val="single" w:sz="4" w:space="0" w:color="auto"/>
              <w:right w:val="single" w:sz="4" w:space="0" w:color="auto"/>
            </w:tcBorders>
          </w:tcPr>
          <w:p w14:paraId="50E7C53A" w14:textId="77777777" w:rsidR="00DE497C" w:rsidRPr="00920145" w:rsidRDefault="00DE497C" w:rsidP="00A23201">
            <w:pPr>
              <w:spacing w:after="120" w:line="360" w:lineRule="auto"/>
              <w:rPr>
                <w:rFonts w:ascii="Verdana" w:hAnsi="Verdana"/>
                <w:sz w:val="20"/>
                <w:szCs w:val="18"/>
              </w:rPr>
            </w:pPr>
            <w:r w:rsidRPr="00920145">
              <w:rPr>
                <w:rFonts w:ascii="Verdana" w:hAnsi="Verdana"/>
                <w:sz w:val="20"/>
                <w:szCs w:val="18"/>
              </w:rPr>
              <w:t>Współczynnik przesunięcia kursu odniesienia dla równoważenia w fazach innych niż faza aukcji otwarcia</w:t>
            </w:r>
          </w:p>
        </w:tc>
        <w:tc>
          <w:tcPr>
            <w:tcW w:w="4388" w:type="dxa"/>
            <w:tcBorders>
              <w:top w:val="single" w:sz="4" w:space="0" w:color="auto"/>
              <w:left w:val="single" w:sz="4" w:space="0" w:color="auto"/>
              <w:bottom w:val="single" w:sz="4" w:space="0" w:color="auto"/>
              <w:right w:val="single" w:sz="4" w:space="0" w:color="auto"/>
            </w:tcBorders>
          </w:tcPr>
          <w:p w14:paraId="66862400" w14:textId="77777777" w:rsidR="00DE497C" w:rsidRPr="00920145" w:rsidRDefault="00DE497C" w:rsidP="00A23201">
            <w:pPr>
              <w:spacing w:after="120" w:line="360" w:lineRule="auto"/>
              <w:rPr>
                <w:rFonts w:ascii="Verdana" w:hAnsi="Verdana"/>
                <w:sz w:val="20"/>
                <w:szCs w:val="18"/>
              </w:rPr>
            </w:pPr>
            <w:r w:rsidRPr="00920145">
              <w:rPr>
                <w:rFonts w:ascii="Verdana" w:hAnsi="Verdana"/>
                <w:sz w:val="20"/>
                <w:szCs w:val="18"/>
              </w:rPr>
              <w:t>0,5</w:t>
            </w:r>
          </w:p>
        </w:tc>
      </w:tr>
      <w:tr w:rsidR="00DE497C" w:rsidRPr="00920145" w14:paraId="5E86B2C5" w14:textId="77777777" w:rsidTr="002F7B05">
        <w:tc>
          <w:tcPr>
            <w:tcW w:w="3402" w:type="dxa"/>
            <w:tcBorders>
              <w:top w:val="single" w:sz="4" w:space="0" w:color="auto"/>
              <w:left w:val="single" w:sz="4" w:space="0" w:color="auto"/>
              <w:bottom w:val="single" w:sz="4" w:space="0" w:color="auto"/>
              <w:right w:val="single" w:sz="4" w:space="0" w:color="auto"/>
            </w:tcBorders>
          </w:tcPr>
          <w:p w14:paraId="3D472802" w14:textId="77777777" w:rsidR="00DE497C" w:rsidRPr="00920145" w:rsidRDefault="00DE497C" w:rsidP="00A23201">
            <w:pPr>
              <w:spacing w:after="120" w:line="360" w:lineRule="auto"/>
              <w:rPr>
                <w:rFonts w:ascii="Verdana" w:hAnsi="Verdana"/>
                <w:sz w:val="20"/>
                <w:szCs w:val="18"/>
              </w:rPr>
            </w:pPr>
            <w:r w:rsidRPr="00920145">
              <w:rPr>
                <w:rFonts w:ascii="Verdana" w:hAnsi="Verdana"/>
                <w:sz w:val="20"/>
                <w:szCs w:val="18"/>
              </w:rPr>
              <w:t>Współczynnik maksymalnej liczby zmian netto statycznych ograniczeń wahań kursów</w:t>
            </w:r>
          </w:p>
        </w:tc>
        <w:tc>
          <w:tcPr>
            <w:tcW w:w="4388" w:type="dxa"/>
            <w:tcBorders>
              <w:top w:val="single" w:sz="4" w:space="0" w:color="auto"/>
              <w:left w:val="single" w:sz="4" w:space="0" w:color="auto"/>
              <w:bottom w:val="single" w:sz="4" w:space="0" w:color="auto"/>
              <w:right w:val="single" w:sz="4" w:space="0" w:color="auto"/>
            </w:tcBorders>
          </w:tcPr>
          <w:p w14:paraId="6DD6A50C" w14:textId="77777777" w:rsidR="00DE497C" w:rsidRPr="00920145" w:rsidRDefault="00DE497C" w:rsidP="00A23201">
            <w:pPr>
              <w:spacing w:after="120" w:line="360" w:lineRule="auto"/>
              <w:rPr>
                <w:rFonts w:ascii="Verdana" w:hAnsi="Verdana"/>
                <w:sz w:val="20"/>
                <w:szCs w:val="18"/>
              </w:rPr>
            </w:pPr>
            <w:r w:rsidRPr="00920145">
              <w:rPr>
                <w:rFonts w:ascii="Verdana" w:hAnsi="Verdana"/>
                <w:sz w:val="20"/>
                <w:szCs w:val="18"/>
              </w:rPr>
              <w:t>2</w:t>
            </w:r>
          </w:p>
        </w:tc>
      </w:tr>
      <w:tr w:rsidR="00DE497C" w:rsidRPr="00920145" w14:paraId="03F0BC42" w14:textId="77777777" w:rsidTr="002F7B05">
        <w:tc>
          <w:tcPr>
            <w:tcW w:w="3402" w:type="dxa"/>
            <w:tcBorders>
              <w:top w:val="single" w:sz="4" w:space="0" w:color="auto"/>
              <w:left w:val="single" w:sz="4" w:space="0" w:color="auto"/>
              <w:bottom w:val="single" w:sz="4" w:space="0" w:color="auto"/>
              <w:right w:val="single" w:sz="4" w:space="0" w:color="auto"/>
            </w:tcBorders>
          </w:tcPr>
          <w:p w14:paraId="708521AE" w14:textId="77777777" w:rsidR="00DE497C" w:rsidRPr="00920145" w:rsidRDefault="00DE497C" w:rsidP="00A23201">
            <w:pPr>
              <w:spacing w:after="120" w:line="360" w:lineRule="auto"/>
              <w:rPr>
                <w:rFonts w:ascii="Verdana" w:hAnsi="Verdana"/>
                <w:sz w:val="20"/>
                <w:szCs w:val="18"/>
              </w:rPr>
            </w:pPr>
            <w:r w:rsidRPr="00920145">
              <w:rPr>
                <w:rFonts w:ascii="Verdana" w:hAnsi="Verdana"/>
                <w:sz w:val="20"/>
                <w:szCs w:val="18"/>
              </w:rPr>
              <w:t>Czas trwania równoważenia podstawowego dla dynamicznych ograniczeń wahań kursów</w:t>
            </w:r>
          </w:p>
        </w:tc>
        <w:tc>
          <w:tcPr>
            <w:tcW w:w="4388" w:type="dxa"/>
            <w:tcBorders>
              <w:top w:val="single" w:sz="4" w:space="0" w:color="auto"/>
              <w:left w:val="single" w:sz="4" w:space="0" w:color="auto"/>
              <w:bottom w:val="single" w:sz="4" w:space="0" w:color="auto"/>
              <w:right w:val="single" w:sz="4" w:space="0" w:color="auto"/>
            </w:tcBorders>
          </w:tcPr>
          <w:p w14:paraId="3E6A028D" w14:textId="77777777" w:rsidR="00DE497C" w:rsidRPr="00920145" w:rsidRDefault="00DE497C" w:rsidP="00A23201">
            <w:pPr>
              <w:spacing w:after="120" w:line="360" w:lineRule="auto"/>
              <w:rPr>
                <w:rFonts w:ascii="Verdana" w:hAnsi="Verdana"/>
                <w:sz w:val="20"/>
                <w:szCs w:val="18"/>
              </w:rPr>
            </w:pPr>
            <w:r w:rsidRPr="00920145">
              <w:rPr>
                <w:rFonts w:ascii="Verdana" w:hAnsi="Verdana"/>
                <w:sz w:val="20"/>
                <w:szCs w:val="18"/>
              </w:rPr>
              <w:t>60 sekund</w:t>
            </w:r>
          </w:p>
        </w:tc>
      </w:tr>
      <w:tr w:rsidR="00DE497C" w:rsidRPr="00920145" w14:paraId="30235861" w14:textId="77777777" w:rsidTr="002F7B05">
        <w:tc>
          <w:tcPr>
            <w:tcW w:w="3402" w:type="dxa"/>
            <w:tcBorders>
              <w:top w:val="single" w:sz="4" w:space="0" w:color="auto"/>
              <w:left w:val="single" w:sz="4" w:space="0" w:color="auto"/>
              <w:bottom w:val="single" w:sz="4" w:space="0" w:color="auto"/>
              <w:right w:val="single" w:sz="4" w:space="0" w:color="auto"/>
            </w:tcBorders>
          </w:tcPr>
          <w:p w14:paraId="4572EC12" w14:textId="77777777" w:rsidR="00DE497C" w:rsidRPr="00920145" w:rsidRDefault="00DE497C" w:rsidP="00A23201">
            <w:pPr>
              <w:spacing w:after="120" w:line="360" w:lineRule="auto"/>
              <w:rPr>
                <w:rFonts w:ascii="Verdana" w:hAnsi="Verdana"/>
                <w:sz w:val="20"/>
                <w:szCs w:val="18"/>
              </w:rPr>
            </w:pPr>
            <w:r w:rsidRPr="00920145">
              <w:rPr>
                <w:rFonts w:ascii="Verdana" w:hAnsi="Verdana"/>
                <w:sz w:val="20"/>
                <w:szCs w:val="18"/>
              </w:rPr>
              <w:t>Współczynnik rozszerzenia dla równoważenia w fazie aukcji otwarcia</w:t>
            </w:r>
          </w:p>
        </w:tc>
        <w:tc>
          <w:tcPr>
            <w:tcW w:w="4388" w:type="dxa"/>
            <w:tcBorders>
              <w:top w:val="single" w:sz="4" w:space="0" w:color="auto"/>
              <w:left w:val="single" w:sz="4" w:space="0" w:color="auto"/>
              <w:bottom w:val="single" w:sz="4" w:space="0" w:color="auto"/>
              <w:right w:val="single" w:sz="4" w:space="0" w:color="auto"/>
            </w:tcBorders>
          </w:tcPr>
          <w:p w14:paraId="64D73BF0" w14:textId="77777777" w:rsidR="00DE497C" w:rsidRPr="00920145" w:rsidRDefault="00DE497C" w:rsidP="00A23201">
            <w:pPr>
              <w:spacing w:after="120" w:line="360" w:lineRule="auto"/>
              <w:rPr>
                <w:rFonts w:ascii="Verdana" w:hAnsi="Verdana"/>
                <w:sz w:val="20"/>
                <w:szCs w:val="18"/>
              </w:rPr>
            </w:pPr>
            <w:r w:rsidRPr="00920145">
              <w:rPr>
                <w:rFonts w:ascii="Verdana" w:hAnsi="Verdana"/>
                <w:sz w:val="20"/>
                <w:szCs w:val="18"/>
              </w:rPr>
              <w:t>3,0</w:t>
            </w:r>
          </w:p>
        </w:tc>
      </w:tr>
      <w:tr w:rsidR="00DE497C" w:rsidRPr="00920145" w14:paraId="1A89C5A3" w14:textId="77777777" w:rsidTr="002F7B05">
        <w:tc>
          <w:tcPr>
            <w:tcW w:w="3402" w:type="dxa"/>
            <w:tcBorders>
              <w:top w:val="single" w:sz="4" w:space="0" w:color="auto"/>
              <w:left w:val="single" w:sz="4" w:space="0" w:color="auto"/>
              <w:bottom w:val="single" w:sz="4" w:space="0" w:color="auto"/>
              <w:right w:val="single" w:sz="4" w:space="0" w:color="auto"/>
            </w:tcBorders>
          </w:tcPr>
          <w:p w14:paraId="5702542F" w14:textId="77777777" w:rsidR="00DE497C" w:rsidRPr="00920145" w:rsidRDefault="00DE497C" w:rsidP="00A23201">
            <w:pPr>
              <w:spacing w:after="120" w:line="360" w:lineRule="auto"/>
              <w:rPr>
                <w:rFonts w:ascii="Verdana" w:hAnsi="Verdana"/>
                <w:sz w:val="20"/>
                <w:szCs w:val="18"/>
              </w:rPr>
            </w:pPr>
            <w:r w:rsidRPr="00920145">
              <w:rPr>
                <w:rFonts w:ascii="Verdana" w:hAnsi="Verdana"/>
                <w:sz w:val="20"/>
                <w:szCs w:val="18"/>
              </w:rPr>
              <w:lastRenderedPageBreak/>
              <w:t>Współczynnik rozszerzenia dla równoważenia w fazach innych niż faza aukcji otwarcia</w:t>
            </w:r>
          </w:p>
        </w:tc>
        <w:tc>
          <w:tcPr>
            <w:tcW w:w="4388" w:type="dxa"/>
            <w:tcBorders>
              <w:top w:val="single" w:sz="4" w:space="0" w:color="auto"/>
              <w:left w:val="single" w:sz="4" w:space="0" w:color="auto"/>
              <w:bottom w:val="single" w:sz="4" w:space="0" w:color="auto"/>
              <w:right w:val="single" w:sz="4" w:space="0" w:color="auto"/>
            </w:tcBorders>
          </w:tcPr>
          <w:p w14:paraId="0F646BD7" w14:textId="77777777" w:rsidR="00DE497C" w:rsidRPr="00920145" w:rsidRDefault="00DE497C" w:rsidP="00A23201">
            <w:pPr>
              <w:spacing w:after="120" w:line="360" w:lineRule="auto"/>
              <w:rPr>
                <w:rFonts w:ascii="Verdana" w:hAnsi="Verdana"/>
                <w:sz w:val="20"/>
                <w:szCs w:val="18"/>
              </w:rPr>
            </w:pPr>
            <w:r w:rsidRPr="00920145">
              <w:rPr>
                <w:rFonts w:ascii="Verdana" w:hAnsi="Verdana"/>
                <w:sz w:val="20"/>
                <w:szCs w:val="18"/>
              </w:rPr>
              <w:t>2,0</w:t>
            </w:r>
          </w:p>
        </w:tc>
      </w:tr>
      <w:tr w:rsidR="00DE497C" w:rsidRPr="00920145" w14:paraId="1C44EB21" w14:textId="77777777" w:rsidTr="002F7B05">
        <w:tc>
          <w:tcPr>
            <w:tcW w:w="3402" w:type="dxa"/>
            <w:tcBorders>
              <w:top w:val="single" w:sz="4" w:space="0" w:color="auto"/>
              <w:left w:val="single" w:sz="4" w:space="0" w:color="auto"/>
              <w:bottom w:val="single" w:sz="4" w:space="0" w:color="auto"/>
              <w:right w:val="single" w:sz="4" w:space="0" w:color="auto"/>
            </w:tcBorders>
          </w:tcPr>
          <w:p w14:paraId="326FD056" w14:textId="77777777" w:rsidR="00DE497C" w:rsidRPr="00920145" w:rsidRDefault="00DE497C" w:rsidP="00A23201">
            <w:pPr>
              <w:spacing w:after="120" w:line="360" w:lineRule="auto"/>
              <w:rPr>
                <w:rFonts w:ascii="Verdana" w:hAnsi="Verdana"/>
                <w:sz w:val="20"/>
                <w:szCs w:val="18"/>
              </w:rPr>
            </w:pPr>
            <w:r w:rsidRPr="00920145">
              <w:rPr>
                <w:rFonts w:ascii="Verdana" w:hAnsi="Verdana"/>
                <w:sz w:val="20"/>
                <w:szCs w:val="18"/>
              </w:rPr>
              <w:t>Współczynnik maksymalnej liczby zmian netto dynamicznych ograniczeń wahań kursów</w:t>
            </w:r>
          </w:p>
        </w:tc>
        <w:tc>
          <w:tcPr>
            <w:tcW w:w="4388" w:type="dxa"/>
            <w:tcBorders>
              <w:top w:val="single" w:sz="4" w:space="0" w:color="auto"/>
              <w:left w:val="single" w:sz="4" w:space="0" w:color="auto"/>
              <w:bottom w:val="single" w:sz="4" w:space="0" w:color="auto"/>
              <w:right w:val="single" w:sz="4" w:space="0" w:color="auto"/>
            </w:tcBorders>
          </w:tcPr>
          <w:p w14:paraId="06985015" w14:textId="77777777" w:rsidR="00DE497C" w:rsidRPr="00920145" w:rsidRDefault="00DE497C" w:rsidP="00A23201">
            <w:pPr>
              <w:spacing w:after="120" w:line="360" w:lineRule="auto"/>
              <w:rPr>
                <w:rFonts w:ascii="Verdana" w:hAnsi="Verdana"/>
                <w:sz w:val="20"/>
                <w:szCs w:val="18"/>
              </w:rPr>
            </w:pPr>
            <w:r w:rsidRPr="00920145">
              <w:rPr>
                <w:rFonts w:ascii="Verdana" w:hAnsi="Verdana"/>
                <w:sz w:val="20"/>
                <w:szCs w:val="18"/>
              </w:rPr>
              <w:t>20</w:t>
            </w:r>
          </w:p>
        </w:tc>
      </w:tr>
    </w:tbl>
    <w:p w14:paraId="3D8A859D" w14:textId="5666F9AF" w:rsidR="00DE497C" w:rsidRPr="00920145" w:rsidRDefault="00DE497C" w:rsidP="00A23201">
      <w:pPr>
        <w:spacing w:after="120" w:line="360" w:lineRule="auto"/>
        <w:ind w:left="709"/>
        <w:jc w:val="both"/>
        <w:rPr>
          <w:rFonts w:ascii="Verdana" w:hAnsi="Verdana"/>
          <w:sz w:val="20"/>
          <w:szCs w:val="18"/>
        </w:rPr>
      </w:pPr>
    </w:p>
    <w:p w14:paraId="7D2A3F9C" w14:textId="6267F895" w:rsidR="00FF0365" w:rsidRPr="00920145" w:rsidRDefault="00FF0365" w:rsidP="00A23201">
      <w:pPr>
        <w:spacing w:after="120" w:line="360" w:lineRule="auto"/>
        <w:ind w:left="709"/>
        <w:jc w:val="both"/>
        <w:rPr>
          <w:rFonts w:ascii="Verdana" w:hAnsi="Verdana"/>
          <w:sz w:val="20"/>
          <w:szCs w:val="20"/>
        </w:rPr>
      </w:pPr>
      <w:r w:rsidRPr="00920145">
        <w:rPr>
          <w:rFonts w:ascii="Verdana" w:hAnsi="Verdana"/>
          <w:sz w:val="20"/>
          <w:szCs w:val="20"/>
        </w:rPr>
        <w:t xml:space="preserve">4) akcje lub prawa do akcji w dniu debiutu ich emitenta na giełdzie, </w:t>
      </w:r>
      <w:r w:rsidRPr="00920145">
        <w:rPr>
          <w:rFonts w:ascii="Verdana" w:hAnsi="Verdana"/>
          <w:sz w:val="20"/>
          <w:szCs w:val="20"/>
        </w:rPr>
        <w:br/>
        <w:t xml:space="preserve">z zastrzeżeniem pkt 5):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4388"/>
      </w:tblGrid>
      <w:tr w:rsidR="00FF0365" w:rsidRPr="00920145" w14:paraId="362AFE5C" w14:textId="77777777" w:rsidTr="002F7B05">
        <w:tc>
          <w:tcPr>
            <w:tcW w:w="3402" w:type="dxa"/>
            <w:tcBorders>
              <w:top w:val="single" w:sz="4" w:space="0" w:color="auto"/>
              <w:left w:val="single" w:sz="4" w:space="0" w:color="auto"/>
              <w:bottom w:val="single" w:sz="4" w:space="0" w:color="auto"/>
              <w:right w:val="single" w:sz="4" w:space="0" w:color="auto"/>
            </w:tcBorders>
          </w:tcPr>
          <w:p w14:paraId="04A08944" w14:textId="77777777" w:rsidR="00FF0365" w:rsidRPr="00920145" w:rsidRDefault="00FF0365" w:rsidP="00A23201">
            <w:pPr>
              <w:spacing w:after="120" w:line="360" w:lineRule="auto"/>
              <w:rPr>
                <w:rFonts w:ascii="Verdana" w:hAnsi="Verdana"/>
                <w:sz w:val="20"/>
                <w:szCs w:val="18"/>
              </w:rPr>
            </w:pPr>
            <w:r w:rsidRPr="00920145">
              <w:rPr>
                <w:rFonts w:ascii="Verdana" w:hAnsi="Verdana"/>
                <w:sz w:val="20"/>
                <w:szCs w:val="18"/>
              </w:rPr>
              <w:t>Jednostka transakcyjna</w:t>
            </w:r>
          </w:p>
        </w:tc>
        <w:tc>
          <w:tcPr>
            <w:tcW w:w="4388" w:type="dxa"/>
            <w:tcBorders>
              <w:top w:val="single" w:sz="4" w:space="0" w:color="auto"/>
              <w:left w:val="single" w:sz="4" w:space="0" w:color="auto"/>
              <w:bottom w:val="single" w:sz="4" w:space="0" w:color="auto"/>
              <w:right w:val="single" w:sz="4" w:space="0" w:color="auto"/>
            </w:tcBorders>
          </w:tcPr>
          <w:p w14:paraId="1DBEA775" w14:textId="77777777" w:rsidR="00FF0365" w:rsidRPr="00920145" w:rsidRDefault="00FF0365" w:rsidP="00A23201">
            <w:pPr>
              <w:spacing w:after="120" w:line="360" w:lineRule="auto"/>
              <w:ind w:left="75"/>
              <w:rPr>
                <w:rFonts w:ascii="Verdana" w:hAnsi="Verdana"/>
                <w:sz w:val="20"/>
                <w:szCs w:val="18"/>
              </w:rPr>
            </w:pPr>
            <w:r w:rsidRPr="00920145">
              <w:rPr>
                <w:rFonts w:ascii="Verdana" w:hAnsi="Verdana"/>
                <w:sz w:val="20"/>
                <w:szCs w:val="18"/>
              </w:rPr>
              <w:t>jeden instrument, chyba że Zarząd Giełdy określi inną jednostkę transakcyjną</w:t>
            </w:r>
          </w:p>
        </w:tc>
      </w:tr>
      <w:tr w:rsidR="0042415E" w:rsidRPr="00920145" w14:paraId="2C590C4D" w14:textId="77777777" w:rsidTr="002F7B05">
        <w:tc>
          <w:tcPr>
            <w:tcW w:w="3402" w:type="dxa"/>
            <w:tcBorders>
              <w:top w:val="single" w:sz="4" w:space="0" w:color="auto"/>
              <w:left w:val="single" w:sz="4" w:space="0" w:color="auto"/>
              <w:bottom w:val="single" w:sz="4" w:space="0" w:color="auto"/>
              <w:right w:val="single" w:sz="4" w:space="0" w:color="auto"/>
            </w:tcBorders>
          </w:tcPr>
          <w:p w14:paraId="2E1D3971" w14:textId="5B3C133F" w:rsidR="0042415E" w:rsidRPr="00920145" w:rsidRDefault="0042415E" w:rsidP="0042415E">
            <w:pPr>
              <w:spacing w:after="120" w:line="360" w:lineRule="auto"/>
              <w:rPr>
                <w:rFonts w:ascii="Verdana" w:hAnsi="Verdana"/>
                <w:sz w:val="20"/>
                <w:szCs w:val="18"/>
              </w:rPr>
            </w:pPr>
            <w:r w:rsidRPr="00920145">
              <w:rPr>
                <w:rFonts w:ascii="Verdana" w:hAnsi="Verdana"/>
                <w:sz w:val="20"/>
                <w:szCs w:val="20"/>
              </w:rPr>
              <w:t>Losowy czas otwarcia</w:t>
            </w:r>
            <w:r w:rsidRPr="00920145">
              <w:rPr>
                <w:rFonts w:ascii="Verdana" w:hAnsi="Verdana"/>
                <w:sz w:val="20"/>
                <w:szCs w:val="20"/>
              </w:rPr>
              <w:br/>
              <w:t>dla fazy aukcji otwarcia</w:t>
            </w:r>
          </w:p>
        </w:tc>
        <w:tc>
          <w:tcPr>
            <w:tcW w:w="4388" w:type="dxa"/>
            <w:tcBorders>
              <w:top w:val="single" w:sz="4" w:space="0" w:color="auto"/>
              <w:left w:val="single" w:sz="4" w:space="0" w:color="auto"/>
              <w:bottom w:val="single" w:sz="4" w:space="0" w:color="auto"/>
              <w:right w:val="single" w:sz="4" w:space="0" w:color="auto"/>
            </w:tcBorders>
          </w:tcPr>
          <w:p w14:paraId="3231676A" w14:textId="33FBDD53" w:rsidR="0042415E" w:rsidRPr="00920145" w:rsidRDefault="003179AC" w:rsidP="0042415E">
            <w:pPr>
              <w:spacing w:after="120" w:line="360" w:lineRule="auto"/>
              <w:ind w:left="75"/>
              <w:rPr>
                <w:rFonts w:ascii="Verdana" w:hAnsi="Verdana"/>
                <w:sz w:val="20"/>
                <w:szCs w:val="18"/>
              </w:rPr>
            </w:pPr>
            <w:r w:rsidRPr="00920145">
              <w:rPr>
                <w:rFonts w:ascii="Verdana" w:hAnsi="Verdana"/>
                <w:sz w:val="20"/>
                <w:szCs w:val="20"/>
              </w:rPr>
              <w:t>(</w:t>
            </w:r>
            <w:r w:rsidR="0042415E" w:rsidRPr="00920145">
              <w:rPr>
                <w:rFonts w:ascii="Verdana" w:hAnsi="Verdana"/>
                <w:sz w:val="20"/>
                <w:szCs w:val="20"/>
              </w:rPr>
              <w:t>+</w:t>
            </w:r>
            <w:r w:rsidRPr="00920145">
              <w:rPr>
                <w:rFonts w:ascii="Verdana" w:hAnsi="Verdana"/>
                <w:sz w:val="20"/>
                <w:szCs w:val="20"/>
              </w:rPr>
              <w:t>)</w:t>
            </w:r>
            <w:r w:rsidR="0042415E" w:rsidRPr="00920145">
              <w:rPr>
                <w:rFonts w:ascii="Verdana" w:hAnsi="Verdana"/>
                <w:sz w:val="20"/>
                <w:szCs w:val="20"/>
              </w:rPr>
              <w:t xml:space="preserve"> 0-30 sekund</w:t>
            </w:r>
          </w:p>
        </w:tc>
      </w:tr>
      <w:tr w:rsidR="0042415E" w:rsidRPr="00920145" w14:paraId="11409B67" w14:textId="77777777" w:rsidTr="002F7B05">
        <w:tc>
          <w:tcPr>
            <w:tcW w:w="3402" w:type="dxa"/>
            <w:tcBorders>
              <w:top w:val="single" w:sz="4" w:space="0" w:color="auto"/>
              <w:left w:val="single" w:sz="4" w:space="0" w:color="auto"/>
              <w:bottom w:val="single" w:sz="4" w:space="0" w:color="auto"/>
              <w:right w:val="single" w:sz="4" w:space="0" w:color="auto"/>
            </w:tcBorders>
          </w:tcPr>
          <w:p w14:paraId="363BA9DF" w14:textId="6CF92103" w:rsidR="0042415E" w:rsidRPr="00920145" w:rsidRDefault="0042415E" w:rsidP="0042415E">
            <w:pPr>
              <w:spacing w:after="120" w:line="360" w:lineRule="auto"/>
              <w:rPr>
                <w:rFonts w:ascii="Verdana" w:hAnsi="Verdana"/>
                <w:sz w:val="20"/>
                <w:szCs w:val="18"/>
              </w:rPr>
            </w:pPr>
            <w:r w:rsidRPr="00920145">
              <w:rPr>
                <w:rFonts w:ascii="Verdana" w:hAnsi="Verdana"/>
                <w:sz w:val="20"/>
                <w:szCs w:val="20"/>
              </w:rPr>
              <w:t>Losowy czas otwarcia</w:t>
            </w:r>
            <w:r w:rsidRPr="00920145">
              <w:rPr>
                <w:rFonts w:ascii="Verdana" w:hAnsi="Verdana"/>
                <w:sz w:val="20"/>
                <w:szCs w:val="20"/>
              </w:rPr>
              <w:br/>
              <w:t>dla fazy aukcji zamknięcia</w:t>
            </w:r>
          </w:p>
        </w:tc>
        <w:tc>
          <w:tcPr>
            <w:tcW w:w="4388" w:type="dxa"/>
            <w:tcBorders>
              <w:top w:val="single" w:sz="4" w:space="0" w:color="auto"/>
              <w:left w:val="single" w:sz="4" w:space="0" w:color="auto"/>
              <w:bottom w:val="single" w:sz="4" w:space="0" w:color="auto"/>
              <w:right w:val="single" w:sz="4" w:space="0" w:color="auto"/>
            </w:tcBorders>
          </w:tcPr>
          <w:p w14:paraId="29F0AD99" w14:textId="47843CA8" w:rsidR="0042415E" w:rsidRPr="00920145" w:rsidRDefault="003179AC" w:rsidP="0042415E">
            <w:pPr>
              <w:spacing w:after="120" w:line="360" w:lineRule="auto"/>
              <w:ind w:left="75"/>
              <w:rPr>
                <w:rFonts w:ascii="Verdana" w:hAnsi="Verdana"/>
                <w:sz w:val="20"/>
                <w:szCs w:val="18"/>
              </w:rPr>
            </w:pPr>
            <w:r w:rsidRPr="00920145">
              <w:rPr>
                <w:rFonts w:ascii="Verdana" w:hAnsi="Verdana"/>
                <w:sz w:val="20"/>
                <w:szCs w:val="20"/>
              </w:rPr>
              <w:t>(</w:t>
            </w:r>
            <w:r w:rsidR="0042415E" w:rsidRPr="00920145">
              <w:rPr>
                <w:rFonts w:ascii="Verdana" w:hAnsi="Verdana"/>
                <w:sz w:val="20"/>
                <w:szCs w:val="20"/>
              </w:rPr>
              <w:t>-</w:t>
            </w:r>
            <w:r w:rsidRPr="00920145">
              <w:rPr>
                <w:rFonts w:ascii="Verdana" w:hAnsi="Verdana"/>
                <w:sz w:val="20"/>
                <w:szCs w:val="20"/>
              </w:rPr>
              <w:t>)</w:t>
            </w:r>
            <w:r w:rsidR="0042415E" w:rsidRPr="00920145">
              <w:rPr>
                <w:rFonts w:ascii="Verdana" w:hAnsi="Verdana"/>
                <w:sz w:val="20"/>
                <w:szCs w:val="20"/>
              </w:rPr>
              <w:t xml:space="preserve"> 0-30 sekund</w:t>
            </w:r>
          </w:p>
        </w:tc>
      </w:tr>
      <w:tr w:rsidR="00FF0365" w:rsidRPr="00920145" w14:paraId="135A95C5" w14:textId="77777777" w:rsidTr="002F7B05">
        <w:tc>
          <w:tcPr>
            <w:tcW w:w="3402" w:type="dxa"/>
          </w:tcPr>
          <w:p w14:paraId="2A6CD482" w14:textId="77777777" w:rsidR="00FF0365" w:rsidRPr="00920145" w:rsidRDefault="00FF0365" w:rsidP="00A23201">
            <w:pPr>
              <w:spacing w:after="120" w:line="360" w:lineRule="auto"/>
              <w:rPr>
                <w:rFonts w:ascii="Verdana" w:hAnsi="Verdana"/>
                <w:sz w:val="20"/>
                <w:szCs w:val="18"/>
              </w:rPr>
            </w:pPr>
            <w:r w:rsidRPr="00920145">
              <w:rPr>
                <w:rFonts w:ascii="Verdana" w:hAnsi="Verdana"/>
                <w:sz w:val="20"/>
                <w:szCs w:val="18"/>
              </w:rPr>
              <w:t>Wysokość statycznych ograniczeń wahań kursów</w:t>
            </w:r>
          </w:p>
        </w:tc>
        <w:tc>
          <w:tcPr>
            <w:tcW w:w="4388" w:type="dxa"/>
          </w:tcPr>
          <w:p w14:paraId="2C2144D6" w14:textId="77777777" w:rsidR="00FF0365" w:rsidRPr="00920145" w:rsidRDefault="00FF0365" w:rsidP="00A23201">
            <w:pPr>
              <w:spacing w:after="120" w:line="360" w:lineRule="auto"/>
              <w:rPr>
                <w:rFonts w:ascii="Verdana" w:hAnsi="Verdana"/>
                <w:sz w:val="20"/>
                <w:szCs w:val="18"/>
              </w:rPr>
            </w:pPr>
            <w:r w:rsidRPr="00920145">
              <w:rPr>
                <w:rFonts w:ascii="Verdana" w:hAnsi="Verdana"/>
                <w:sz w:val="20"/>
                <w:szCs w:val="18"/>
              </w:rPr>
              <w:t xml:space="preserve">30% od kursu odniesienia </w:t>
            </w:r>
          </w:p>
        </w:tc>
      </w:tr>
      <w:tr w:rsidR="00FF0365" w:rsidRPr="00920145" w14:paraId="5760B6F2" w14:textId="77777777" w:rsidTr="002F7B05">
        <w:tc>
          <w:tcPr>
            <w:tcW w:w="3402" w:type="dxa"/>
          </w:tcPr>
          <w:p w14:paraId="153059BF" w14:textId="77777777" w:rsidR="00FF0365" w:rsidRPr="00920145" w:rsidRDefault="00FF0365" w:rsidP="00A23201">
            <w:pPr>
              <w:spacing w:after="120" w:line="360" w:lineRule="auto"/>
              <w:rPr>
                <w:rFonts w:ascii="Verdana" w:hAnsi="Verdana"/>
                <w:sz w:val="20"/>
                <w:szCs w:val="18"/>
              </w:rPr>
            </w:pPr>
            <w:r w:rsidRPr="00920145">
              <w:rPr>
                <w:rFonts w:ascii="Verdana" w:hAnsi="Verdana"/>
                <w:sz w:val="20"/>
                <w:szCs w:val="18"/>
              </w:rPr>
              <w:t xml:space="preserve">Wysokość dynamicznych ograniczeń wahań kursów </w:t>
            </w:r>
          </w:p>
        </w:tc>
        <w:tc>
          <w:tcPr>
            <w:tcW w:w="4388" w:type="dxa"/>
          </w:tcPr>
          <w:p w14:paraId="7AEFAA2F" w14:textId="77777777" w:rsidR="00FF0365" w:rsidRPr="00920145" w:rsidRDefault="00FF0365" w:rsidP="00A23201">
            <w:pPr>
              <w:spacing w:after="120" w:line="360" w:lineRule="auto"/>
              <w:rPr>
                <w:rFonts w:ascii="Verdana" w:hAnsi="Verdana"/>
                <w:sz w:val="20"/>
                <w:szCs w:val="18"/>
              </w:rPr>
            </w:pPr>
            <w:r w:rsidRPr="00920145">
              <w:rPr>
                <w:rFonts w:ascii="Verdana" w:hAnsi="Verdana"/>
                <w:sz w:val="20"/>
                <w:szCs w:val="18"/>
              </w:rPr>
              <w:t xml:space="preserve">10% od kursu odniesienia </w:t>
            </w:r>
          </w:p>
        </w:tc>
      </w:tr>
      <w:tr w:rsidR="00FF0365" w:rsidRPr="00920145" w14:paraId="331F6430" w14:textId="77777777" w:rsidTr="002F7B05">
        <w:tc>
          <w:tcPr>
            <w:tcW w:w="3402" w:type="dxa"/>
          </w:tcPr>
          <w:p w14:paraId="3B701E38" w14:textId="77777777" w:rsidR="00FF0365" w:rsidRPr="00920145" w:rsidRDefault="00FF0365" w:rsidP="00A23201">
            <w:pPr>
              <w:spacing w:after="120" w:line="360" w:lineRule="auto"/>
              <w:rPr>
                <w:rFonts w:ascii="Verdana" w:hAnsi="Verdana"/>
                <w:sz w:val="20"/>
                <w:szCs w:val="18"/>
              </w:rPr>
            </w:pPr>
            <w:r w:rsidRPr="00920145">
              <w:rPr>
                <w:rFonts w:ascii="Verdana" w:hAnsi="Verdana"/>
                <w:sz w:val="20"/>
                <w:szCs w:val="18"/>
              </w:rPr>
              <w:t xml:space="preserve">Maksymalne wartości dla limitów cen w zleceniu maklerskim    </w:t>
            </w:r>
          </w:p>
        </w:tc>
        <w:tc>
          <w:tcPr>
            <w:tcW w:w="4388" w:type="dxa"/>
          </w:tcPr>
          <w:p w14:paraId="6927B388" w14:textId="1D2EB671" w:rsidR="00FF0365" w:rsidRPr="00920145" w:rsidRDefault="00FF0365" w:rsidP="00A23201">
            <w:pPr>
              <w:spacing w:after="120" w:line="360" w:lineRule="auto"/>
              <w:rPr>
                <w:rFonts w:ascii="Verdana" w:hAnsi="Verdana"/>
                <w:sz w:val="20"/>
                <w:szCs w:val="18"/>
              </w:rPr>
            </w:pPr>
            <w:r w:rsidRPr="00920145">
              <w:rPr>
                <w:rFonts w:ascii="Verdana" w:hAnsi="Verdana"/>
                <w:sz w:val="20"/>
                <w:szCs w:val="18"/>
              </w:rPr>
              <w:t>-50% oraz +100% względem kursu odniesienia dla statycznych ograniczeń wahań kursu</w:t>
            </w:r>
          </w:p>
        </w:tc>
      </w:tr>
      <w:tr w:rsidR="00FF0365" w:rsidRPr="00920145" w14:paraId="2581AAB0" w14:textId="77777777" w:rsidTr="002F7B05">
        <w:tc>
          <w:tcPr>
            <w:tcW w:w="3402" w:type="dxa"/>
          </w:tcPr>
          <w:p w14:paraId="565361F9" w14:textId="77777777" w:rsidR="00FF0365" w:rsidRPr="00920145" w:rsidRDefault="00FF0365" w:rsidP="00A23201">
            <w:pPr>
              <w:spacing w:after="120" w:line="360" w:lineRule="auto"/>
              <w:rPr>
                <w:rFonts w:ascii="Verdana" w:hAnsi="Verdana"/>
                <w:sz w:val="20"/>
                <w:szCs w:val="18"/>
              </w:rPr>
            </w:pPr>
            <w:r w:rsidRPr="00920145">
              <w:rPr>
                <w:rFonts w:ascii="Verdana" w:hAnsi="Verdana"/>
                <w:sz w:val="20"/>
                <w:szCs w:val="18"/>
              </w:rPr>
              <w:t xml:space="preserve">Maksymalna wartość zlecenia maklerskiego     </w:t>
            </w:r>
          </w:p>
        </w:tc>
        <w:tc>
          <w:tcPr>
            <w:tcW w:w="4388" w:type="dxa"/>
          </w:tcPr>
          <w:p w14:paraId="57E273CF" w14:textId="797A98AA" w:rsidR="00FF0365" w:rsidRPr="00920145" w:rsidRDefault="00FF0365" w:rsidP="00A23201">
            <w:pPr>
              <w:spacing w:after="120" w:line="360" w:lineRule="auto"/>
              <w:rPr>
                <w:rFonts w:ascii="Verdana" w:hAnsi="Verdana"/>
                <w:sz w:val="20"/>
                <w:szCs w:val="18"/>
              </w:rPr>
            </w:pPr>
            <w:r w:rsidRPr="00920145">
              <w:rPr>
                <w:rFonts w:ascii="Verdana" w:hAnsi="Verdana"/>
                <w:sz w:val="20"/>
                <w:szCs w:val="18"/>
              </w:rPr>
              <w:t xml:space="preserve">50.000.000 jednostek waluty notowania  </w:t>
            </w:r>
          </w:p>
        </w:tc>
      </w:tr>
      <w:tr w:rsidR="00FF0365" w:rsidRPr="00920145" w14:paraId="7A26B670" w14:textId="77777777" w:rsidTr="002F7B05">
        <w:tc>
          <w:tcPr>
            <w:tcW w:w="3402" w:type="dxa"/>
            <w:tcBorders>
              <w:top w:val="single" w:sz="4" w:space="0" w:color="auto"/>
              <w:left w:val="single" w:sz="4" w:space="0" w:color="auto"/>
              <w:bottom w:val="single" w:sz="4" w:space="0" w:color="auto"/>
              <w:right w:val="single" w:sz="4" w:space="0" w:color="auto"/>
            </w:tcBorders>
          </w:tcPr>
          <w:p w14:paraId="7A7DD749" w14:textId="77777777" w:rsidR="00FF0365" w:rsidRPr="00920145" w:rsidRDefault="00FF0365" w:rsidP="00A23201">
            <w:pPr>
              <w:spacing w:after="120" w:line="360" w:lineRule="auto"/>
              <w:rPr>
                <w:rFonts w:ascii="Verdana" w:hAnsi="Verdana"/>
                <w:sz w:val="20"/>
                <w:szCs w:val="18"/>
              </w:rPr>
            </w:pPr>
            <w:r w:rsidRPr="00920145">
              <w:rPr>
                <w:rFonts w:ascii="Verdana" w:hAnsi="Verdana"/>
                <w:sz w:val="20"/>
                <w:szCs w:val="18"/>
              </w:rPr>
              <w:t xml:space="preserve">Maksymalny wolumen zlecenia maklerskiego     </w:t>
            </w:r>
          </w:p>
        </w:tc>
        <w:tc>
          <w:tcPr>
            <w:tcW w:w="4388" w:type="dxa"/>
            <w:tcBorders>
              <w:top w:val="single" w:sz="4" w:space="0" w:color="auto"/>
              <w:left w:val="single" w:sz="4" w:space="0" w:color="auto"/>
              <w:bottom w:val="single" w:sz="4" w:space="0" w:color="auto"/>
              <w:right w:val="single" w:sz="4" w:space="0" w:color="auto"/>
            </w:tcBorders>
          </w:tcPr>
          <w:p w14:paraId="48B8F1F2" w14:textId="77777777" w:rsidR="00FF0365" w:rsidRPr="00920145" w:rsidRDefault="00FF0365" w:rsidP="00A23201">
            <w:pPr>
              <w:spacing w:after="120" w:line="360" w:lineRule="auto"/>
              <w:jc w:val="both"/>
              <w:rPr>
                <w:rFonts w:ascii="Verdana" w:hAnsi="Verdana"/>
                <w:sz w:val="20"/>
                <w:szCs w:val="18"/>
              </w:rPr>
            </w:pPr>
            <w:r w:rsidRPr="00920145">
              <w:rPr>
                <w:rFonts w:ascii="Verdana" w:hAnsi="Verdana"/>
                <w:sz w:val="20"/>
                <w:szCs w:val="18"/>
              </w:rPr>
              <w:t>2% instrumentów finansowych wprowadzonych do obrotu giełdowego i oznaczonych tym samym kodem ISIN, a w przypadku gdy 2% tych instrumentów stanowi mniej niż 1.000.000 instrumentów – nie więcej  niż 1.000.000 instrumentów</w:t>
            </w:r>
          </w:p>
        </w:tc>
      </w:tr>
      <w:tr w:rsidR="00FF0365" w:rsidRPr="00920145" w14:paraId="39EEF8BE" w14:textId="77777777" w:rsidTr="002F7B05">
        <w:tc>
          <w:tcPr>
            <w:tcW w:w="3402" w:type="dxa"/>
            <w:tcBorders>
              <w:top w:val="single" w:sz="4" w:space="0" w:color="auto"/>
              <w:left w:val="single" w:sz="4" w:space="0" w:color="auto"/>
              <w:bottom w:val="single" w:sz="4" w:space="0" w:color="auto"/>
              <w:right w:val="single" w:sz="4" w:space="0" w:color="auto"/>
            </w:tcBorders>
          </w:tcPr>
          <w:p w14:paraId="3A31EB9C" w14:textId="77777777" w:rsidR="00FF0365" w:rsidRPr="00920145" w:rsidRDefault="00FF0365" w:rsidP="00A23201">
            <w:pPr>
              <w:spacing w:after="120" w:line="360" w:lineRule="auto"/>
              <w:rPr>
                <w:rFonts w:ascii="Verdana" w:hAnsi="Verdana"/>
                <w:sz w:val="20"/>
                <w:szCs w:val="18"/>
              </w:rPr>
            </w:pPr>
            <w:r w:rsidRPr="00920145">
              <w:rPr>
                <w:rFonts w:ascii="Verdana" w:hAnsi="Verdana"/>
                <w:sz w:val="20"/>
                <w:szCs w:val="18"/>
              </w:rPr>
              <w:lastRenderedPageBreak/>
              <w:t>Równoważenie podstawowe dla statycznych ograniczeń wahań kursów</w:t>
            </w:r>
          </w:p>
        </w:tc>
        <w:tc>
          <w:tcPr>
            <w:tcW w:w="4388" w:type="dxa"/>
            <w:tcBorders>
              <w:top w:val="single" w:sz="4" w:space="0" w:color="auto"/>
              <w:left w:val="single" w:sz="4" w:space="0" w:color="auto"/>
              <w:bottom w:val="single" w:sz="4" w:space="0" w:color="auto"/>
              <w:right w:val="single" w:sz="4" w:space="0" w:color="auto"/>
            </w:tcBorders>
          </w:tcPr>
          <w:p w14:paraId="2828A281" w14:textId="77777777" w:rsidR="00FF0365" w:rsidRPr="00920145" w:rsidRDefault="00FF0365" w:rsidP="00A23201">
            <w:pPr>
              <w:spacing w:after="120" w:line="360" w:lineRule="auto"/>
              <w:rPr>
                <w:rFonts w:ascii="Verdana" w:hAnsi="Verdana"/>
                <w:sz w:val="20"/>
                <w:szCs w:val="18"/>
              </w:rPr>
            </w:pPr>
            <w:r w:rsidRPr="00920145">
              <w:rPr>
                <w:rFonts w:ascii="Verdana" w:hAnsi="Verdana"/>
                <w:sz w:val="20"/>
                <w:szCs w:val="18"/>
              </w:rPr>
              <w:t>Tak</w:t>
            </w:r>
          </w:p>
        </w:tc>
      </w:tr>
      <w:tr w:rsidR="00FF0365" w:rsidRPr="00920145" w14:paraId="14824BEE" w14:textId="77777777" w:rsidTr="002F7B05">
        <w:tc>
          <w:tcPr>
            <w:tcW w:w="3402" w:type="dxa"/>
            <w:tcBorders>
              <w:top w:val="single" w:sz="4" w:space="0" w:color="auto"/>
              <w:left w:val="single" w:sz="4" w:space="0" w:color="auto"/>
              <w:bottom w:val="single" w:sz="4" w:space="0" w:color="auto"/>
              <w:right w:val="single" w:sz="4" w:space="0" w:color="auto"/>
            </w:tcBorders>
          </w:tcPr>
          <w:p w14:paraId="1FC96E9C" w14:textId="77777777" w:rsidR="00FF0365" w:rsidRPr="00920145" w:rsidRDefault="00FF0365" w:rsidP="00A23201">
            <w:pPr>
              <w:spacing w:after="120" w:line="360" w:lineRule="auto"/>
              <w:rPr>
                <w:rFonts w:ascii="Verdana" w:hAnsi="Verdana"/>
                <w:sz w:val="20"/>
                <w:szCs w:val="18"/>
              </w:rPr>
            </w:pPr>
            <w:r w:rsidRPr="00920145">
              <w:rPr>
                <w:rFonts w:ascii="Verdana" w:hAnsi="Verdana"/>
                <w:sz w:val="20"/>
                <w:szCs w:val="18"/>
              </w:rPr>
              <w:t>Czas trwania równoważenia podstawowego dla statycznych ograniczeń wahań kursów</w:t>
            </w:r>
          </w:p>
        </w:tc>
        <w:tc>
          <w:tcPr>
            <w:tcW w:w="4388" w:type="dxa"/>
            <w:tcBorders>
              <w:top w:val="single" w:sz="4" w:space="0" w:color="auto"/>
              <w:left w:val="single" w:sz="4" w:space="0" w:color="auto"/>
              <w:bottom w:val="single" w:sz="4" w:space="0" w:color="auto"/>
              <w:right w:val="single" w:sz="4" w:space="0" w:color="auto"/>
            </w:tcBorders>
          </w:tcPr>
          <w:p w14:paraId="0DA52B7E" w14:textId="77777777" w:rsidR="00FF0365" w:rsidRPr="00920145" w:rsidRDefault="00FF0365" w:rsidP="00A23201">
            <w:pPr>
              <w:spacing w:after="120" w:line="360" w:lineRule="auto"/>
              <w:rPr>
                <w:rFonts w:ascii="Verdana" w:hAnsi="Verdana"/>
                <w:sz w:val="20"/>
                <w:szCs w:val="18"/>
              </w:rPr>
            </w:pPr>
            <w:r w:rsidRPr="00920145">
              <w:rPr>
                <w:rFonts w:ascii="Verdana" w:hAnsi="Verdana"/>
                <w:sz w:val="20"/>
                <w:szCs w:val="18"/>
              </w:rPr>
              <w:t>300 sekund</w:t>
            </w:r>
          </w:p>
        </w:tc>
      </w:tr>
      <w:tr w:rsidR="00FF0365" w:rsidRPr="00920145" w14:paraId="187D40ED" w14:textId="77777777" w:rsidTr="002F7B05">
        <w:tc>
          <w:tcPr>
            <w:tcW w:w="3402" w:type="dxa"/>
            <w:tcBorders>
              <w:top w:val="single" w:sz="4" w:space="0" w:color="auto"/>
              <w:left w:val="single" w:sz="4" w:space="0" w:color="auto"/>
              <w:bottom w:val="single" w:sz="4" w:space="0" w:color="auto"/>
              <w:right w:val="single" w:sz="4" w:space="0" w:color="auto"/>
            </w:tcBorders>
          </w:tcPr>
          <w:p w14:paraId="65A7A40E" w14:textId="77777777" w:rsidR="00FF0365" w:rsidRPr="00920145" w:rsidRDefault="00FF0365" w:rsidP="00A23201">
            <w:pPr>
              <w:spacing w:after="120" w:line="360" w:lineRule="auto"/>
              <w:rPr>
                <w:rFonts w:ascii="Verdana" w:hAnsi="Verdana"/>
                <w:sz w:val="20"/>
                <w:szCs w:val="18"/>
              </w:rPr>
            </w:pPr>
            <w:r w:rsidRPr="00920145">
              <w:rPr>
                <w:rFonts w:ascii="Verdana" w:hAnsi="Verdana"/>
                <w:sz w:val="20"/>
                <w:szCs w:val="18"/>
              </w:rPr>
              <w:t>Współczynnik przesunięcia kursu odniesienia dla równoważenia w fazie aukcji otwarcia</w:t>
            </w:r>
          </w:p>
        </w:tc>
        <w:tc>
          <w:tcPr>
            <w:tcW w:w="4388" w:type="dxa"/>
            <w:tcBorders>
              <w:top w:val="single" w:sz="4" w:space="0" w:color="auto"/>
              <w:left w:val="single" w:sz="4" w:space="0" w:color="auto"/>
              <w:bottom w:val="single" w:sz="4" w:space="0" w:color="auto"/>
              <w:right w:val="single" w:sz="4" w:space="0" w:color="auto"/>
            </w:tcBorders>
          </w:tcPr>
          <w:p w14:paraId="6B4D8892" w14:textId="77777777" w:rsidR="00FF0365" w:rsidRPr="00920145" w:rsidRDefault="00FF0365" w:rsidP="00A23201">
            <w:pPr>
              <w:spacing w:after="120" w:line="360" w:lineRule="auto"/>
              <w:rPr>
                <w:rFonts w:ascii="Verdana" w:hAnsi="Verdana"/>
                <w:sz w:val="20"/>
                <w:szCs w:val="18"/>
              </w:rPr>
            </w:pPr>
            <w:r w:rsidRPr="00920145">
              <w:rPr>
                <w:rFonts w:ascii="Verdana" w:hAnsi="Verdana"/>
                <w:sz w:val="20"/>
                <w:szCs w:val="18"/>
              </w:rPr>
              <w:t>1</w:t>
            </w:r>
          </w:p>
        </w:tc>
      </w:tr>
      <w:tr w:rsidR="00FF0365" w:rsidRPr="00920145" w14:paraId="09DB534F" w14:textId="77777777" w:rsidTr="002F7B05">
        <w:tc>
          <w:tcPr>
            <w:tcW w:w="3402" w:type="dxa"/>
            <w:tcBorders>
              <w:top w:val="single" w:sz="4" w:space="0" w:color="auto"/>
              <w:left w:val="single" w:sz="4" w:space="0" w:color="auto"/>
              <w:bottom w:val="single" w:sz="4" w:space="0" w:color="auto"/>
              <w:right w:val="single" w:sz="4" w:space="0" w:color="auto"/>
            </w:tcBorders>
          </w:tcPr>
          <w:p w14:paraId="18308F8E" w14:textId="77777777" w:rsidR="00FF0365" w:rsidRPr="00920145" w:rsidRDefault="00FF0365" w:rsidP="00A23201">
            <w:pPr>
              <w:spacing w:after="120" w:line="360" w:lineRule="auto"/>
              <w:rPr>
                <w:rFonts w:ascii="Verdana" w:hAnsi="Verdana"/>
                <w:sz w:val="20"/>
                <w:szCs w:val="18"/>
              </w:rPr>
            </w:pPr>
            <w:r w:rsidRPr="00920145">
              <w:rPr>
                <w:rFonts w:ascii="Verdana" w:hAnsi="Verdana"/>
                <w:sz w:val="20"/>
                <w:szCs w:val="18"/>
              </w:rPr>
              <w:t>Współczynnik przesunięcia kursu odniesienia dla równoważenia w fazach innych niż faza aukcji otwarcia</w:t>
            </w:r>
          </w:p>
        </w:tc>
        <w:tc>
          <w:tcPr>
            <w:tcW w:w="4388" w:type="dxa"/>
            <w:tcBorders>
              <w:top w:val="single" w:sz="4" w:space="0" w:color="auto"/>
              <w:left w:val="single" w:sz="4" w:space="0" w:color="auto"/>
              <w:bottom w:val="single" w:sz="4" w:space="0" w:color="auto"/>
              <w:right w:val="single" w:sz="4" w:space="0" w:color="auto"/>
            </w:tcBorders>
          </w:tcPr>
          <w:p w14:paraId="19FFEAB1" w14:textId="77777777" w:rsidR="00FF0365" w:rsidRPr="00920145" w:rsidRDefault="00FF0365" w:rsidP="00A23201">
            <w:pPr>
              <w:spacing w:after="120" w:line="360" w:lineRule="auto"/>
              <w:rPr>
                <w:rFonts w:ascii="Verdana" w:hAnsi="Verdana"/>
                <w:sz w:val="20"/>
                <w:szCs w:val="18"/>
              </w:rPr>
            </w:pPr>
            <w:r w:rsidRPr="00920145">
              <w:rPr>
                <w:rFonts w:ascii="Verdana" w:hAnsi="Verdana"/>
                <w:sz w:val="20"/>
                <w:szCs w:val="18"/>
              </w:rPr>
              <w:t>0,5</w:t>
            </w:r>
          </w:p>
        </w:tc>
      </w:tr>
      <w:tr w:rsidR="00FF0365" w:rsidRPr="00920145" w14:paraId="72C83E27" w14:textId="77777777" w:rsidTr="002F7B05">
        <w:tc>
          <w:tcPr>
            <w:tcW w:w="3402" w:type="dxa"/>
            <w:tcBorders>
              <w:top w:val="single" w:sz="4" w:space="0" w:color="auto"/>
              <w:left w:val="single" w:sz="4" w:space="0" w:color="auto"/>
              <w:bottom w:val="single" w:sz="4" w:space="0" w:color="auto"/>
              <w:right w:val="single" w:sz="4" w:space="0" w:color="auto"/>
            </w:tcBorders>
          </w:tcPr>
          <w:p w14:paraId="3E17AA5B" w14:textId="77777777" w:rsidR="00FF0365" w:rsidRPr="00920145" w:rsidRDefault="00FF0365" w:rsidP="00A23201">
            <w:pPr>
              <w:spacing w:after="120" w:line="360" w:lineRule="auto"/>
              <w:rPr>
                <w:rFonts w:ascii="Verdana" w:hAnsi="Verdana"/>
                <w:sz w:val="20"/>
                <w:szCs w:val="18"/>
              </w:rPr>
            </w:pPr>
            <w:r w:rsidRPr="00920145">
              <w:rPr>
                <w:rFonts w:ascii="Verdana" w:hAnsi="Verdana"/>
                <w:sz w:val="20"/>
                <w:szCs w:val="18"/>
              </w:rPr>
              <w:t>Współczynnik maksymalnej liczby zmian netto statycznych ograniczeń wahań kursów</w:t>
            </w:r>
          </w:p>
        </w:tc>
        <w:tc>
          <w:tcPr>
            <w:tcW w:w="4388" w:type="dxa"/>
            <w:tcBorders>
              <w:top w:val="single" w:sz="4" w:space="0" w:color="auto"/>
              <w:left w:val="single" w:sz="4" w:space="0" w:color="auto"/>
              <w:bottom w:val="single" w:sz="4" w:space="0" w:color="auto"/>
              <w:right w:val="single" w:sz="4" w:space="0" w:color="auto"/>
            </w:tcBorders>
          </w:tcPr>
          <w:p w14:paraId="2CEF48CA" w14:textId="77777777" w:rsidR="00FF0365" w:rsidRPr="00920145" w:rsidRDefault="00FF0365" w:rsidP="00A23201">
            <w:pPr>
              <w:spacing w:after="120" w:line="360" w:lineRule="auto"/>
              <w:rPr>
                <w:rFonts w:ascii="Verdana" w:hAnsi="Verdana"/>
                <w:sz w:val="20"/>
                <w:szCs w:val="18"/>
              </w:rPr>
            </w:pPr>
            <w:r w:rsidRPr="00920145">
              <w:rPr>
                <w:rFonts w:ascii="Verdana" w:hAnsi="Verdana"/>
                <w:sz w:val="20"/>
                <w:szCs w:val="18"/>
              </w:rPr>
              <w:t>2</w:t>
            </w:r>
          </w:p>
        </w:tc>
      </w:tr>
      <w:tr w:rsidR="00FF0365" w:rsidRPr="00920145" w14:paraId="5CA71F0C" w14:textId="77777777" w:rsidTr="002F7B05">
        <w:tc>
          <w:tcPr>
            <w:tcW w:w="3402" w:type="dxa"/>
            <w:tcBorders>
              <w:top w:val="single" w:sz="4" w:space="0" w:color="auto"/>
              <w:left w:val="single" w:sz="4" w:space="0" w:color="auto"/>
              <w:bottom w:val="single" w:sz="4" w:space="0" w:color="auto"/>
              <w:right w:val="single" w:sz="4" w:space="0" w:color="auto"/>
            </w:tcBorders>
          </w:tcPr>
          <w:p w14:paraId="07055708" w14:textId="77777777" w:rsidR="00FF0365" w:rsidRPr="00920145" w:rsidRDefault="00FF0365" w:rsidP="00A23201">
            <w:pPr>
              <w:spacing w:after="120" w:line="360" w:lineRule="auto"/>
              <w:rPr>
                <w:rFonts w:ascii="Verdana" w:hAnsi="Verdana"/>
                <w:sz w:val="20"/>
                <w:szCs w:val="18"/>
              </w:rPr>
            </w:pPr>
            <w:r w:rsidRPr="00920145">
              <w:rPr>
                <w:rFonts w:ascii="Verdana" w:hAnsi="Verdana"/>
                <w:sz w:val="20"/>
                <w:szCs w:val="18"/>
              </w:rPr>
              <w:t>Czas trwania równoważenia podstawowego dla dynamicznych ograniczeń wahań kursów</w:t>
            </w:r>
          </w:p>
        </w:tc>
        <w:tc>
          <w:tcPr>
            <w:tcW w:w="4388" w:type="dxa"/>
            <w:tcBorders>
              <w:top w:val="single" w:sz="4" w:space="0" w:color="auto"/>
              <w:left w:val="single" w:sz="4" w:space="0" w:color="auto"/>
              <w:bottom w:val="single" w:sz="4" w:space="0" w:color="auto"/>
              <w:right w:val="single" w:sz="4" w:space="0" w:color="auto"/>
            </w:tcBorders>
          </w:tcPr>
          <w:p w14:paraId="72E880EE" w14:textId="77777777" w:rsidR="00FF0365" w:rsidRPr="00920145" w:rsidRDefault="00FF0365" w:rsidP="00A23201">
            <w:pPr>
              <w:spacing w:after="120" w:line="360" w:lineRule="auto"/>
              <w:rPr>
                <w:rFonts w:ascii="Verdana" w:hAnsi="Verdana"/>
                <w:sz w:val="20"/>
                <w:szCs w:val="18"/>
              </w:rPr>
            </w:pPr>
            <w:r w:rsidRPr="00920145">
              <w:rPr>
                <w:rFonts w:ascii="Verdana" w:hAnsi="Verdana"/>
                <w:sz w:val="20"/>
                <w:szCs w:val="18"/>
              </w:rPr>
              <w:t>60 sekund</w:t>
            </w:r>
          </w:p>
        </w:tc>
      </w:tr>
      <w:tr w:rsidR="00FF0365" w:rsidRPr="00920145" w14:paraId="61AF517D" w14:textId="77777777" w:rsidTr="002F7B05">
        <w:tc>
          <w:tcPr>
            <w:tcW w:w="3402" w:type="dxa"/>
            <w:tcBorders>
              <w:top w:val="single" w:sz="4" w:space="0" w:color="auto"/>
              <w:left w:val="single" w:sz="4" w:space="0" w:color="auto"/>
              <w:bottom w:val="single" w:sz="4" w:space="0" w:color="auto"/>
              <w:right w:val="single" w:sz="4" w:space="0" w:color="auto"/>
            </w:tcBorders>
          </w:tcPr>
          <w:p w14:paraId="125F017A" w14:textId="77777777" w:rsidR="00FF0365" w:rsidRPr="00920145" w:rsidRDefault="00FF0365" w:rsidP="00A23201">
            <w:pPr>
              <w:spacing w:after="120" w:line="360" w:lineRule="auto"/>
              <w:rPr>
                <w:rFonts w:ascii="Verdana" w:hAnsi="Verdana"/>
                <w:sz w:val="20"/>
                <w:szCs w:val="18"/>
              </w:rPr>
            </w:pPr>
            <w:r w:rsidRPr="00920145">
              <w:rPr>
                <w:rFonts w:ascii="Verdana" w:hAnsi="Verdana"/>
                <w:sz w:val="20"/>
                <w:szCs w:val="18"/>
              </w:rPr>
              <w:t>Współczynnik rozszerzenia dla równoważenia w fazie aukcji otwarcia</w:t>
            </w:r>
          </w:p>
        </w:tc>
        <w:tc>
          <w:tcPr>
            <w:tcW w:w="4388" w:type="dxa"/>
            <w:tcBorders>
              <w:top w:val="single" w:sz="4" w:space="0" w:color="auto"/>
              <w:left w:val="single" w:sz="4" w:space="0" w:color="auto"/>
              <w:bottom w:val="single" w:sz="4" w:space="0" w:color="auto"/>
              <w:right w:val="single" w:sz="4" w:space="0" w:color="auto"/>
            </w:tcBorders>
          </w:tcPr>
          <w:p w14:paraId="61C8714C" w14:textId="77777777" w:rsidR="00FF0365" w:rsidRPr="00920145" w:rsidRDefault="00FF0365" w:rsidP="00A23201">
            <w:pPr>
              <w:spacing w:after="120" w:line="360" w:lineRule="auto"/>
              <w:rPr>
                <w:rFonts w:ascii="Verdana" w:hAnsi="Verdana"/>
                <w:sz w:val="20"/>
                <w:szCs w:val="18"/>
              </w:rPr>
            </w:pPr>
            <w:r w:rsidRPr="00920145">
              <w:rPr>
                <w:rFonts w:ascii="Verdana" w:hAnsi="Verdana"/>
                <w:sz w:val="20"/>
                <w:szCs w:val="18"/>
              </w:rPr>
              <w:t>3,0</w:t>
            </w:r>
          </w:p>
        </w:tc>
      </w:tr>
      <w:tr w:rsidR="00FF0365" w:rsidRPr="00920145" w14:paraId="2791FAE8" w14:textId="77777777" w:rsidTr="002F7B05">
        <w:tc>
          <w:tcPr>
            <w:tcW w:w="3402" w:type="dxa"/>
            <w:tcBorders>
              <w:top w:val="single" w:sz="4" w:space="0" w:color="auto"/>
              <w:left w:val="single" w:sz="4" w:space="0" w:color="auto"/>
              <w:bottom w:val="single" w:sz="4" w:space="0" w:color="auto"/>
              <w:right w:val="single" w:sz="4" w:space="0" w:color="auto"/>
            </w:tcBorders>
          </w:tcPr>
          <w:p w14:paraId="1DD6234C" w14:textId="77777777" w:rsidR="00FF0365" w:rsidRPr="00920145" w:rsidRDefault="00FF0365" w:rsidP="00A23201">
            <w:pPr>
              <w:spacing w:after="120" w:line="360" w:lineRule="auto"/>
              <w:rPr>
                <w:rFonts w:ascii="Verdana" w:hAnsi="Verdana"/>
                <w:sz w:val="20"/>
                <w:szCs w:val="18"/>
              </w:rPr>
            </w:pPr>
            <w:r w:rsidRPr="00920145">
              <w:rPr>
                <w:rFonts w:ascii="Verdana" w:hAnsi="Verdana"/>
                <w:sz w:val="20"/>
                <w:szCs w:val="18"/>
              </w:rPr>
              <w:t>Współczynnik rozszerzenia dla równoważenia w fazach innych niż faza aukcji otwarcia</w:t>
            </w:r>
          </w:p>
        </w:tc>
        <w:tc>
          <w:tcPr>
            <w:tcW w:w="4388" w:type="dxa"/>
            <w:tcBorders>
              <w:top w:val="single" w:sz="4" w:space="0" w:color="auto"/>
              <w:left w:val="single" w:sz="4" w:space="0" w:color="auto"/>
              <w:bottom w:val="single" w:sz="4" w:space="0" w:color="auto"/>
              <w:right w:val="single" w:sz="4" w:space="0" w:color="auto"/>
            </w:tcBorders>
          </w:tcPr>
          <w:p w14:paraId="3B14C9E4" w14:textId="77777777" w:rsidR="00FF0365" w:rsidRPr="00920145" w:rsidRDefault="00FF0365" w:rsidP="00A23201">
            <w:pPr>
              <w:spacing w:after="120" w:line="360" w:lineRule="auto"/>
              <w:rPr>
                <w:rFonts w:ascii="Verdana" w:hAnsi="Verdana"/>
                <w:sz w:val="20"/>
                <w:szCs w:val="18"/>
              </w:rPr>
            </w:pPr>
            <w:r w:rsidRPr="00920145">
              <w:rPr>
                <w:rFonts w:ascii="Verdana" w:hAnsi="Verdana"/>
                <w:sz w:val="20"/>
                <w:szCs w:val="18"/>
              </w:rPr>
              <w:t>2,0</w:t>
            </w:r>
          </w:p>
        </w:tc>
      </w:tr>
      <w:tr w:rsidR="00FF0365" w:rsidRPr="00920145" w14:paraId="25CC4BFF" w14:textId="77777777" w:rsidTr="002F7B05">
        <w:tc>
          <w:tcPr>
            <w:tcW w:w="3402" w:type="dxa"/>
            <w:tcBorders>
              <w:top w:val="single" w:sz="4" w:space="0" w:color="auto"/>
              <w:left w:val="single" w:sz="4" w:space="0" w:color="auto"/>
              <w:bottom w:val="single" w:sz="4" w:space="0" w:color="auto"/>
              <w:right w:val="single" w:sz="4" w:space="0" w:color="auto"/>
            </w:tcBorders>
          </w:tcPr>
          <w:p w14:paraId="26537046" w14:textId="77777777" w:rsidR="00FF0365" w:rsidRPr="00920145" w:rsidRDefault="00FF0365" w:rsidP="00A23201">
            <w:pPr>
              <w:spacing w:after="120" w:line="360" w:lineRule="auto"/>
              <w:rPr>
                <w:rFonts w:ascii="Verdana" w:hAnsi="Verdana"/>
                <w:sz w:val="20"/>
                <w:szCs w:val="18"/>
              </w:rPr>
            </w:pPr>
            <w:r w:rsidRPr="00920145">
              <w:rPr>
                <w:rFonts w:ascii="Verdana" w:hAnsi="Verdana"/>
                <w:sz w:val="20"/>
                <w:szCs w:val="18"/>
              </w:rPr>
              <w:t>Współczynnik maksymalnej liczby zmian netto dynamicznych ograniczeń wahań kursów</w:t>
            </w:r>
          </w:p>
        </w:tc>
        <w:tc>
          <w:tcPr>
            <w:tcW w:w="4388" w:type="dxa"/>
            <w:tcBorders>
              <w:top w:val="single" w:sz="4" w:space="0" w:color="auto"/>
              <w:left w:val="single" w:sz="4" w:space="0" w:color="auto"/>
              <w:bottom w:val="single" w:sz="4" w:space="0" w:color="auto"/>
              <w:right w:val="single" w:sz="4" w:space="0" w:color="auto"/>
            </w:tcBorders>
          </w:tcPr>
          <w:p w14:paraId="6A06E6AC" w14:textId="77777777" w:rsidR="00FF0365" w:rsidRPr="00920145" w:rsidRDefault="00FF0365" w:rsidP="00A23201">
            <w:pPr>
              <w:spacing w:after="120" w:line="360" w:lineRule="auto"/>
              <w:rPr>
                <w:rFonts w:ascii="Verdana" w:hAnsi="Verdana"/>
                <w:sz w:val="20"/>
                <w:szCs w:val="18"/>
              </w:rPr>
            </w:pPr>
            <w:r w:rsidRPr="00920145">
              <w:rPr>
                <w:rFonts w:ascii="Verdana" w:hAnsi="Verdana"/>
                <w:sz w:val="20"/>
                <w:szCs w:val="18"/>
              </w:rPr>
              <w:t>20</w:t>
            </w:r>
          </w:p>
        </w:tc>
      </w:tr>
    </w:tbl>
    <w:p w14:paraId="298C449D" w14:textId="7F2C3154" w:rsidR="00FF0365" w:rsidRPr="00920145" w:rsidRDefault="00FF0365" w:rsidP="00A23201">
      <w:pPr>
        <w:spacing w:after="120" w:line="360" w:lineRule="auto"/>
        <w:ind w:left="360"/>
        <w:rPr>
          <w:szCs w:val="20"/>
        </w:rPr>
      </w:pPr>
    </w:p>
    <w:p w14:paraId="5D6D558E" w14:textId="77777777" w:rsidR="003179AC" w:rsidRPr="00920145" w:rsidRDefault="003179AC" w:rsidP="00A23201">
      <w:pPr>
        <w:spacing w:after="120" w:line="360" w:lineRule="auto"/>
        <w:ind w:left="360"/>
        <w:rPr>
          <w:szCs w:val="20"/>
        </w:rPr>
      </w:pPr>
    </w:p>
    <w:p w14:paraId="7B09A5F5" w14:textId="75B66D1D" w:rsidR="00FF0365" w:rsidRPr="00920145" w:rsidRDefault="00FF0365" w:rsidP="00A23201">
      <w:pPr>
        <w:spacing w:after="120" w:line="360" w:lineRule="auto"/>
        <w:ind w:left="709"/>
        <w:jc w:val="both"/>
        <w:rPr>
          <w:rFonts w:ascii="Verdana" w:hAnsi="Verdana"/>
          <w:sz w:val="20"/>
          <w:szCs w:val="18"/>
        </w:rPr>
      </w:pPr>
      <w:r w:rsidRPr="00920145">
        <w:rPr>
          <w:rFonts w:ascii="Verdana" w:hAnsi="Verdana"/>
          <w:sz w:val="20"/>
          <w:szCs w:val="18"/>
        </w:rPr>
        <w:lastRenderedPageBreak/>
        <w:t xml:space="preserve">5) akcje, do obrotu którymi stosuje się ograniczenia wynikające z przepisów amerykańskiego prawa papierów wartościowych: </w:t>
      </w:r>
    </w:p>
    <w:p w14:paraId="555F5D49" w14:textId="02BA576C" w:rsidR="00FF0365" w:rsidRPr="00920145" w:rsidRDefault="00FF0365" w:rsidP="00A23201">
      <w:pPr>
        <w:spacing w:after="120" w:line="360" w:lineRule="auto"/>
        <w:ind w:left="709"/>
        <w:jc w:val="both"/>
        <w:rPr>
          <w:rFonts w:ascii="Verdana" w:hAnsi="Verdana"/>
          <w:sz w:val="20"/>
          <w:szCs w:val="18"/>
        </w:rPr>
      </w:pPr>
      <w:r w:rsidRPr="00920145">
        <w:rPr>
          <w:rFonts w:ascii="Verdana" w:hAnsi="Verdana"/>
          <w:sz w:val="20"/>
          <w:szCs w:val="18"/>
        </w:rPr>
        <w:t xml:space="preserve">a) w dniu debiutu emitenta tych akcji na giełdzie: </w:t>
      </w:r>
    </w:p>
    <w:tbl>
      <w:tblPr>
        <w:tblW w:w="779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4394"/>
      </w:tblGrid>
      <w:tr w:rsidR="00FF0365" w:rsidRPr="00920145" w14:paraId="2E399959" w14:textId="77777777" w:rsidTr="002F7B05">
        <w:tc>
          <w:tcPr>
            <w:tcW w:w="3402" w:type="dxa"/>
            <w:tcBorders>
              <w:top w:val="single" w:sz="4" w:space="0" w:color="auto"/>
              <w:left w:val="single" w:sz="4" w:space="0" w:color="auto"/>
              <w:bottom w:val="single" w:sz="4" w:space="0" w:color="auto"/>
              <w:right w:val="single" w:sz="4" w:space="0" w:color="auto"/>
            </w:tcBorders>
          </w:tcPr>
          <w:p w14:paraId="05290CCB" w14:textId="77777777" w:rsidR="00FF0365" w:rsidRPr="00920145" w:rsidRDefault="00FF0365" w:rsidP="00A23201">
            <w:pPr>
              <w:spacing w:after="120" w:line="360" w:lineRule="auto"/>
              <w:rPr>
                <w:rFonts w:ascii="Verdana" w:hAnsi="Verdana"/>
                <w:sz w:val="20"/>
                <w:szCs w:val="18"/>
              </w:rPr>
            </w:pPr>
            <w:r w:rsidRPr="00920145">
              <w:rPr>
                <w:rFonts w:ascii="Verdana" w:hAnsi="Verdana"/>
                <w:sz w:val="20"/>
                <w:szCs w:val="18"/>
              </w:rPr>
              <w:t>Jednostka transakcyjna</w:t>
            </w:r>
          </w:p>
        </w:tc>
        <w:tc>
          <w:tcPr>
            <w:tcW w:w="4394" w:type="dxa"/>
            <w:tcBorders>
              <w:top w:val="single" w:sz="4" w:space="0" w:color="auto"/>
              <w:left w:val="single" w:sz="4" w:space="0" w:color="auto"/>
              <w:bottom w:val="single" w:sz="4" w:space="0" w:color="auto"/>
              <w:right w:val="single" w:sz="4" w:space="0" w:color="auto"/>
            </w:tcBorders>
          </w:tcPr>
          <w:p w14:paraId="12DC7322" w14:textId="77777777" w:rsidR="00FF0365" w:rsidRPr="00920145" w:rsidRDefault="00FF0365" w:rsidP="00A23201">
            <w:pPr>
              <w:spacing w:after="120" w:line="360" w:lineRule="auto"/>
              <w:rPr>
                <w:rFonts w:ascii="Verdana" w:hAnsi="Verdana"/>
                <w:sz w:val="20"/>
                <w:szCs w:val="20"/>
              </w:rPr>
            </w:pPr>
            <w:r w:rsidRPr="00920145">
              <w:rPr>
                <w:rFonts w:ascii="Verdana" w:hAnsi="Verdana"/>
                <w:sz w:val="20"/>
                <w:szCs w:val="20"/>
              </w:rPr>
              <w:t>jeden instrument, chyba że Zarząd Giełdy określi inną jednostkę transakcyjną</w:t>
            </w:r>
          </w:p>
        </w:tc>
      </w:tr>
      <w:tr w:rsidR="0042415E" w:rsidRPr="00920145" w14:paraId="541A1C68" w14:textId="77777777" w:rsidTr="002F7B05">
        <w:tc>
          <w:tcPr>
            <w:tcW w:w="3402" w:type="dxa"/>
            <w:tcBorders>
              <w:top w:val="single" w:sz="4" w:space="0" w:color="auto"/>
              <w:left w:val="single" w:sz="4" w:space="0" w:color="auto"/>
              <w:bottom w:val="single" w:sz="4" w:space="0" w:color="auto"/>
              <w:right w:val="single" w:sz="4" w:space="0" w:color="auto"/>
            </w:tcBorders>
          </w:tcPr>
          <w:p w14:paraId="128F0948" w14:textId="76A5D1BB" w:rsidR="0042415E" w:rsidRPr="00920145" w:rsidDel="0042415E" w:rsidRDefault="0042415E" w:rsidP="0042415E">
            <w:pPr>
              <w:spacing w:after="120" w:line="360" w:lineRule="auto"/>
              <w:rPr>
                <w:rFonts w:ascii="Verdana" w:hAnsi="Verdana"/>
                <w:sz w:val="20"/>
                <w:szCs w:val="18"/>
              </w:rPr>
            </w:pPr>
            <w:r w:rsidRPr="00920145">
              <w:rPr>
                <w:rFonts w:ascii="Verdana" w:hAnsi="Verdana"/>
                <w:sz w:val="20"/>
                <w:szCs w:val="20"/>
              </w:rPr>
              <w:t>Losowy czas otwarcia</w:t>
            </w:r>
            <w:r w:rsidRPr="00920145">
              <w:rPr>
                <w:rFonts w:ascii="Verdana" w:hAnsi="Verdana"/>
                <w:sz w:val="20"/>
                <w:szCs w:val="20"/>
              </w:rPr>
              <w:br/>
              <w:t>dla fazy aukcji otwarcia</w:t>
            </w:r>
          </w:p>
        </w:tc>
        <w:tc>
          <w:tcPr>
            <w:tcW w:w="4394" w:type="dxa"/>
            <w:tcBorders>
              <w:top w:val="single" w:sz="4" w:space="0" w:color="auto"/>
              <w:left w:val="single" w:sz="4" w:space="0" w:color="auto"/>
              <w:bottom w:val="single" w:sz="4" w:space="0" w:color="auto"/>
              <w:right w:val="single" w:sz="4" w:space="0" w:color="auto"/>
            </w:tcBorders>
          </w:tcPr>
          <w:p w14:paraId="1463CF73" w14:textId="64AE0A90" w:rsidR="0042415E" w:rsidRPr="00920145" w:rsidDel="0042415E" w:rsidRDefault="00FF1DF0" w:rsidP="0042415E">
            <w:pPr>
              <w:spacing w:after="120" w:line="360" w:lineRule="auto"/>
              <w:rPr>
                <w:rFonts w:ascii="Verdana" w:hAnsi="Verdana"/>
                <w:sz w:val="20"/>
                <w:szCs w:val="20"/>
              </w:rPr>
            </w:pPr>
            <w:r w:rsidRPr="00920145">
              <w:rPr>
                <w:rFonts w:ascii="Verdana" w:hAnsi="Verdana"/>
                <w:sz w:val="20"/>
                <w:szCs w:val="20"/>
              </w:rPr>
              <w:t>(</w:t>
            </w:r>
            <w:r w:rsidR="0042415E" w:rsidRPr="00920145">
              <w:rPr>
                <w:rFonts w:ascii="Verdana" w:hAnsi="Verdana"/>
                <w:sz w:val="20"/>
                <w:szCs w:val="20"/>
              </w:rPr>
              <w:t>+</w:t>
            </w:r>
            <w:r w:rsidRPr="00920145">
              <w:rPr>
                <w:rFonts w:ascii="Verdana" w:hAnsi="Verdana"/>
                <w:sz w:val="20"/>
                <w:szCs w:val="20"/>
              </w:rPr>
              <w:t>)</w:t>
            </w:r>
            <w:r w:rsidR="0042415E" w:rsidRPr="00920145">
              <w:rPr>
                <w:rFonts w:ascii="Verdana" w:hAnsi="Verdana"/>
                <w:sz w:val="20"/>
                <w:szCs w:val="20"/>
              </w:rPr>
              <w:t xml:space="preserve"> 0-30 sekund</w:t>
            </w:r>
          </w:p>
        </w:tc>
      </w:tr>
      <w:tr w:rsidR="0042415E" w:rsidRPr="00920145" w14:paraId="4313591E" w14:textId="77777777" w:rsidTr="002F7B05">
        <w:tc>
          <w:tcPr>
            <w:tcW w:w="3402" w:type="dxa"/>
            <w:tcBorders>
              <w:top w:val="single" w:sz="4" w:space="0" w:color="auto"/>
              <w:left w:val="single" w:sz="4" w:space="0" w:color="auto"/>
              <w:bottom w:val="single" w:sz="4" w:space="0" w:color="auto"/>
              <w:right w:val="single" w:sz="4" w:space="0" w:color="auto"/>
            </w:tcBorders>
          </w:tcPr>
          <w:p w14:paraId="7DFD991B" w14:textId="0F4A9AD9" w:rsidR="0042415E" w:rsidRPr="00920145" w:rsidDel="0042415E" w:rsidRDefault="0042415E" w:rsidP="0042415E">
            <w:pPr>
              <w:spacing w:after="120" w:line="360" w:lineRule="auto"/>
              <w:rPr>
                <w:rFonts w:ascii="Verdana" w:hAnsi="Verdana"/>
                <w:sz w:val="20"/>
                <w:szCs w:val="18"/>
              </w:rPr>
            </w:pPr>
            <w:r w:rsidRPr="00920145">
              <w:rPr>
                <w:rFonts w:ascii="Verdana" w:hAnsi="Verdana"/>
                <w:sz w:val="20"/>
                <w:szCs w:val="20"/>
              </w:rPr>
              <w:t>Losowy czas otwarcia</w:t>
            </w:r>
            <w:r w:rsidRPr="00920145">
              <w:rPr>
                <w:rFonts w:ascii="Verdana" w:hAnsi="Verdana"/>
                <w:sz w:val="20"/>
                <w:szCs w:val="20"/>
              </w:rPr>
              <w:br/>
              <w:t>dla fazy aukcji zamknięcia</w:t>
            </w:r>
          </w:p>
        </w:tc>
        <w:tc>
          <w:tcPr>
            <w:tcW w:w="4394" w:type="dxa"/>
            <w:tcBorders>
              <w:top w:val="single" w:sz="4" w:space="0" w:color="auto"/>
              <w:left w:val="single" w:sz="4" w:space="0" w:color="auto"/>
              <w:bottom w:val="single" w:sz="4" w:space="0" w:color="auto"/>
              <w:right w:val="single" w:sz="4" w:space="0" w:color="auto"/>
            </w:tcBorders>
          </w:tcPr>
          <w:p w14:paraId="04E79387" w14:textId="06F6CDF7" w:rsidR="0042415E" w:rsidRPr="00920145" w:rsidDel="0042415E" w:rsidRDefault="00FF1DF0" w:rsidP="0042415E">
            <w:pPr>
              <w:spacing w:after="120" w:line="360" w:lineRule="auto"/>
              <w:rPr>
                <w:rFonts w:ascii="Verdana" w:hAnsi="Verdana"/>
                <w:sz w:val="20"/>
                <w:szCs w:val="20"/>
              </w:rPr>
            </w:pPr>
            <w:r w:rsidRPr="00920145">
              <w:rPr>
                <w:rFonts w:ascii="Verdana" w:hAnsi="Verdana"/>
                <w:sz w:val="20"/>
                <w:szCs w:val="20"/>
              </w:rPr>
              <w:t>(</w:t>
            </w:r>
            <w:r w:rsidR="0042415E" w:rsidRPr="00920145">
              <w:rPr>
                <w:rFonts w:ascii="Verdana" w:hAnsi="Verdana"/>
                <w:sz w:val="20"/>
                <w:szCs w:val="20"/>
              </w:rPr>
              <w:t>-</w:t>
            </w:r>
            <w:r w:rsidRPr="00920145">
              <w:rPr>
                <w:rFonts w:ascii="Verdana" w:hAnsi="Verdana"/>
                <w:sz w:val="20"/>
                <w:szCs w:val="20"/>
              </w:rPr>
              <w:t>)</w:t>
            </w:r>
            <w:r w:rsidR="0042415E" w:rsidRPr="00920145">
              <w:rPr>
                <w:rFonts w:ascii="Verdana" w:hAnsi="Verdana"/>
                <w:sz w:val="20"/>
                <w:szCs w:val="20"/>
              </w:rPr>
              <w:t xml:space="preserve"> 0-30 sekund</w:t>
            </w:r>
          </w:p>
        </w:tc>
      </w:tr>
      <w:tr w:rsidR="00FF0365" w:rsidRPr="00920145" w14:paraId="02EFEC77" w14:textId="77777777" w:rsidTr="002F7B05">
        <w:tc>
          <w:tcPr>
            <w:tcW w:w="3402" w:type="dxa"/>
            <w:tcBorders>
              <w:top w:val="single" w:sz="4" w:space="0" w:color="auto"/>
              <w:left w:val="single" w:sz="4" w:space="0" w:color="auto"/>
              <w:bottom w:val="single" w:sz="4" w:space="0" w:color="auto"/>
              <w:right w:val="single" w:sz="4" w:space="0" w:color="auto"/>
            </w:tcBorders>
          </w:tcPr>
          <w:p w14:paraId="6C91AAE0" w14:textId="77777777" w:rsidR="00FF0365" w:rsidRPr="00920145" w:rsidRDefault="00FF0365" w:rsidP="00A23201">
            <w:pPr>
              <w:spacing w:after="120" w:line="360" w:lineRule="auto"/>
              <w:rPr>
                <w:rFonts w:ascii="Verdana" w:hAnsi="Verdana"/>
                <w:sz w:val="20"/>
                <w:szCs w:val="18"/>
              </w:rPr>
            </w:pPr>
            <w:r w:rsidRPr="00920145">
              <w:rPr>
                <w:rFonts w:ascii="Verdana" w:hAnsi="Verdana"/>
                <w:sz w:val="20"/>
                <w:szCs w:val="18"/>
              </w:rPr>
              <w:t>Wysokość statycznych ograniczeń wahań kursów</w:t>
            </w:r>
          </w:p>
        </w:tc>
        <w:tc>
          <w:tcPr>
            <w:tcW w:w="4394" w:type="dxa"/>
            <w:tcBorders>
              <w:top w:val="single" w:sz="4" w:space="0" w:color="auto"/>
              <w:left w:val="single" w:sz="4" w:space="0" w:color="auto"/>
              <w:bottom w:val="single" w:sz="4" w:space="0" w:color="auto"/>
              <w:right w:val="single" w:sz="4" w:space="0" w:color="auto"/>
            </w:tcBorders>
          </w:tcPr>
          <w:p w14:paraId="2B555022" w14:textId="77777777" w:rsidR="00FF0365" w:rsidRPr="00920145" w:rsidRDefault="00FF0365" w:rsidP="00A23201">
            <w:pPr>
              <w:spacing w:after="120" w:line="360" w:lineRule="auto"/>
              <w:rPr>
                <w:rFonts w:ascii="Verdana" w:hAnsi="Verdana"/>
                <w:sz w:val="20"/>
                <w:szCs w:val="20"/>
              </w:rPr>
            </w:pPr>
            <w:r w:rsidRPr="00920145">
              <w:rPr>
                <w:rFonts w:ascii="Verdana" w:hAnsi="Verdana"/>
                <w:sz w:val="20"/>
                <w:szCs w:val="20"/>
              </w:rPr>
              <w:t xml:space="preserve">30% od kursu odniesienia </w:t>
            </w:r>
          </w:p>
        </w:tc>
      </w:tr>
      <w:tr w:rsidR="00FF0365" w:rsidRPr="00920145" w14:paraId="4483CAC2" w14:textId="77777777" w:rsidTr="002F7B05">
        <w:tc>
          <w:tcPr>
            <w:tcW w:w="3402" w:type="dxa"/>
            <w:tcBorders>
              <w:top w:val="single" w:sz="4" w:space="0" w:color="auto"/>
              <w:left w:val="single" w:sz="4" w:space="0" w:color="auto"/>
              <w:bottom w:val="single" w:sz="4" w:space="0" w:color="auto"/>
              <w:right w:val="single" w:sz="4" w:space="0" w:color="auto"/>
            </w:tcBorders>
          </w:tcPr>
          <w:p w14:paraId="494F48FA" w14:textId="77777777" w:rsidR="00FF0365" w:rsidRPr="00920145" w:rsidRDefault="00FF0365" w:rsidP="00A23201">
            <w:pPr>
              <w:spacing w:after="120" w:line="360" w:lineRule="auto"/>
              <w:rPr>
                <w:rFonts w:ascii="Verdana" w:hAnsi="Verdana"/>
                <w:sz w:val="20"/>
                <w:szCs w:val="18"/>
              </w:rPr>
            </w:pPr>
            <w:r w:rsidRPr="00920145">
              <w:rPr>
                <w:rFonts w:ascii="Verdana" w:hAnsi="Verdana"/>
                <w:sz w:val="20"/>
                <w:szCs w:val="18"/>
              </w:rPr>
              <w:t xml:space="preserve">Wysokość dynamicznych ograniczeń wahań kursów </w:t>
            </w:r>
          </w:p>
        </w:tc>
        <w:tc>
          <w:tcPr>
            <w:tcW w:w="4394" w:type="dxa"/>
            <w:tcBorders>
              <w:top w:val="single" w:sz="4" w:space="0" w:color="auto"/>
              <w:left w:val="single" w:sz="4" w:space="0" w:color="auto"/>
              <w:bottom w:val="single" w:sz="4" w:space="0" w:color="auto"/>
              <w:right w:val="single" w:sz="4" w:space="0" w:color="auto"/>
            </w:tcBorders>
          </w:tcPr>
          <w:p w14:paraId="01AF7E10" w14:textId="77777777" w:rsidR="00FF0365" w:rsidRPr="00920145" w:rsidRDefault="00FF0365" w:rsidP="00A23201">
            <w:pPr>
              <w:spacing w:after="120" w:line="360" w:lineRule="auto"/>
              <w:rPr>
                <w:rFonts w:ascii="Verdana" w:hAnsi="Verdana"/>
                <w:sz w:val="20"/>
                <w:szCs w:val="20"/>
              </w:rPr>
            </w:pPr>
            <w:r w:rsidRPr="00920145">
              <w:rPr>
                <w:rFonts w:ascii="Verdana" w:hAnsi="Verdana"/>
                <w:sz w:val="20"/>
                <w:szCs w:val="20"/>
              </w:rPr>
              <w:t xml:space="preserve">10% od kursu odniesienia </w:t>
            </w:r>
          </w:p>
        </w:tc>
      </w:tr>
      <w:tr w:rsidR="00FF0365" w:rsidRPr="00920145" w14:paraId="27740C3D" w14:textId="77777777" w:rsidTr="002F7B05">
        <w:tc>
          <w:tcPr>
            <w:tcW w:w="3402" w:type="dxa"/>
            <w:tcBorders>
              <w:top w:val="single" w:sz="4" w:space="0" w:color="auto"/>
              <w:left w:val="single" w:sz="4" w:space="0" w:color="auto"/>
              <w:bottom w:val="single" w:sz="4" w:space="0" w:color="auto"/>
              <w:right w:val="single" w:sz="4" w:space="0" w:color="auto"/>
            </w:tcBorders>
          </w:tcPr>
          <w:p w14:paraId="58C2FF69" w14:textId="77777777" w:rsidR="00FF0365" w:rsidRPr="00920145" w:rsidRDefault="00FF0365" w:rsidP="00A23201">
            <w:pPr>
              <w:spacing w:after="120" w:line="360" w:lineRule="auto"/>
              <w:rPr>
                <w:rFonts w:ascii="Verdana" w:hAnsi="Verdana"/>
                <w:sz w:val="20"/>
                <w:szCs w:val="18"/>
              </w:rPr>
            </w:pPr>
            <w:r w:rsidRPr="00920145">
              <w:rPr>
                <w:rFonts w:ascii="Verdana" w:hAnsi="Verdana"/>
                <w:sz w:val="20"/>
                <w:szCs w:val="18"/>
              </w:rPr>
              <w:t xml:space="preserve">Maksymalne wartości dla limitów cen w zleceniu maklerskim    </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C23E0CE" w14:textId="77777777" w:rsidR="00FF0365" w:rsidRPr="00920145" w:rsidRDefault="00FF0365" w:rsidP="00A23201">
            <w:pPr>
              <w:spacing w:after="120" w:line="360" w:lineRule="auto"/>
              <w:rPr>
                <w:rFonts w:ascii="Verdana" w:hAnsi="Verdana"/>
                <w:sz w:val="20"/>
                <w:szCs w:val="20"/>
              </w:rPr>
            </w:pPr>
            <w:r w:rsidRPr="00920145">
              <w:rPr>
                <w:rFonts w:ascii="Verdana" w:hAnsi="Verdana"/>
                <w:sz w:val="20"/>
                <w:szCs w:val="20"/>
              </w:rPr>
              <w:t>- 50% oraz +100% względem kursu odniesienia dla statycznych ograniczeń wahań kursu</w:t>
            </w:r>
          </w:p>
        </w:tc>
      </w:tr>
      <w:tr w:rsidR="00FF0365" w:rsidRPr="00920145" w14:paraId="1DD3DD52" w14:textId="77777777" w:rsidTr="002F7B05">
        <w:tc>
          <w:tcPr>
            <w:tcW w:w="3402" w:type="dxa"/>
            <w:tcBorders>
              <w:top w:val="single" w:sz="4" w:space="0" w:color="auto"/>
              <w:left w:val="single" w:sz="4" w:space="0" w:color="auto"/>
              <w:bottom w:val="single" w:sz="4" w:space="0" w:color="auto"/>
              <w:right w:val="single" w:sz="4" w:space="0" w:color="auto"/>
            </w:tcBorders>
          </w:tcPr>
          <w:p w14:paraId="2A064BFD" w14:textId="77777777" w:rsidR="00FF0365" w:rsidRPr="00920145" w:rsidRDefault="00FF0365" w:rsidP="00A23201">
            <w:pPr>
              <w:spacing w:after="120" w:line="360" w:lineRule="auto"/>
              <w:rPr>
                <w:rFonts w:ascii="Verdana" w:hAnsi="Verdana"/>
                <w:sz w:val="20"/>
                <w:szCs w:val="18"/>
              </w:rPr>
            </w:pPr>
            <w:r w:rsidRPr="00920145">
              <w:rPr>
                <w:rFonts w:ascii="Verdana" w:hAnsi="Verdana"/>
                <w:sz w:val="20"/>
                <w:szCs w:val="18"/>
              </w:rPr>
              <w:t xml:space="preserve">Maksymalna wartość zlecenia maklerskiego     </w:t>
            </w:r>
          </w:p>
        </w:tc>
        <w:tc>
          <w:tcPr>
            <w:tcW w:w="4394" w:type="dxa"/>
            <w:tcBorders>
              <w:top w:val="single" w:sz="4" w:space="0" w:color="auto"/>
              <w:left w:val="single" w:sz="4" w:space="0" w:color="auto"/>
              <w:bottom w:val="single" w:sz="4" w:space="0" w:color="auto"/>
              <w:right w:val="single" w:sz="4" w:space="0" w:color="auto"/>
            </w:tcBorders>
          </w:tcPr>
          <w:p w14:paraId="4E9DFBDB" w14:textId="77777777" w:rsidR="00FF0365" w:rsidRPr="00920145" w:rsidRDefault="00FF0365" w:rsidP="00A23201">
            <w:pPr>
              <w:spacing w:after="120" w:line="360" w:lineRule="auto"/>
              <w:rPr>
                <w:rFonts w:ascii="Verdana" w:hAnsi="Verdana"/>
                <w:sz w:val="20"/>
                <w:szCs w:val="20"/>
              </w:rPr>
            </w:pPr>
            <w:r w:rsidRPr="00920145">
              <w:rPr>
                <w:rFonts w:ascii="Verdana" w:hAnsi="Verdana"/>
                <w:sz w:val="20"/>
                <w:szCs w:val="20"/>
              </w:rPr>
              <w:t xml:space="preserve"> 50.000.000 jednostek waluty notowania  </w:t>
            </w:r>
          </w:p>
        </w:tc>
      </w:tr>
      <w:tr w:rsidR="00FF0365" w:rsidRPr="00920145" w14:paraId="38A26780" w14:textId="77777777" w:rsidTr="002F7B05">
        <w:tc>
          <w:tcPr>
            <w:tcW w:w="3402" w:type="dxa"/>
            <w:tcBorders>
              <w:top w:val="single" w:sz="4" w:space="0" w:color="auto"/>
              <w:left w:val="single" w:sz="4" w:space="0" w:color="auto"/>
              <w:bottom w:val="single" w:sz="4" w:space="0" w:color="auto"/>
              <w:right w:val="single" w:sz="4" w:space="0" w:color="auto"/>
            </w:tcBorders>
          </w:tcPr>
          <w:p w14:paraId="63DE67AE" w14:textId="77777777" w:rsidR="00FF0365" w:rsidRPr="00920145" w:rsidRDefault="00FF0365" w:rsidP="00A23201">
            <w:pPr>
              <w:spacing w:after="120" w:line="360" w:lineRule="auto"/>
              <w:rPr>
                <w:rFonts w:ascii="Verdana" w:hAnsi="Verdana"/>
                <w:sz w:val="20"/>
                <w:szCs w:val="18"/>
              </w:rPr>
            </w:pPr>
            <w:r w:rsidRPr="00920145">
              <w:rPr>
                <w:rFonts w:ascii="Verdana" w:hAnsi="Verdana"/>
                <w:sz w:val="20"/>
                <w:szCs w:val="18"/>
              </w:rPr>
              <w:t xml:space="preserve">Maksymalny wolumen zlecenia maklerskiego     </w:t>
            </w:r>
          </w:p>
        </w:tc>
        <w:tc>
          <w:tcPr>
            <w:tcW w:w="4394" w:type="dxa"/>
            <w:tcBorders>
              <w:top w:val="single" w:sz="4" w:space="0" w:color="auto"/>
              <w:left w:val="single" w:sz="4" w:space="0" w:color="auto"/>
              <w:bottom w:val="single" w:sz="4" w:space="0" w:color="auto"/>
              <w:right w:val="single" w:sz="4" w:space="0" w:color="auto"/>
            </w:tcBorders>
          </w:tcPr>
          <w:p w14:paraId="663C76B2" w14:textId="77777777" w:rsidR="00FF0365" w:rsidRPr="00920145" w:rsidRDefault="00FF0365" w:rsidP="00A23201">
            <w:pPr>
              <w:spacing w:after="120" w:line="360" w:lineRule="auto"/>
              <w:jc w:val="both"/>
              <w:rPr>
                <w:rFonts w:ascii="Verdana" w:hAnsi="Verdana"/>
                <w:sz w:val="20"/>
                <w:szCs w:val="20"/>
              </w:rPr>
            </w:pPr>
            <w:r w:rsidRPr="00920145">
              <w:rPr>
                <w:rFonts w:ascii="Verdana" w:hAnsi="Verdana"/>
                <w:sz w:val="20"/>
                <w:szCs w:val="20"/>
              </w:rPr>
              <w:t>2% instrumentów finansowych wprowadzonych do obrotu giełdowego i oznaczonych tym samym kodem ISIN, a w przypadku gdy 2% tych instrumentów stanowi mniej niż 1.000.000 instrumentów – nie więcej niż 1.000.000 instrumentów</w:t>
            </w:r>
          </w:p>
        </w:tc>
      </w:tr>
      <w:tr w:rsidR="00FF0365" w:rsidRPr="00920145" w14:paraId="361D823B" w14:textId="77777777" w:rsidTr="002F7B05">
        <w:tc>
          <w:tcPr>
            <w:tcW w:w="3402" w:type="dxa"/>
            <w:tcBorders>
              <w:top w:val="single" w:sz="4" w:space="0" w:color="auto"/>
              <w:left w:val="single" w:sz="4" w:space="0" w:color="auto"/>
              <w:bottom w:val="single" w:sz="4" w:space="0" w:color="auto"/>
              <w:right w:val="single" w:sz="4" w:space="0" w:color="auto"/>
            </w:tcBorders>
          </w:tcPr>
          <w:p w14:paraId="4969755D" w14:textId="77777777" w:rsidR="00FF0365" w:rsidRPr="00920145" w:rsidRDefault="00FF0365" w:rsidP="00A23201">
            <w:pPr>
              <w:spacing w:after="120" w:line="360" w:lineRule="auto"/>
              <w:rPr>
                <w:rFonts w:ascii="Verdana" w:hAnsi="Verdana"/>
                <w:sz w:val="20"/>
                <w:szCs w:val="18"/>
              </w:rPr>
            </w:pPr>
            <w:r w:rsidRPr="00920145">
              <w:rPr>
                <w:rFonts w:ascii="Verdana" w:hAnsi="Verdana"/>
                <w:sz w:val="20"/>
                <w:szCs w:val="18"/>
              </w:rPr>
              <w:t>Równoważenie podstawowe dla statycznych ograniczeń wahań kursów</w:t>
            </w:r>
          </w:p>
        </w:tc>
        <w:tc>
          <w:tcPr>
            <w:tcW w:w="4394" w:type="dxa"/>
            <w:tcBorders>
              <w:top w:val="single" w:sz="4" w:space="0" w:color="auto"/>
              <w:left w:val="single" w:sz="4" w:space="0" w:color="auto"/>
              <w:bottom w:val="single" w:sz="4" w:space="0" w:color="auto"/>
              <w:right w:val="single" w:sz="4" w:space="0" w:color="auto"/>
            </w:tcBorders>
          </w:tcPr>
          <w:p w14:paraId="6DC83EC8" w14:textId="77777777" w:rsidR="00FF0365" w:rsidRPr="00920145" w:rsidRDefault="00FF0365" w:rsidP="00A23201">
            <w:pPr>
              <w:spacing w:after="120" w:line="360" w:lineRule="auto"/>
              <w:rPr>
                <w:rFonts w:ascii="Verdana" w:hAnsi="Verdana"/>
                <w:sz w:val="20"/>
                <w:szCs w:val="20"/>
              </w:rPr>
            </w:pPr>
            <w:r w:rsidRPr="00920145">
              <w:rPr>
                <w:rFonts w:ascii="Verdana" w:hAnsi="Verdana"/>
                <w:sz w:val="20"/>
                <w:szCs w:val="20"/>
              </w:rPr>
              <w:t>Tak</w:t>
            </w:r>
          </w:p>
        </w:tc>
      </w:tr>
      <w:tr w:rsidR="00FF0365" w:rsidRPr="00920145" w14:paraId="639AAF05" w14:textId="77777777" w:rsidTr="002F7B05">
        <w:tc>
          <w:tcPr>
            <w:tcW w:w="3402" w:type="dxa"/>
            <w:tcBorders>
              <w:top w:val="single" w:sz="4" w:space="0" w:color="auto"/>
              <w:left w:val="single" w:sz="4" w:space="0" w:color="auto"/>
              <w:bottom w:val="single" w:sz="4" w:space="0" w:color="auto"/>
              <w:right w:val="single" w:sz="4" w:space="0" w:color="auto"/>
            </w:tcBorders>
          </w:tcPr>
          <w:p w14:paraId="2519E9C7" w14:textId="77777777" w:rsidR="00FF0365" w:rsidRPr="00920145" w:rsidRDefault="00FF0365" w:rsidP="00A23201">
            <w:pPr>
              <w:spacing w:after="120" w:line="360" w:lineRule="auto"/>
              <w:rPr>
                <w:rFonts w:ascii="Verdana" w:hAnsi="Verdana"/>
                <w:sz w:val="20"/>
                <w:szCs w:val="18"/>
              </w:rPr>
            </w:pPr>
            <w:r w:rsidRPr="00920145">
              <w:rPr>
                <w:rFonts w:ascii="Verdana" w:hAnsi="Verdana"/>
                <w:sz w:val="20"/>
                <w:szCs w:val="18"/>
              </w:rPr>
              <w:t>Czas trwania równoważenia podstawowego dla statycznych ograniczeń wahań kursów</w:t>
            </w:r>
          </w:p>
        </w:tc>
        <w:tc>
          <w:tcPr>
            <w:tcW w:w="4394" w:type="dxa"/>
            <w:tcBorders>
              <w:top w:val="single" w:sz="4" w:space="0" w:color="auto"/>
              <w:left w:val="single" w:sz="4" w:space="0" w:color="auto"/>
              <w:bottom w:val="single" w:sz="4" w:space="0" w:color="auto"/>
              <w:right w:val="single" w:sz="4" w:space="0" w:color="auto"/>
            </w:tcBorders>
          </w:tcPr>
          <w:p w14:paraId="6E2A30B0" w14:textId="77777777" w:rsidR="00FF0365" w:rsidRPr="00920145" w:rsidRDefault="00FF0365" w:rsidP="00A23201">
            <w:pPr>
              <w:spacing w:after="120" w:line="360" w:lineRule="auto"/>
              <w:rPr>
                <w:rFonts w:ascii="Verdana" w:hAnsi="Verdana"/>
                <w:sz w:val="20"/>
                <w:szCs w:val="20"/>
              </w:rPr>
            </w:pPr>
            <w:r w:rsidRPr="00920145">
              <w:rPr>
                <w:rFonts w:ascii="Verdana" w:hAnsi="Verdana"/>
                <w:sz w:val="20"/>
                <w:szCs w:val="20"/>
              </w:rPr>
              <w:t>300 sekund</w:t>
            </w:r>
          </w:p>
        </w:tc>
      </w:tr>
      <w:tr w:rsidR="00FF0365" w:rsidRPr="00920145" w14:paraId="34FF5C92" w14:textId="77777777" w:rsidTr="002F7B05">
        <w:tc>
          <w:tcPr>
            <w:tcW w:w="3402" w:type="dxa"/>
            <w:tcBorders>
              <w:top w:val="single" w:sz="4" w:space="0" w:color="auto"/>
              <w:left w:val="single" w:sz="4" w:space="0" w:color="auto"/>
              <w:bottom w:val="single" w:sz="4" w:space="0" w:color="auto"/>
              <w:right w:val="single" w:sz="4" w:space="0" w:color="auto"/>
            </w:tcBorders>
          </w:tcPr>
          <w:p w14:paraId="40393FFD" w14:textId="77777777" w:rsidR="00FF0365" w:rsidRPr="00920145" w:rsidRDefault="00FF0365" w:rsidP="00A23201">
            <w:pPr>
              <w:spacing w:after="120" w:line="360" w:lineRule="auto"/>
              <w:rPr>
                <w:rFonts w:ascii="Verdana" w:hAnsi="Verdana"/>
                <w:sz w:val="20"/>
                <w:szCs w:val="18"/>
              </w:rPr>
            </w:pPr>
            <w:r w:rsidRPr="00920145">
              <w:rPr>
                <w:rFonts w:ascii="Verdana" w:hAnsi="Verdana"/>
                <w:sz w:val="20"/>
                <w:szCs w:val="18"/>
              </w:rPr>
              <w:t xml:space="preserve">Współczynnik przesunięcia kursu odniesienia dla </w:t>
            </w:r>
            <w:r w:rsidRPr="00920145">
              <w:rPr>
                <w:rFonts w:ascii="Verdana" w:hAnsi="Verdana"/>
                <w:sz w:val="20"/>
                <w:szCs w:val="18"/>
              </w:rPr>
              <w:lastRenderedPageBreak/>
              <w:t>równoważenia w fazie aukcji otwarcia</w:t>
            </w:r>
          </w:p>
        </w:tc>
        <w:tc>
          <w:tcPr>
            <w:tcW w:w="4394" w:type="dxa"/>
            <w:tcBorders>
              <w:top w:val="single" w:sz="4" w:space="0" w:color="auto"/>
              <w:left w:val="single" w:sz="4" w:space="0" w:color="auto"/>
              <w:bottom w:val="single" w:sz="4" w:space="0" w:color="auto"/>
              <w:right w:val="single" w:sz="4" w:space="0" w:color="auto"/>
            </w:tcBorders>
          </w:tcPr>
          <w:p w14:paraId="6F589956" w14:textId="77777777" w:rsidR="00FF0365" w:rsidRPr="00920145" w:rsidRDefault="00FF0365" w:rsidP="00A23201">
            <w:pPr>
              <w:spacing w:after="120" w:line="360" w:lineRule="auto"/>
              <w:rPr>
                <w:rFonts w:ascii="Verdana" w:hAnsi="Verdana"/>
                <w:sz w:val="20"/>
                <w:szCs w:val="20"/>
              </w:rPr>
            </w:pPr>
            <w:r w:rsidRPr="00920145">
              <w:rPr>
                <w:rFonts w:ascii="Verdana" w:hAnsi="Verdana"/>
                <w:sz w:val="20"/>
                <w:szCs w:val="20"/>
              </w:rPr>
              <w:lastRenderedPageBreak/>
              <w:t>1</w:t>
            </w:r>
          </w:p>
        </w:tc>
      </w:tr>
      <w:tr w:rsidR="00FF0365" w:rsidRPr="00920145" w14:paraId="369B844A" w14:textId="77777777" w:rsidTr="002F7B05">
        <w:tc>
          <w:tcPr>
            <w:tcW w:w="3402" w:type="dxa"/>
            <w:tcBorders>
              <w:top w:val="single" w:sz="4" w:space="0" w:color="auto"/>
              <w:left w:val="single" w:sz="4" w:space="0" w:color="auto"/>
              <w:bottom w:val="single" w:sz="4" w:space="0" w:color="auto"/>
              <w:right w:val="single" w:sz="4" w:space="0" w:color="auto"/>
            </w:tcBorders>
          </w:tcPr>
          <w:p w14:paraId="438F2F45" w14:textId="77777777" w:rsidR="00FF0365" w:rsidRPr="00920145" w:rsidRDefault="00FF0365" w:rsidP="00A23201">
            <w:pPr>
              <w:spacing w:after="120" w:line="360" w:lineRule="auto"/>
              <w:rPr>
                <w:rFonts w:ascii="Verdana" w:hAnsi="Verdana"/>
                <w:sz w:val="20"/>
                <w:szCs w:val="18"/>
              </w:rPr>
            </w:pPr>
            <w:r w:rsidRPr="00920145">
              <w:rPr>
                <w:rFonts w:ascii="Verdana" w:hAnsi="Verdana"/>
                <w:sz w:val="20"/>
                <w:szCs w:val="18"/>
              </w:rPr>
              <w:t>Współczynnik przesunięcia kursu odniesienia dla równoważenia w fazach innych niż faza aukcji otwarcia</w:t>
            </w:r>
          </w:p>
        </w:tc>
        <w:tc>
          <w:tcPr>
            <w:tcW w:w="4394" w:type="dxa"/>
            <w:tcBorders>
              <w:top w:val="single" w:sz="4" w:space="0" w:color="auto"/>
              <w:left w:val="single" w:sz="4" w:space="0" w:color="auto"/>
              <w:bottom w:val="single" w:sz="4" w:space="0" w:color="auto"/>
              <w:right w:val="single" w:sz="4" w:space="0" w:color="auto"/>
            </w:tcBorders>
          </w:tcPr>
          <w:p w14:paraId="671548EC" w14:textId="77777777" w:rsidR="00FF0365" w:rsidRPr="00920145" w:rsidRDefault="00FF0365" w:rsidP="00A23201">
            <w:pPr>
              <w:spacing w:after="120" w:line="360" w:lineRule="auto"/>
              <w:rPr>
                <w:rFonts w:ascii="Verdana" w:hAnsi="Verdana"/>
                <w:sz w:val="20"/>
                <w:szCs w:val="20"/>
              </w:rPr>
            </w:pPr>
            <w:r w:rsidRPr="00920145">
              <w:rPr>
                <w:rFonts w:ascii="Verdana" w:hAnsi="Verdana"/>
                <w:sz w:val="20"/>
                <w:szCs w:val="20"/>
              </w:rPr>
              <w:t>0,5</w:t>
            </w:r>
          </w:p>
        </w:tc>
      </w:tr>
      <w:tr w:rsidR="00FF0365" w:rsidRPr="00920145" w14:paraId="441B74D4" w14:textId="77777777" w:rsidTr="002F7B05">
        <w:tc>
          <w:tcPr>
            <w:tcW w:w="3402" w:type="dxa"/>
            <w:tcBorders>
              <w:top w:val="single" w:sz="4" w:space="0" w:color="auto"/>
              <w:left w:val="single" w:sz="4" w:space="0" w:color="auto"/>
              <w:bottom w:val="single" w:sz="4" w:space="0" w:color="auto"/>
              <w:right w:val="single" w:sz="4" w:space="0" w:color="auto"/>
            </w:tcBorders>
          </w:tcPr>
          <w:p w14:paraId="072EDCB5" w14:textId="77777777" w:rsidR="00FF0365" w:rsidRPr="00920145" w:rsidRDefault="00FF0365" w:rsidP="00A23201">
            <w:pPr>
              <w:spacing w:after="120" w:line="360" w:lineRule="auto"/>
              <w:rPr>
                <w:rFonts w:ascii="Verdana" w:hAnsi="Verdana"/>
                <w:sz w:val="20"/>
                <w:szCs w:val="18"/>
              </w:rPr>
            </w:pPr>
            <w:r w:rsidRPr="00920145">
              <w:rPr>
                <w:rFonts w:ascii="Verdana" w:hAnsi="Verdana"/>
                <w:sz w:val="20"/>
                <w:szCs w:val="18"/>
              </w:rPr>
              <w:t>Współczynnik maksymalnej liczby zmian netto statycznych ograniczeń wahań kursów</w:t>
            </w:r>
          </w:p>
        </w:tc>
        <w:tc>
          <w:tcPr>
            <w:tcW w:w="4394" w:type="dxa"/>
            <w:tcBorders>
              <w:top w:val="single" w:sz="4" w:space="0" w:color="auto"/>
              <w:left w:val="single" w:sz="4" w:space="0" w:color="auto"/>
              <w:bottom w:val="single" w:sz="4" w:space="0" w:color="auto"/>
              <w:right w:val="single" w:sz="4" w:space="0" w:color="auto"/>
            </w:tcBorders>
          </w:tcPr>
          <w:p w14:paraId="2BD5CCB8" w14:textId="77777777" w:rsidR="00FF0365" w:rsidRPr="00920145" w:rsidRDefault="00FF0365" w:rsidP="00A23201">
            <w:pPr>
              <w:spacing w:after="120" w:line="360" w:lineRule="auto"/>
              <w:rPr>
                <w:rFonts w:ascii="Verdana" w:hAnsi="Verdana"/>
                <w:sz w:val="20"/>
                <w:szCs w:val="20"/>
              </w:rPr>
            </w:pPr>
            <w:r w:rsidRPr="00920145">
              <w:rPr>
                <w:rFonts w:ascii="Verdana" w:hAnsi="Verdana"/>
                <w:sz w:val="20"/>
                <w:szCs w:val="20"/>
              </w:rPr>
              <w:t>2</w:t>
            </w:r>
          </w:p>
        </w:tc>
      </w:tr>
      <w:tr w:rsidR="00FF0365" w:rsidRPr="00920145" w14:paraId="1FBD994A" w14:textId="77777777" w:rsidTr="002F7B05">
        <w:tc>
          <w:tcPr>
            <w:tcW w:w="3402" w:type="dxa"/>
            <w:tcBorders>
              <w:top w:val="single" w:sz="4" w:space="0" w:color="auto"/>
              <w:left w:val="single" w:sz="4" w:space="0" w:color="auto"/>
              <w:bottom w:val="single" w:sz="4" w:space="0" w:color="auto"/>
              <w:right w:val="single" w:sz="4" w:space="0" w:color="auto"/>
            </w:tcBorders>
          </w:tcPr>
          <w:p w14:paraId="6C5DB584" w14:textId="77777777" w:rsidR="00FF0365" w:rsidRPr="00920145" w:rsidRDefault="00FF0365" w:rsidP="00A23201">
            <w:pPr>
              <w:spacing w:after="120" w:line="360" w:lineRule="auto"/>
              <w:rPr>
                <w:rFonts w:ascii="Verdana" w:hAnsi="Verdana"/>
                <w:sz w:val="20"/>
                <w:szCs w:val="18"/>
              </w:rPr>
            </w:pPr>
            <w:r w:rsidRPr="00920145">
              <w:rPr>
                <w:rFonts w:ascii="Verdana" w:hAnsi="Verdana"/>
                <w:sz w:val="20"/>
                <w:szCs w:val="18"/>
              </w:rPr>
              <w:t>Czas trwania równoważenia podstawowego dla dynamicznych ograniczeń wahań kursów</w:t>
            </w:r>
          </w:p>
        </w:tc>
        <w:tc>
          <w:tcPr>
            <w:tcW w:w="4394" w:type="dxa"/>
            <w:tcBorders>
              <w:top w:val="single" w:sz="4" w:space="0" w:color="auto"/>
              <w:left w:val="single" w:sz="4" w:space="0" w:color="auto"/>
              <w:bottom w:val="single" w:sz="4" w:space="0" w:color="auto"/>
              <w:right w:val="single" w:sz="4" w:space="0" w:color="auto"/>
            </w:tcBorders>
          </w:tcPr>
          <w:p w14:paraId="62097440" w14:textId="77777777" w:rsidR="00FF0365" w:rsidRPr="00920145" w:rsidRDefault="00FF0365" w:rsidP="00A23201">
            <w:pPr>
              <w:spacing w:after="120" w:line="360" w:lineRule="auto"/>
              <w:rPr>
                <w:rFonts w:ascii="Verdana" w:hAnsi="Verdana"/>
                <w:sz w:val="20"/>
                <w:szCs w:val="20"/>
              </w:rPr>
            </w:pPr>
            <w:r w:rsidRPr="00920145">
              <w:rPr>
                <w:rFonts w:ascii="Verdana" w:hAnsi="Verdana"/>
                <w:sz w:val="20"/>
                <w:szCs w:val="20"/>
              </w:rPr>
              <w:t>60 sekund</w:t>
            </w:r>
          </w:p>
        </w:tc>
      </w:tr>
      <w:tr w:rsidR="00FF0365" w:rsidRPr="00920145" w14:paraId="4001A868" w14:textId="77777777" w:rsidTr="002F7B05">
        <w:tc>
          <w:tcPr>
            <w:tcW w:w="3402" w:type="dxa"/>
            <w:tcBorders>
              <w:top w:val="single" w:sz="4" w:space="0" w:color="auto"/>
              <w:left w:val="single" w:sz="4" w:space="0" w:color="auto"/>
              <w:bottom w:val="single" w:sz="4" w:space="0" w:color="auto"/>
              <w:right w:val="single" w:sz="4" w:space="0" w:color="auto"/>
            </w:tcBorders>
          </w:tcPr>
          <w:p w14:paraId="47AE5DC9" w14:textId="77777777" w:rsidR="00FF0365" w:rsidRPr="00920145" w:rsidRDefault="00FF0365" w:rsidP="00A23201">
            <w:pPr>
              <w:spacing w:after="120" w:line="360" w:lineRule="auto"/>
              <w:rPr>
                <w:rFonts w:ascii="Verdana" w:hAnsi="Verdana"/>
                <w:sz w:val="20"/>
                <w:szCs w:val="18"/>
              </w:rPr>
            </w:pPr>
            <w:r w:rsidRPr="00920145">
              <w:rPr>
                <w:rFonts w:ascii="Verdana" w:hAnsi="Verdana"/>
                <w:sz w:val="20"/>
                <w:szCs w:val="18"/>
              </w:rPr>
              <w:t>Współczynnik rozszerzenia dla równoważenia w fazie aukcji otwarcia</w:t>
            </w:r>
          </w:p>
        </w:tc>
        <w:tc>
          <w:tcPr>
            <w:tcW w:w="4394" w:type="dxa"/>
            <w:tcBorders>
              <w:top w:val="single" w:sz="4" w:space="0" w:color="auto"/>
              <w:left w:val="single" w:sz="4" w:space="0" w:color="auto"/>
              <w:bottom w:val="single" w:sz="4" w:space="0" w:color="auto"/>
              <w:right w:val="single" w:sz="4" w:space="0" w:color="auto"/>
            </w:tcBorders>
          </w:tcPr>
          <w:p w14:paraId="0750C0D0" w14:textId="77777777" w:rsidR="00FF0365" w:rsidRPr="00920145" w:rsidRDefault="00FF0365" w:rsidP="00A23201">
            <w:pPr>
              <w:spacing w:after="120" w:line="360" w:lineRule="auto"/>
              <w:rPr>
                <w:rFonts w:ascii="Verdana" w:hAnsi="Verdana"/>
                <w:sz w:val="20"/>
                <w:szCs w:val="20"/>
              </w:rPr>
            </w:pPr>
            <w:r w:rsidRPr="00920145">
              <w:rPr>
                <w:rFonts w:ascii="Verdana" w:hAnsi="Verdana"/>
                <w:sz w:val="20"/>
                <w:szCs w:val="20"/>
              </w:rPr>
              <w:t>3,0</w:t>
            </w:r>
          </w:p>
        </w:tc>
      </w:tr>
      <w:tr w:rsidR="00FF0365" w:rsidRPr="00920145" w14:paraId="03F65025" w14:textId="77777777" w:rsidTr="002F7B05">
        <w:tc>
          <w:tcPr>
            <w:tcW w:w="3402" w:type="dxa"/>
            <w:tcBorders>
              <w:top w:val="single" w:sz="4" w:space="0" w:color="auto"/>
              <w:left w:val="single" w:sz="4" w:space="0" w:color="auto"/>
              <w:bottom w:val="single" w:sz="4" w:space="0" w:color="auto"/>
              <w:right w:val="single" w:sz="4" w:space="0" w:color="auto"/>
            </w:tcBorders>
          </w:tcPr>
          <w:p w14:paraId="1AA66424" w14:textId="77777777" w:rsidR="00FF0365" w:rsidRPr="00920145" w:rsidRDefault="00FF0365" w:rsidP="00A23201">
            <w:pPr>
              <w:spacing w:after="120" w:line="360" w:lineRule="auto"/>
              <w:rPr>
                <w:rFonts w:ascii="Verdana" w:hAnsi="Verdana"/>
                <w:sz w:val="20"/>
                <w:szCs w:val="18"/>
              </w:rPr>
            </w:pPr>
            <w:r w:rsidRPr="00920145">
              <w:rPr>
                <w:rFonts w:ascii="Verdana" w:hAnsi="Verdana"/>
                <w:sz w:val="20"/>
                <w:szCs w:val="18"/>
              </w:rPr>
              <w:t>Współczynnik rozszerzenia dla równoważenia w fazach innych niż faza aukcji otwarcia</w:t>
            </w:r>
          </w:p>
        </w:tc>
        <w:tc>
          <w:tcPr>
            <w:tcW w:w="4394" w:type="dxa"/>
            <w:tcBorders>
              <w:top w:val="single" w:sz="4" w:space="0" w:color="auto"/>
              <w:left w:val="single" w:sz="4" w:space="0" w:color="auto"/>
              <w:bottom w:val="single" w:sz="4" w:space="0" w:color="auto"/>
              <w:right w:val="single" w:sz="4" w:space="0" w:color="auto"/>
            </w:tcBorders>
          </w:tcPr>
          <w:p w14:paraId="7C5C820E" w14:textId="77777777" w:rsidR="00FF0365" w:rsidRPr="00920145" w:rsidRDefault="00FF0365" w:rsidP="00A23201">
            <w:pPr>
              <w:spacing w:after="120" w:line="360" w:lineRule="auto"/>
              <w:rPr>
                <w:rFonts w:ascii="Verdana" w:hAnsi="Verdana"/>
                <w:sz w:val="20"/>
                <w:szCs w:val="20"/>
              </w:rPr>
            </w:pPr>
            <w:r w:rsidRPr="00920145">
              <w:rPr>
                <w:rFonts w:ascii="Verdana" w:hAnsi="Verdana"/>
                <w:sz w:val="20"/>
                <w:szCs w:val="20"/>
              </w:rPr>
              <w:t>2,0</w:t>
            </w:r>
          </w:p>
        </w:tc>
      </w:tr>
      <w:tr w:rsidR="00FF0365" w:rsidRPr="00920145" w14:paraId="5CCDED6B" w14:textId="77777777" w:rsidTr="002F7B05">
        <w:tc>
          <w:tcPr>
            <w:tcW w:w="3402" w:type="dxa"/>
            <w:tcBorders>
              <w:top w:val="single" w:sz="4" w:space="0" w:color="auto"/>
              <w:left w:val="single" w:sz="4" w:space="0" w:color="auto"/>
              <w:bottom w:val="single" w:sz="4" w:space="0" w:color="auto"/>
              <w:right w:val="single" w:sz="4" w:space="0" w:color="auto"/>
            </w:tcBorders>
          </w:tcPr>
          <w:p w14:paraId="1B6D5510" w14:textId="77777777" w:rsidR="00FF0365" w:rsidRPr="00920145" w:rsidRDefault="00FF0365" w:rsidP="00A23201">
            <w:pPr>
              <w:spacing w:after="120" w:line="360" w:lineRule="auto"/>
              <w:rPr>
                <w:rFonts w:ascii="Verdana" w:hAnsi="Verdana"/>
                <w:sz w:val="20"/>
                <w:szCs w:val="18"/>
              </w:rPr>
            </w:pPr>
            <w:r w:rsidRPr="00920145">
              <w:rPr>
                <w:rFonts w:ascii="Verdana" w:hAnsi="Verdana"/>
                <w:sz w:val="20"/>
                <w:szCs w:val="18"/>
              </w:rPr>
              <w:t>Współczynnik maksymalnej liczby zmian netto dynamicznych ograniczeń wahań kursów</w:t>
            </w:r>
          </w:p>
        </w:tc>
        <w:tc>
          <w:tcPr>
            <w:tcW w:w="4394" w:type="dxa"/>
            <w:tcBorders>
              <w:top w:val="single" w:sz="4" w:space="0" w:color="auto"/>
              <w:left w:val="single" w:sz="4" w:space="0" w:color="auto"/>
              <w:bottom w:val="single" w:sz="4" w:space="0" w:color="auto"/>
              <w:right w:val="single" w:sz="4" w:space="0" w:color="auto"/>
            </w:tcBorders>
          </w:tcPr>
          <w:p w14:paraId="4C651470" w14:textId="77777777" w:rsidR="00FF0365" w:rsidRPr="00920145" w:rsidRDefault="00FF0365" w:rsidP="00A23201">
            <w:pPr>
              <w:spacing w:after="120" w:line="360" w:lineRule="auto"/>
              <w:rPr>
                <w:szCs w:val="20"/>
              </w:rPr>
            </w:pPr>
            <w:r w:rsidRPr="00920145">
              <w:rPr>
                <w:szCs w:val="20"/>
              </w:rPr>
              <w:t>20</w:t>
            </w:r>
          </w:p>
        </w:tc>
      </w:tr>
    </w:tbl>
    <w:p w14:paraId="631A0ED1" w14:textId="5E37B484" w:rsidR="00FF0365" w:rsidRPr="00920145" w:rsidRDefault="00FF0365" w:rsidP="00A23201">
      <w:pPr>
        <w:spacing w:after="120" w:line="360" w:lineRule="auto"/>
        <w:jc w:val="center"/>
        <w:rPr>
          <w:rFonts w:cs="Arial"/>
          <w:szCs w:val="20"/>
        </w:rPr>
      </w:pPr>
    </w:p>
    <w:p w14:paraId="0145004D" w14:textId="634FD80A" w:rsidR="00FF0365" w:rsidRPr="00920145" w:rsidRDefault="00FF0365" w:rsidP="00A23201">
      <w:pPr>
        <w:spacing w:after="120" w:line="360" w:lineRule="auto"/>
        <w:ind w:left="567" w:firstLine="142"/>
        <w:jc w:val="both"/>
        <w:rPr>
          <w:rFonts w:ascii="Verdana" w:hAnsi="Verdana"/>
          <w:sz w:val="20"/>
          <w:szCs w:val="18"/>
        </w:rPr>
      </w:pPr>
      <w:r w:rsidRPr="00920145">
        <w:rPr>
          <w:rFonts w:ascii="Verdana" w:hAnsi="Verdana"/>
          <w:sz w:val="20"/>
          <w:szCs w:val="18"/>
        </w:rPr>
        <w:t xml:space="preserve">b) w pozostałym okresie notowania tych akcji na giełdzie: </w:t>
      </w:r>
    </w:p>
    <w:tbl>
      <w:tblPr>
        <w:tblW w:w="779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4394"/>
      </w:tblGrid>
      <w:tr w:rsidR="008B7592" w:rsidRPr="00920145" w14:paraId="52803530" w14:textId="77777777" w:rsidTr="002D5BBE">
        <w:tc>
          <w:tcPr>
            <w:tcW w:w="3402" w:type="dxa"/>
            <w:tcBorders>
              <w:top w:val="single" w:sz="4" w:space="0" w:color="auto"/>
              <w:left w:val="single" w:sz="4" w:space="0" w:color="auto"/>
              <w:bottom w:val="single" w:sz="4" w:space="0" w:color="auto"/>
              <w:right w:val="single" w:sz="4" w:space="0" w:color="auto"/>
            </w:tcBorders>
          </w:tcPr>
          <w:p w14:paraId="2024CC3E" w14:textId="77777777" w:rsidR="008B7592" w:rsidRPr="00920145" w:rsidRDefault="008B7592" w:rsidP="00A23201">
            <w:pPr>
              <w:spacing w:after="120" w:line="360" w:lineRule="auto"/>
              <w:rPr>
                <w:rFonts w:ascii="Verdana" w:hAnsi="Verdana"/>
                <w:sz w:val="20"/>
                <w:szCs w:val="18"/>
              </w:rPr>
            </w:pPr>
            <w:r w:rsidRPr="00920145">
              <w:rPr>
                <w:rFonts w:ascii="Verdana" w:hAnsi="Verdana"/>
                <w:sz w:val="20"/>
                <w:szCs w:val="18"/>
              </w:rPr>
              <w:t>Jednostka transakcyjna</w:t>
            </w:r>
          </w:p>
        </w:tc>
        <w:tc>
          <w:tcPr>
            <w:tcW w:w="4394" w:type="dxa"/>
            <w:tcBorders>
              <w:top w:val="single" w:sz="4" w:space="0" w:color="auto"/>
              <w:left w:val="single" w:sz="4" w:space="0" w:color="auto"/>
              <w:bottom w:val="single" w:sz="4" w:space="0" w:color="auto"/>
              <w:right w:val="single" w:sz="4" w:space="0" w:color="auto"/>
            </w:tcBorders>
          </w:tcPr>
          <w:p w14:paraId="3EBC2264" w14:textId="77777777" w:rsidR="008B7592" w:rsidRPr="00920145" w:rsidRDefault="008B7592" w:rsidP="00A23201">
            <w:pPr>
              <w:spacing w:after="120" w:line="360" w:lineRule="auto"/>
              <w:ind w:left="83" w:hanging="8"/>
              <w:jc w:val="both"/>
              <w:rPr>
                <w:rFonts w:ascii="Verdana" w:hAnsi="Verdana"/>
                <w:sz w:val="20"/>
                <w:szCs w:val="18"/>
              </w:rPr>
            </w:pPr>
            <w:r w:rsidRPr="00920145">
              <w:rPr>
                <w:rFonts w:ascii="Verdana" w:hAnsi="Verdana"/>
                <w:sz w:val="20"/>
                <w:szCs w:val="18"/>
              </w:rPr>
              <w:t>jeden instrument, chyba że Zarząd Giełdy określi inną jednostkę transakcyjną</w:t>
            </w:r>
          </w:p>
        </w:tc>
      </w:tr>
      <w:tr w:rsidR="0042415E" w:rsidRPr="00920145" w14:paraId="4F031574" w14:textId="77777777" w:rsidTr="002D5BBE">
        <w:tc>
          <w:tcPr>
            <w:tcW w:w="3402" w:type="dxa"/>
            <w:tcBorders>
              <w:top w:val="single" w:sz="4" w:space="0" w:color="auto"/>
              <w:left w:val="single" w:sz="4" w:space="0" w:color="auto"/>
              <w:bottom w:val="single" w:sz="4" w:space="0" w:color="auto"/>
              <w:right w:val="single" w:sz="4" w:space="0" w:color="auto"/>
            </w:tcBorders>
          </w:tcPr>
          <w:p w14:paraId="4E99BADE" w14:textId="04F9B0A7" w:rsidR="0042415E" w:rsidRPr="00920145" w:rsidDel="0042415E" w:rsidRDefault="0042415E" w:rsidP="0042415E">
            <w:pPr>
              <w:spacing w:after="120" w:line="360" w:lineRule="auto"/>
              <w:rPr>
                <w:rFonts w:ascii="Verdana" w:hAnsi="Verdana"/>
                <w:sz w:val="20"/>
                <w:szCs w:val="18"/>
              </w:rPr>
            </w:pPr>
            <w:r w:rsidRPr="00920145">
              <w:rPr>
                <w:rFonts w:ascii="Verdana" w:hAnsi="Verdana"/>
                <w:sz w:val="20"/>
                <w:szCs w:val="20"/>
              </w:rPr>
              <w:t>Losowy czas otwarcia</w:t>
            </w:r>
            <w:r w:rsidRPr="00920145">
              <w:rPr>
                <w:rFonts w:ascii="Verdana" w:hAnsi="Verdana"/>
                <w:sz w:val="20"/>
                <w:szCs w:val="20"/>
              </w:rPr>
              <w:br/>
              <w:t>dla fazy aukcji otwarcia</w:t>
            </w:r>
          </w:p>
        </w:tc>
        <w:tc>
          <w:tcPr>
            <w:tcW w:w="4394" w:type="dxa"/>
            <w:tcBorders>
              <w:top w:val="single" w:sz="4" w:space="0" w:color="auto"/>
              <w:left w:val="single" w:sz="4" w:space="0" w:color="auto"/>
              <w:bottom w:val="single" w:sz="4" w:space="0" w:color="auto"/>
              <w:right w:val="single" w:sz="4" w:space="0" w:color="auto"/>
            </w:tcBorders>
          </w:tcPr>
          <w:p w14:paraId="7AA2B4E8" w14:textId="4920460D" w:rsidR="0042415E" w:rsidRPr="00920145" w:rsidDel="0042415E" w:rsidRDefault="00FF1DF0" w:rsidP="0042415E">
            <w:pPr>
              <w:spacing w:after="120" w:line="360" w:lineRule="auto"/>
              <w:ind w:left="83" w:hanging="8"/>
              <w:rPr>
                <w:rFonts w:ascii="Verdana" w:hAnsi="Verdana"/>
                <w:sz w:val="20"/>
                <w:szCs w:val="18"/>
              </w:rPr>
            </w:pPr>
            <w:r w:rsidRPr="00920145">
              <w:rPr>
                <w:rFonts w:ascii="Verdana" w:hAnsi="Verdana"/>
                <w:sz w:val="20"/>
                <w:szCs w:val="20"/>
              </w:rPr>
              <w:t>(</w:t>
            </w:r>
            <w:r w:rsidR="0042415E" w:rsidRPr="00920145">
              <w:rPr>
                <w:rFonts w:ascii="Verdana" w:hAnsi="Verdana"/>
                <w:sz w:val="20"/>
                <w:szCs w:val="20"/>
              </w:rPr>
              <w:t>+</w:t>
            </w:r>
            <w:r w:rsidRPr="00920145">
              <w:rPr>
                <w:rFonts w:ascii="Verdana" w:hAnsi="Verdana"/>
                <w:sz w:val="20"/>
                <w:szCs w:val="20"/>
              </w:rPr>
              <w:t>)</w:t>
            </w:r>
            <w:r w:rsidR="0042415E" w:rsidRPr="00920145">
              <w:rPr>
                <w:rFonts w:ascii="Verdana" w:hAnsi="Verdana"/>
                <w:sz w:val="20"/>
                <w:szCs w:val="20"/>
              </w:rPr>
              <w:t xml:space="preserve"> 0-30 sekund</w:t>
            </w:r>
          </w:p>
        </w:tc>
      </w:tr>
      <w:tr w:rsidR="0042415E" w:rsidRPr="00920145" w14:paraId="05FAA760" w14:textId="77777777" w:rsidTr="002D5BBE">
        <w:tc>
          <w:tcPr>
            <w:tcW w:w="3402" w:type="dxa"/>
            <w:tcBorders>
              <w:top w:val="single" w:sz="4" w:space="0" w:color="auto"/>
              <w:left w:val="single" w:sz="4" w:space="0" w:color="auto"/>
              <w:bottom w:val="single" w:sz="4" w:space="0" w:color="auto"/>
              <w:right w:val="single" w:sz="4" w:space="0" w:color="auto"/>
            </w:tcBorders>
          </w:tcPr>
          <w:p w14:paraId="4EFF4536" w14:textId="1D83FFF7" w:rsidR="0042415E" w:rsidRPr="00920145" w:rsidDel="0042415E" w:rsidRDefault="0042415E" w:rsidP="0042415E">
            <w:pPr>
              <w:spacing w:after="120" w:line="360" w:lineRule="auto"/>
              <w:rPr>
                <w:rFonts w:ascii="Verdana" w:hAnsi="Verdana"/>
                <w:sz w:val="20"/>
                <w:szCs w:val="18"/>
              </w:rPr>
            </w:pPr>
            <w:r w:rsidRPr="00920145">
              <w:rPr>
                <w:rFonts w:ascii="Verdana" w:hAnsi="Verdana"/>
                <w:sz w:val="20"/>
                <w:szCs w:val="20"/>
              </w:rPr>
              <w:t>Losowy czas otwarcia</w:t>
            </w:r>
            <w:r w:rsidRPr="00920145">
              <w:rPr>
                <w:rFonts w:ascii="Verdana" w:hAnsi="Verdana"/>
                <w:sz w:val="20"/>
                <w:szCs w:val="20"/>
              </w:rPr>
              <w:br/>
              <w:t>dla fazy aukcji zamknięcia</w:t>
            </w:r>
          </w:p>
        </w:tc>
        <w:tc>
          <w:tcPr>
            <w:tcW w:w="4394" w:type="dxa"/>
            <w:tcBorders>
              <w:top w:val="single" w:sz="4" w:space="0" w:color="auto"/>
              <w:left w:val="single" w:sz="4" w:space="0" w:color="auto"/>
              <w:bottom w:val="single" w:sz="4" w:space="0" w:color="auto"/>
              <w:right w:val="single" w:sz="4" w:space="0" w:color="auto"/>
            </w:tcBorders>
          </w:tcPr>
          <w:p w14:paraId="320F09E0" w14:textId="0C8A7F23" w:rsidR="0042415E" w:rsidRPr="00920145" w:rsidDel="0042415E" w:rsidRDefault="00FF1DF0" w:rsidP="0042415E">
            <w:pPr>
              <w:spacing w:after="120" w:line="360" w:lineRule="auto"/>
              <w:ind w:left="83" w:hanging="8"/>
              <w:rPr>
                <w:rFonts w:ascii="Verdana" w:hAnsi="Verdana"/>
                <w:sz w:val="20"/>
                <w:szCs w:val="18"/>
              </w:rPr>
            </w:pPr>
            <w:r w:rsidRPr="00920145">
              <w:rPr>
                <w:rFonts w:ascii="Verdana" w:hAnsi="Verdana"/>
                <w:sz w:val="20"/>
                <w:szCs w:val="20"/>
              </w:rPr>
              <w:t>(</w:t>
            </w:r>
            <w:r w:rsidR="0042415E" w:rsidRPr="00920145">
              <w:rPr>
                <w:rFonts w:ascii="Verdana" w:hAnsi="Verdana"/>
                <w:sz w:val="20"/>
                <w:szCs w:val="20"/>
              </w:rPr>
              <w:t>-</w:t>
            </w:r>
            <w:r w:rsidRPr="00920145">
              <w:rPr>
                <w:rFonts w:ascii="Verdana" w:hAnsi="Verdana"/>
                <w:sz w:val="20"/>
                <w:szCs w:val="20"/>
              </w:rPr>
              <w:t>)</w:t>
            </w:r>
            <w:r w:rsidR="0042415E" w:rsidRPr="00920145">
              <w:rPr>
                <w:rFonts w:ascii="Verdana" w:hAnsi="Verdana"/>
                <w:sz w:val="20"/>
                <w:szCs w:val="20"/>
              </w:rPr>
              <w:t xml:space="preserve"> 0-30 sekund</w:t>
            </w:r>
          </w:p>
        </w:tc>
      </w:tr>
      <w:tr w:rsidR="008B7592" w:rsidRPr="00920145" w14:paraId="3BD9C5AF" w14:textId="77777777" w:rsidTr="002D5BBE">
        <w:tc>
          <w:tcPr>
            <w:tcW w:w="3402" w:type="dxa"/>
          </w:tcPr>
          <w:p w14:paraId="6D554C86" w14:textId="77777777" w:rsidR="008B7592" w:rsidRPr="00920145" w:rsidRDefault="008B7592" w:rsidP="00A23201">
            <w:pPr>
              <w:spacing w:after="120" w:line="360" w:lineRule="auto"/>
              <w:rPr>
                <w:rFonts w:ascii="Verdana" w:hAnsi="Verdana"/>
                <w:sz w:val="20"/>
                <w:szCs w:val="18"/>
              </w:rPr>
            </w:pPr>
            <w:r w:rsidRPr="00920145">
              <w:rPr>
                <w:rFonts w:ascii="Verdana" w:hAnsi="Verdana"/>
                <w:sz w:val="20"/>
                <w:szCs w:val="18"/>
              </w:rPr>
              <w:lastRenderedPageBreak/>
              <w:t>Wysokość statycznych ograniczeń wahań kursów</w:t>
            </w:r>
          </w:p>
        </w:tc>
        <w:tc>
          <w:tcPr>
            <w:tcW w:w="4394" w:type="dxa"/>
          </w:tcPr>
          <w:p w14:paraId="7C65A38B" w14:textId="77777777" w:rsidR="008B7592" w:rsidRPr="00920145" w:rsidRDefault="008B7592" w:rsidP="00876816">
            <w:pPr>
              <w:numPr>
                <w:ilvl w:val="0"/>
                <w:numId w:val="44"/>
              </w:numPr>
              <w:spacing w:after="120" w:line="360" w:lineRule="auto"/>
              <w:jc w:val="both"/>
              <w:rPr>
                <w:rFonts w:ascii="Verdana" w:hAnsi="Verdana"/>
                <w:sz w:val="20"/>
                <w:szCs w:val="18"/>
              </w:rPr>
            </w:pPr>
            <w:r w:rsidRPr="00920145">
              <w:rPr>
                <w:rFonts w:ascii="Verdana" w:hAnsi="Verdana"/>
                <w:sz w:val="20"/>
                <w:szCs w:val="18"/>
              </w:rPr>
              <w:t xml:space="preserve">30,00% od kursu odniesienia - przy kursie odniesienia 0,0100 - 0,0999 jednostki waluty notowania   </w:t>
            </w:r>
          </w:p>
          <w:p w14:paraId="623FF6DE" w14:textId="77777777" w:rsidR="008B7592" w:rsidRPr="00920145" w:rsidRDefault="008B7592" w:rsidP="00876816">
            <w:pPr>
              <w:numPr>
                <w:ilvl w:val="0"/>
                <w:numId w:val="44"/>
              </w:numPr>
              <w:spacing w:after="120" w:line="360" w:lineRule="auto"/>
              <w:jc w:val="both"/>
              <w:rPr>
                <w:rFonts w:ascii="Verdana" w:hAnsi="Verdana"/>
                <w:sz w:val="20"/>
                <w:szCs w:val="18"/>
              </w:rPr>
            </w:pPr>
            <w:r w:rsidRPr="00920145">
              <w:rPr>
                <w:rFonts w:ascii="Verdana" w:hAnsi="Verdana"/>
                <w:sz w:val="20"/>
                <w:szCs w:val="18"/>
              </w:rPr>
              <w:t xml:space="preserve">15,00% od kursu odniesienia - przy kursie odniesienia 0,1000 - 0,1999 jednostki waluty notowania   </w:t>
            </w:r>
          </w:p>
          <w:p w14:paraId="4AEE87BA" w14:textId="77777777" w:rsidR="008B7592" w:rsidRPr="00920145" w:rsidRDefault="008B7592" w:rsidP="00876816">
            <w:pPr>
              <w:numPr>
                <w:ilvl w:val="0"/>
                <w:numId w:val="44"/>
              </w:numPr>
              <w:spacing w:after="120" w:line="360" w:lineRule="auto"/>
              <w:jc w:val="both"/>
              <w:rPr>
                <w:rFonts w:ascii="Verdana" w:hAnsi="Verdana"/>
                <w:sz w:val="20"/>
                <w:szCs w:val="18"/>
              </w:rPr>
            </w:pPr>
            <w:r w:rsidRPr="00920145">
              <w:rPr>
                <w:rFonts w:ascii="Verdana" w:hAnsi="Verdana"/>
                <w:sz w:val="20"/>
                <w:szCs w:val="18"/>
              </w:rPr>
              <w:t xml:space="preserve">10,00% od kursu odniesienia - przy kursie odniesienia 0,2000 jednostki waluty notowania lub wyższym  </w:t>
            </w:r>
          </w:p>
        </w:tc>
      </w:tr>
      <w:tr w:rsidR="008B7592" w:rsidRPr="00920145" w14:paraId="257234B2" w14:textId="77777777" w:rsidTr="002D5BBE">
        <w:tc>
          <w:tcPr>
            <w:tcW w:w="3402" w:type="dxa"/>
          </w:tcPr>
          <w:p w14:paraId="2C819F9F" w14:textId="77777777" w:rsidR="008B7592" w:rsidRPr="00920145" w:rsidRDefault="008B7592" w:rsidP="00A23201">
            <w:pPr>
              <w:spacing w:after="120" w:line="360" w:lineRule="auto"/>
              <w:rPr>
                <w:rFonts w:ascii="Verdana" w:hAnsi="Verdana"/>
                <w:sz w:val="20"/>
                <w:szCs w:val="18"/>
              </w:rPr>
            </w:pPr>
            <w:r w:rsidRPr="00920145">
              <w:rPr>
                <w:rFonts w:ascii="Verdana" w:hAnsi="Verdana"/>
                <w:sz w:val="20"/>
                <w:szCs w:val="18"/>
              </w:rPr>
              <w:t xml:space="preserve">Wysokość dynamicznych ograniczeń wahań kursów </w:t>
            </w:r>
          </w:p>
        </w:tc>
        <w:tc>
          <w:tcPr>
            <w:tcW w:w="4394" w:type="dxa"/>
          </w:tcPr>
          <w:p w14:paraId="03D55076" w14:textId="77777777" w:rsidR="008B7592" w:rsidRPr="00920145" w:rsidRDefault="008B7592" w:rsidP="00876816">
            <w:pPr>
              <w:numPr>
                <w:ilvl w:val="0"/>
                <w:numId w:val="45"/>
              </w:numPr>
              <w:spacing w:after="120" w:line="360" w:lineRule="auto"/>
              <w:jc w:val="both"/>
              <w:rPr>
                <w:rFonts w:ascii="Verdana" w:hAnsi="Verdana"/>
                <w:sz w:val="20"/>
                <w:szCs w:val="18"/>
              </w:rPr>
            </w:pPr>
            <w:r w:rsidRPr="00920145">
              <w:rPr>
                <w:rFonts w:ascii="Verdana" w:hAnsi="Verdana"/>
                <w:sz w:val="20"/>
                <w:szCs w:val="18"/>
              </w:rPr>
              <w:t xml:space="preserve">9,00% od kursu odniesienia - przy kursie odniesienia 0,0100 - 0,1999 jednostki waluty notowania    </w:t>
            </w:r>
          </w:p>
          <w:p w14:paraId="297C6D1A" w14:textId="77777777" w:rsidR="008B7592" w:rsidRPr="00920145" w:rsidRDefault="008B7592" w:rsidP="00876816">
            <w:pPr>
              <w:numPr>
                <w:ilvl w:val="0"/>
                <w:numId w:val="45"/>
              </w:numPr>
              <w:spacing w:after="120" w:line="360" w:lineRule="auto"/>
              <w:jc w:val="both"/>
              <w:rPr>
                <w:rFonts w:ascii="Verdana" w:hAnsi="Verdana"/>
                <w:sz w:val="20"/>
                <w:szCs w:val="18"/>
              </w:rPr>
            </w:pPr>
            <w:r w:rsidRPr="00920145">
              <w:rPr>
                <w:rFonts w:ascii="Verdana" w:hAnsi="Verdana"/>
                <w:sz w:val="20"/>
                <w:szCs w:val="18"/>
              </w:rPr>
              <w:t xml:space="preserve">6,00% od kursu odniesienia - przy kursie odniesienia 0,2000 jednostki waluty notowania lub wyższym </w:t>
            </w:r>
          </w:p>
        </w:tc>
      </w:tr>
      <w:tr w:rsidR="008B7592" w:rsidRPr="00920145" w14:paraId="6D642505" w14:textId="77777777" w:rsidTr="002D5BBE">
        <w:tc>
          <w:tcPr>
            <w:tcW w:w="3402" w:type="dxa"/>
            <w:tcBorders>
              <w:top w:val="single" w:sz="4" w:space="0" w:color="auto"/>
              <w:left w:val="single" w:sz="4" w:space="0" w:color="auto"/>
              <w:bottom w:val="single" w:sz="4" w:space="0" w:color="auto"/>
              <w:right w:val="single" w:sz="4" w:space="0" w:color="auto"/>
            </w:tcBorders>
          </w:tcPr>
          <w:p w14:paraId="295C579F" w14:textId="77777777" w:rsidR="008B7592" w:rsidRPr="00920145" w:rsidRDefault="008B7592" w:rsidP="00A23201">
            <w:pPr>
              <w:spacing w:after="120" w:line="360" w:lineRule="auto"/>
              <w:rPr>
                <w:rFonts w:ascii="Verdana" w:hAnsi="Verdana"/>
                <w:sz w:val="20"/>
                <w:szCs w:val="18"/>
              </w:rPr>
            </w:pPr>
            <w:r w:rsidRPr="00920145">
              <w:rPr>
                <w:rFonts w:ascii="Verdana" w:hAnsi="Verdana"/>
                <w:sz w:val="20"/>
                <w:szCs w:val="18"/>
              </w:rPr>
              <w:t xml:space="preserve">Maksymalne wartości dla limitów cen w zleceniu maklerskim   </w:t>
            </w:r>
          </w:p>
        </w:tc>
        <w:tc>
          <w:tcPr>
            <w:tcW w:w="4394" w:type="dxa"/>
            <w:tcBorders>
              <w:top w:val="single" w:sz="4" w:space="0" w:color="auto"/>
              <w:left w:val="single" w:sz="4" w:space="0" w:color="auto"/>
              <w:bottom w:val="single" w:sz="4" w:space="0" w:color="auto"/>
              <w:right w:val="single" w:sz="4" w:space="0" w:color="auto"/>
            </w:tcBorders>
          </w:tcPr>
          <w:p w14:paraId="77F42CB5" w14:textId="77777777" w:rsidR="008B7592" w:rsidRPr="00920145" w:rsidRDefault="008B7592" w:rsidP="00A23201">
            <w:pPr>
              <w:spacing w:after="120" w:line="360" w:lineRule="auto"/>
              <w:rPr>
                <w:rFonts w:ascii="Verdana" w:hAnsi="Verdana"/>
                <w:sz w:val="20"/>
                <w:szCs w:val="18"/>
              </w:rPr>
            </w:pPr>
            <w:r w:rsidRPr="00920145">
              <w:rPr>
                <w:rFonts w:ascii="Verdana" w:hAnsi="Verdana"/>
                <w:sz w:val="20"/>
                <w:szCs w:val="18"/>
              </w:rPr>
              <w:t>50% względem kursu odniesienia dla statycznych ograniczeń wahań kursu</w:t>
            </w:r>
          </w:p>
        </w:tc>
      </w:tr>
      <w:tr w:rsidR="008B7592" w:rsidRPr="00920145" w14:paraId="44FCF7CA" w14:textId="77777777" w:rsidTr="002D5BBE">
        <w:trPr>
          <w:trHeight w:val="496"/>
        </w:trPr>
        <w:tc>
          <w:tcPr>
            <w:tcW w:w="3402" w:type="dxa"/>
            <w:tcBorders>
              <w:top w:val="single" w:sz="4" w:space="0" w:color="auto"/>
              <w:left w:val="single" w:sz="4" w:space="0" w:color="auto"/>
              <w:bottom w:val="single" w:sz="4" w:space="0" w:color="auto"/>
              <w:right w:val="single" w:sz="4" w:space="0" w:color="auto"/>
            </w:tcBorders>
          </w:tcPr>
          <w:p w14:paraId="35ED2807" w14:textId="77777777" w:rsidR="008B7592" w:rsidRPr="00920145" w:rsidRDefault="008B7592" w:rsidP="00A23201">
            <w:pPr>
              <w:spacing w:after="120" w:line="360" w:lineRule="auto"/>
              <w:rPr>
                <w:rFonts w:ascii="Verdana" w:hAnsi="Verdana"/>
                <w:sz w:val="20"/>
                <w:szCs w:val="18"/>
              </w:rPr>
            </w:pPr>
            <w:r w:rsidRPr="00920145">
              <w:rPr>
                <w:rFonts w:ascii="Verdana" w:hAnsi="Verdana"/>
                <w:sz w:val="20"/>
                <w:szCs w:val="18"/>
              </w:rPr>
              <w:t xml:space="preserve">Maksymalna wartość zlecenia maklerskiego    </w:t>
            </w:r>
          </w:p>
        </w:tc>
        <w:tc>
          <w:tcPr>
            <w:tcW w:w="4394" w:type="dxa"/>
            <w:tcBorders>
              <w:top w:val="single" w:sz="4" w:space="0" w:color="auto"/>
              <w:left w:val="single" w:sz="4" w:space="0" w:color="auto"/>
              <w:bottom w:val="single" w:sz="4" w:space="0" w:color="auto"/>
              <w:right w:val="single" w:sz="4" w:space="0" w:color="auto"/>
            </w:tcBorders>
          </w:tcPr>
          <w:p w14:paraId="66256E15" w14:textId="3DB0FDC0" w:rsidR="008B7592" w:rsidRPr="00920145" w:rsidRDefault="008B7592" w:rsidP="00A23201">
            <w:pPr>
              <w:spacing w:after="120" w:line="360" w:lineRule="auto"/>
              <w:rPr>
                <w:rFonts w:ascii="Verdana" w:hAnsi="Verdana"/>
                <w:sz w:val="20"/>
                <w:szCs w:val="18"/>
              </w:rPr>
            </w:pPr>
            <w:r w:rsidRPr="00920145">
              <w:rPr>
                <w:rFonts w:ascii="Verdana" w:hAnsi="Verdana"/>
                <w:sz w:val="20"/>
                <w:szCs w:val="18"/>
              </w:rPr>
              <w:t xml:space="preserve">10.000.000 jednostek waluty notowania  </w:t>
            </w:r>
          </w:p>
        </w:tc>
      </w:tr>
      <w:tr w:rsidR="008B7592" w:rsidRPr="00920145" w14:paraId="27097D3B" w14:textId="77777777" w:rsidTr="002D5BBE">
        <w:trPr>
          <w:trHeight w:val="496"/>
        </w:trPr>
        <w:tc>
          <w:tcPr>
            <w:tcW w:w="3402" w:type="dxa"/>
            <w:tcBorders>
              <w:top w:val="single" w:sz="4" w:space="0" w:color="auto"/>
              <w:left w:val="single" w:sz="4" w:space="0" w:color="auto"/>
              <w:bottom w:val="single" w:sz="4" w:space="0" w:color="auto"/>
              <w:right w:val="single" w:sz="4" w:space="0" w:color="auto"/>
            </w:tcBorders>
          </w:tcPr>
          <w:p w14:paraId="37BAEA42" w14:textId="77777777" w:rsidR="008B7592" w:rsidRPr="00920145" w:rsidRDefault="008B7592" w:rsidP="00A23201">
            <w:pPr>
              <w:spacing w:after="120" w:line="360" w:lineRule="auto"/>
              <w:rPr>
                <w:rFonts w:ascii="Verdana" w:hAnsi="Verdana"/>
                <w:sz w:val="20"/>
                <w:szCs w:val="18"/>
              </w:rPr>
            </w:pPr>
            <w:r w:rsidRPr="00920145">
              <w:rPr>
                <w:rFonts w:ascii="Verdana" w:hAnsi="Verdana"/>
                <w:sz w:val="20"/>
                <w:szCs w:val="18"/>
              </w:rPr>
              <w:t xml:space="preserve">Maksymalny wolumen zlecenia maklerskiego     </w:t>
            </w:r>
          </w:p>
        </w:tc>
        <w:tc>
          <w:tcPr>
            <w:tcW w:w="4394" w:type="dxa"/>
            <w:tcBorders>
              <w:top w:val="single" w:sz="4" w:space="0" w:color="auto"/>
              <w:left w:val="single" w:sz="4" w:space="0" w:color="auto"/>
              <w:bottom w:val="single" w:sz="4" w:space="0" w:color="auto"/>
              <w:right w:val="single" w:sz="4" w:space="0" w:color="auto"/>
            </w:tcBorders>
          </w:tcPr>
          <w:p w14:paraId="18B9B2B5" w14:textId="77777777" w:rsidR="008B7592" w:rsidRPr="00920145" w:rsidRDefault="008B7592" w:rsidP="00A23201">
            <w:pPr>
              <w:spacing w:after="120" w:line="360" w:lineRule="auto"/>
              <w:jc w:val="both"/>
              <w:rPr>
                <w:rFonts w:ascii="Verdana" w:hAnsi="Verdana"/>
                <w:sz w:val="20"/>
                <w:szCs w:val="18"/>
              </w:rPr>
            </w:pPr>
            <w:r w:rsidRPr="00920145">
              <w:rPr>
                <w:rFonts w:ascii="Verdana" w:hAnsi="Verdana"/>
                <w:sz w:val="20"/>
                <w:szCs w:val="18"/>
              </w:rPr>
              <w:t>2% instrumentów finansowych wprowadzonych do obrotu giełdowego i oznaczonych tym samym kodem ISIN, a w przypadku gdy 2% tych instrumentów stanowi mniej niż 1.000.000 instrumentów – nie więcej niż 1.000.000 instrumentów</w:t>
            </w:r>
          </w:p>
        </w:tc>
      </w:tr>
      <w:tr w:rsidR="008B7592" w:rsidRPr="00920145" w14:paraId="7ED3C5C0" w14:textId="77777777" w:rsidTr="002D5BBE">
        <w:trPr>
          <w:trHeight w:val="496"/>
        </w:trPr>
        <w:tc>
          <w:tcPr>
            <w:tcW w:w="3402" w:type="dxa"/>
            <w:tcBorders>
              <w:top w:val="single" w:sz="4" w:space="0" w:color="auto"/>
              <w:left w:val="single" w:sz="4" w:space="0" w:color="auto"/>
              <w:bottom w:val="single" w:sz="4" w:space="0" w:color="auto"/>
              <w:right w:val="single" w:sz="4" w:space="0" w:color="auto"/>
            </w:tcBorders>
          </w:tcPr>
          <w:p w14:paraId="3216121B" w14:textId="77777777" w:rsidR="008B7592" w:rsidRPr="00920145" w:rsidRDefault="008B7592" w:rsidP="00A23201">
            <w:pPr>
              <w:spacing w:after="120" w:line="360" w:lineRule="auto"/>
              <w:rPr>
                <w:rFonts w:ascii="Verdana" w:hAnsi="Verdana"/>
                <w:sz w:val="20"/>
                <w:szCs w:val="18"/>
              </w:rPr>
            </w:pPr>
            <w:r w:rsidRPr="00920145">
              <w:rPr>
                <w:rFonts w:ascii="Verdana" w:hAnsi="Verdana"/>
                <w:sz w:val="20"/>
                <w:szCs w:val="18"/>
              </w:rPr>
              <w:t>Równoważenie podstawowe dla statycznych ograniczeń wahań kursów</w:t>
            </w:r>
          </w:p>
        </w:tc>
        <w:tc>
          <w:tcPr>
            <w:tcW w:w="4394" w:type="dxa"/>
            <w:tcBorders>
              <w:top w:val="single" w:sz="4" w:space="0" w:color="auto"/>
              <w:left w:val="single" w:sz="4" w:space="0" w:color="auto"/>
              <w:bottom w:val="single" w:sz="4" w:space="0" w:color="auto"/>
              <w:right w:val="single" w:sz="4" w:space="0" w:color="auto"/>
            </w:tcBorders>
          </w:tcPr>
          <w:p w14:paraId="13C16F33" w14:textId="77777777" w:rsidR="008B7592" w:rsidRPr="00920145" w:rsidRDefault="008B7592" w:rsidP="00A23201">
            <w:pPr>
              <w:spacing w:after="120" w:line="360" w:lineRule="auto"/>
              <w:rPr>
                <w:rFonts w:ascii="Verdana" w:hAnsi="Verdana"/>
                <w:sz w:val="20"/>
                <w:szCs w:val="18"/>
              </w:rPr>
            </w:pPr>
            <w:r w:rsidRPr="00920145">
              <w:rPr>
                <w:rFonts w:ascii="Verdana" w:hAnsi="Verdana"/>
                <w:sz w:val="20"/>
                <w:szCs w:val="18"/>
              </w:rPr>
              <w:t>Tak</w:t>
            </w:r>
          </w:p>
        </w:tc>
      </w:tr>
      <w:tr w:rsidR="008B7592" w:rsidRPr="00920145" w14:paraId="452A12E1" w14:textId="77777777" w:rsidTr="002D5BBE">
        <w:trPr>
          <w:trHeight w:val="496"/>
        </w:trPr>
        <w:tc>
          <w:tcPr>
            <w:tcW w:w="3402" w:type="dxa"/>
            <w:tcBorders>
              <w:top w:val="single" w:sz="4" w:space="0" w:color="auto"/>
              <w:left w:val="single" w:sz="4" w:space="0" w:color="auto"/>
              <w:bottom w:val="single" w:sz="4" w:space="0" w:color="auto"/>
              <w:right w:val="single" w:sz="4" w:space="0" w:color="auto"/>
            </w:tcBorders>
          </w:tcPr>
          <w:p w14:paraId="1D5648DE" w14:textId="77777777" w:rsidR="008B7592" w:rsidRPr="00920145" w:rsidRDefault="008B7592" w:rsidP="00A23201">
            <w:pPr>
              <w:spacing w:after="120" w:line="360" w:lineRule="auto"/>
              <w:rPr>
                <w:rFonts w:ascii="Verdana" w:hAnsi="Verdana"/>
                <w:sz w:val="20"/>
                <w:szCs w:val="18"/>
              </w:rPr>
            </w:pPr>
            <w:r w:rsidRPr="00920145">
              <w:rPr>
                <w:rFonts w:ascii="Verdana" w:hAnsi="Verdana"/>
                <w:sz w:val="20"/>
                <w:szCs w:val="18"/>
              </w:rPr>
              <w:t>Czas trwania równoważenia podstawowego dla statycznych ograniczeń wahań kursów</w:t>
            </w:r>
          </w:p>
        </w:tc>
        <w:tc>
          <w:tcPr>
            <w:tcW w:w="4394" w:type="dxa"/>
            <w:tcBorders>
              <w:top w:val="single" w:sz="4" w:space="0" w:color="auto"/>
              <w:left w:val="single" w:sz="4" w:space="0" w:color="auto"/>
              <w:bottom w:val="single" w:sz="4" w:space="0" w:color="auto"/>
              <w:right w:val="single" w:sz="4" w:space="0" w:color="auto"/>
            </w:tcBorders>
          </w:tcPr>
          <w:p w14:paraId="123638B4" w14:textId="77777777" w:rsidR="008B7592" w:rsidRPr="00920145" w:rsidRDefault="008B7592" w:rsidP="00A23201">
            <w:pPr>
              <w:spacing w:after="120" w:line="360" w:lineRule="auto"/>
              <w:rPr>
                <w:rFonts w:ascii="Verdana" w:hAnsi="Verdana"/>
                <w:sz w:val="20"/>
                <w:szCs w:val="18"/>
              </w:rPr>
            </w:pPr>
            <w:r w:rsidRPr="00920145">
              <w:rPr>
                <w:rFonts w:ascii="Verdana" w:hAnsi="Verdana"/>
                <w:sz w:val="20"/>
                <w:szCs w:val="18"/>
              </w:rPr>
              <w:t>300 sekund</w:t>
            </w:r>
          </w:p>
        </w:tc>
      </w:tr>
      <w:tr w:rsidR="008B7592" w:rsidRPr="00920145" w14:paraId="578559DA" w14:textId="77777777" w:rsidTr="002D5BBE">
        <w:trPr>
          <w:trHeight w:val="496"/>
        </w:trPr>
        <w:tc>
          <w:tcPr>
            <w:tcW w:w="3402" w:type="dxa"/>
            <w:tcBorders>
              <w:top w:val="single" w:sz="4" w:space="0" w:color="auto"/>
              <w:left w:val="single" w:sz="4" w:space="0" w:color="auto"/>
              <w:bottom w:val="single" w:sz="4" w:space="0" w:color="auto"/>
              <w:right w:val="single" w:sz="4" w:space="0" w:color="auto"/>
            </w:tcBorders>
          </w:tcPr>
          <w:p w14:paraId="7A231222" w14:textId="77777777" w:rsidR="008B7592" w:rsidRPr="00920145" w:rsidRDefault="008B7592" w:rsidP="00A23201">
            <w:pPr>
              <w:spacing w:after="120" w:line="360" w:lineRule="auto"/>
              <w:rPr>
                <w:rFonts w:ascii="Verdana" w:hAnsi="Verdana"/>
                <w:sz w:val="20"/>
                <w:szCs w:val="18"/>
              </w:rPr>
            </w:pPr>
            <w:r w:rsidRPr="00920145">
              <w:rPr>
                <w:rFonts w:ascii="Verdana" w:hAnsi="Verdana"/>
                <w:sz w:val="20"/>
                <w:szCs w:val="18"/>
              </w:rPr>
              <w:lastRenderedPageBreak/>
              <w:t>Współczynnik przesunięcia kursu odniesienia dla równoważenia w fazie aukcji otwarcia</w:t>
            </w:r>
          </w:p>
        </w:tc>
        <w:tc>
          <w:tcPr>
            <w:tcW w:w="4394" w:type="dxa"/>
            <w:tcBorders>
              <w:top w:val="single" w:sz="4" w:space="0" w:color="auto"/>
              <w:left w:val="single" w:sz="4" w:space="0" w:color="auto"/>
              <w:bottom w:val="single" w:sz="4" w:space="0" w:color="auto"/>
              <w:right w:val="single" w:sz="4" w:space="0" w:color="auto"/>
            </w:tcBorders>
          </w:tcPr>
          <w:p w14:paraId="2E7B9EBC" w14:textId="77777777" w:rsidR="008B7592" w:rsidRPr="00920145" w:rsidRDefault="008B7592" w:rsidP="00A23201">
            <w:pPr>
              <w:spacing w:after="120" w:line="360" w:lineRule="auto"/>
              <w:rPr>
                <w:rFonts w:ascii="Verdana" w:hAnsi="Verdana"/>
                <w:sz w:val="20"/>
                <w:szCs w:val="18"/>
              </w:rPr>
            </w:pPr>
            <w:r w:rsidRPr="00920145">
              <w:rPr>
                <w:rFonts w:ascii="Verdana" w:hAnsi="Verdana"/>
                <w:sz w:val="20"/>
                <w:szCs w:val="18"/>
              </w:rPr>
              <w:t>1</w:t>
            </w:r>
          </w:p>
        </w:tc>
      </w:tr>
      <w:tr w:rsidR="008B7592" w:rsidRPr="00920145" w14:paraId="68603ECE" w14:textId="77777777" w:rsidTr="002D5BBE">
        <w:trPr>
          <w:trHeight w:val="496"/>
        </w:trPr>
        <w:tc>
          <w:tcPr>
            <w:tcW w:w="3402" w:type="dxa"/>
            <w:tcBorders>
              <w:top w:val="single" w:sz="4" w:space="0" w:color="auto"/>
              <w:left w:val="single" w:sz="4" w:space="0" w:color="auto"/>
              <w:bottom w:val="single" w:sz="4" w:space="0" w:color="auto"/>
              <w:right w:val="single" w:sz="4" w:space="0" w:color="auto"/>
            </w:tcBorders>
          </w:tcPr>
          <w:p w14:paraId="31D4EBF2" w14:textId="77777777" w:rsidR="008B7592" w:rsidRPr="00920145" w:rsidRDefault="008B7592" w:rsidP="00A23201">
            <w:pPr>
              <w:spacing w:after="120" w:line="360" w:lineRule="auto"/>
              <w:rPr>
                <w:rFonts w:ascii="Verdana" w:hAnsi="Verdana"/>
                <w:sz w:val="20"/>
                <w:szCs w:val="18"/>
              </w:rPr>
            </w:pPr>
            <w:r w:rsidRPr="00920145">
              <w:rPr>
                <w:rFonts w:ascii="Verdana" w:hAnsi="Verdana"/>
                <w:sz w:val="20"/>
                <w:szCs w:val="18"/>
              </w:rPr>
              <w:t>Współczynnik przesunięcia kursu odniesienia dla równoważenia w fazach innych niż faza aukcji otwarcia</w:t>
            </w:r>
          </w:p>
        </w:tc>
        <w:tc>
          <w:tcPr>
            <w:tcW w:w="4394" w:type="dxa"/>
            <w:tcBorders>
              <w:top w:val="single" w:sz="4" w:space="0" w:color="auto"/>
              <w:left w:val="single" w:sz="4" w:space="0" w:color="auto"/>
              <w:bottom w:val="single" w:sz="4" w:space="0" w:color="auto"/>
              <w:right w:val="single" w:sz="4" w:space="0" w:color="auto"/>
            </w:tcBorders>
          </w:tcPr>
          <w:p w14:paraId="506C5E08" w14:textId="77777777" w:rsidR="008B7592" w:rsidRPr="00920145" w:rsidRDefault="008B7592" w:rsidP="00A23201">
            <w:pPr>
              <w:spacing w:after="120" w:line="360" w:lineRule="auto"/>
              <w:rPr>
                <w:rFonts w:ascii="Verdana" w:hAnsi="Verdana"/>
                <w:sz w:val="20"/>
                <w:szCs w:val="18"/>
              </w:rPr>
            </w:pPr>
            <w:r w:rsidRPr="00920145">
              <w:rPr>
                <w:rFonts w:ascii="Verdana" w:hAnsi="Verdana"/>
                <w:sz w:val="20"/>
                <w:szCs w:val="18"/>
              </w:rPr>
              <w:t>0,5</w:t>
            </w:r>
          </w:p>
        </w:tc>
      </w:tr>
      <w:tr w:rsidR="008B7592" w:rsidRPr="00920145" w14:paraId="621EE1F9" w14:textId="77777777" w:rsidTr="002D5BBE">
        <w:trPr>
          <w:trHeight w:val="496"/>
        </w:trPr>
        <w:tc>
          <w:tcPr>
            <w:tcW w:w="3402" w:type="dxa"/>
            <w:tcBorders>
              <w:top w:val="single" w:sz="4" w:space="0" w:color="auto"/>
              <w:left w:val="single" w:sz="4" w:space="0" w:color="auto"/>
              <w:bottom w:val="single" w:sz="4" w:space="0" w:color="auto"/>
              <w:right w:val="single" w:sz="4" w:space="0" w:color="auto"/>
            </w:tcBorders>
          </w:tcPr>
          <w:p w14:paraId="4F56663D" w14:textId="77777777" w:rsidR="008B7592" w:rsidRPr="00920145" w:rsidRDefault="008B7592" w:rsidP="00A23201">
            <w:pPr>
              <w:spacing w:after="120" w:line="360" w:lineRule="auto"/>
              <w:rPr>
                <w:rFonts w:ascii="Verdana" w:hAnsi="Verdana"/>
                <w:sz w:val="20"/>
                <w:szCs w:val="18"/>
              </w:rPr>
            </w:pPr>
            <w:r w:rsidRPr="00920145">
              <w:rPr>
                <w:rFonts w:ascii="Verdana" w:hAnsi="Verdana"/>
                <w:sz w:val="20"/>
                <w:szCs w:val="18"/>
              </w:rPr>
              <w:t>Współczynnik maksymalnej liczby zmian netto statycznych ograniczeń wahań kursów</w:t>
            </w:r>
          </w:p>
        </w:tc>
        <w:tc>
          <w:tcPr>
            <w:tcW w:w="4394" w:type="dxa"/>
            <w:tcBorders>
              <w:top w:val="single" w:sz="4" w:space="0" w:color="auto"/>
              <w:left w:val="single" w:sz="4" w:space="0" w:color="auto"/>
              <w:bottom w:val="single" w:sz="4" w:space="0" w:color="auto"/>
              <w:right w:val="single" w:sz="4" w:space="0" w:color="auto"/>
            </w:tcBorders>
          </w:tcPr>
          <w:p w14:paraId="409D003C" w14:textId="77777777" w:rsidR="008B7592" w:rsidRPr="00920145" w:rsidRDefault="008B7592" w:rsidP="00A23201">
            <w:pPr>
              <w:spacing w:after="120" w:line="360" w:lineRule="auto"/>
              <w:rPr>
                <w:rFonts w:ascii="Verdana" w:hAnsi="Verdana"/>
                <w:sz w:val="20"/>
                <w:szCs w:val="18"/>
              </w:rPr>
            </w:pPr>
            <w:r w:rsidRPr="00920145">
              <w:rPr>
                <w:rFonts w:ascii="Verdana" w:hAnsi="Verdana"/>
                <w:sz w:val="20"/>
                <w:szCs w:val="18"/>
              </w:rPr>
              <w:t>2</w:t>
            </w:r>
          </w:p>
        </w:tc>
      </w:tr>
      <w:tr w:rsidR="008B7592" w:rsidRPr="00920145" w14:paraId="7FBB05C3" w14:textId="77777777" w:rsidTr="002D5BBE">
        <w:trPr>
          <w:trHeight w:val="496"/>
        </w:trPr>
        <w:tc>
          <w:tcPr>
            <w:tcW w:w="3402" w:type="dxa"/>
            <w:tcBorders>
              <w:top w:val="single" w:sz="4" w:space="0" w:color="auto"/>
              <w:left w:val="single" w:sz="4" w:space="0" w:color="auto"/>
              <w:bottom w:val="single" w:sz="4" w:space="0" w:color="auto"/>
              <w:right w:val="single" w:sz="4" w:space="0" w:color="auto"/>
            </w:tcBorders>
          </w:tcPr>
          <w:p w14:paraId="55D0080A" w14:textId="77777777" w:rsidR="008B7592" w:rsidRPr="00920145" w:rsidRDefault="008B7592" w:rsidP="00A23201">
            <w:pPr>
              <w:spacing w:after="120" w:line="360" w:lineRule="auto"/>
              <w:rPr>
                <w:rFonts w:ascii="Verdana" w:hAnsi="Verdana"/>
                <w:sz w:val="20"/>
                <w:szCs w:val="18"/>
              </w:rPr>
            </w:pPr>
            <w:r w:rsidRPr="00920145">
              <w:rPr>
                <w:rFonts w:ascii="Verdana" w:hAnsi="Verdana"/>
                <w:sz w:val="20"/>
                <w:szCs w:val="18"/>
              </w:rPr>
              <w:t>Czas trwania równoważenia podstawowego dla dynamicznych ograniczeń wahań kursów</w:t>
            </w:r>
          </w:p>
        </w:tc>
        <w:tc>
          <w:tcPr>
            <w:tcW w:w="4394" w:type="dxa"/>
            <w:tcBorders>
              <w:top w:val="single" w:sz="4" w:space="0" w:color="auto"/>
              <w:left w:val="single" w:sz="4" w:space="0" w:color="auto"/>
              <w:bottom w:val="single" w:sz="4" w:space="0" w:color="auto"/>
              <w:right w:val="single" w:sz="4" w:space="0" w:color="auto"/>
            </w:tcBorders>
          </w:tcPr>
          <w:p w14:paraId="28D147C4" w14:textId="77777777" w:rsidR="008B7592" w:rsidRPr="00920145" w:rsidRDefault="008B7592" w:rsidP="00A23201">
            <w:pPr>
              <w:spacing w:after="120" w:line="360" w:lineRule="auto"/>
              <w:rPr>
                <w:rFonts w:ascii="Verdana" w:hAnsi="Verdana"/>
                <w:sz w:val="20"/>
                <w:szCs w:val="18"/>
              </w:rPr>
            </w:pPr>
            <w:r w:rsidRPr="00920145">
              <w:rPr>
                <w:rFonts w:ascii="Verdana" w:hAnsi="Verdana"/>
                <w:sz w:val="20"/>
                <w:szCs w:val="18"/>
              </w:rPr>
              <w:t>60 sekund</w:t>
            </w:r>
          </w:p>
        </w:tc>
      </w:tr>
      <w:tr w:rsidR="008B7592" w:rsidRPr="00920145" w14:paraId="14EBFC5A" w14:textId="77777777" w:rsidTr="002D5BBE">
        <w:trPr>
          <w:trHeight w:val="496"/>
        </w:trPr>
        <w:tc>
          <w:tcPr>
            <w:tcW w:w="3402" w:type="dxa"/>
            <w:tcBorders>
              <w:top w:val="single" w:sz="4" w:space="0" w:color="auto"/>
              <w:left w:val="single" w:sz="4" w:space="0" w:color="auto"/>
              <w:bottom w:val="single" w:sz="4" w:space="0" w:color="auto"/>
              <w:right w:val="single" w:sz="4" w:space="0" w:color="auto"/>
            </w:tcBorders>
          </w:tcPr>
          <w:p w14:paraId="44D908B2" w14:textId="77777777" w:rsidR="008B7592" w:rsidRPr="00920145" w:rsidRDefault="008B7592" w:rsidP="00A23201">
            <w:pPr>
              <w:spacing w:after="120" w:line="360" w:lineRule="auto"/>
              <w:rPr>
                <w:rFonts w:ascii="Verdana" w:hAnsi="Verdana"/>
                <w:sz w:val="20"/>
                <w:szCs w:val="18"/>
              </w:rPr>
            </w:pPr>
            <w:r w:rsidRPr="00920145">
              <w:rPr>
                <w:rFonts w:ascii="Verdana" w:hAnsi="Verdana"/>
                <w:sz w:val="20"/>
                <w:szCs w:val="18"/>
              </w:rPr>
              <w:t>Współczynnik rozszerzenia dla równoważenia w fazie aukcji otwarcia</w:t>
            </w:r>
          </w:p>
        </w:tc>
        <w:tc>
          <w:tcPr>
            <w:tcW w:w="4394" w:type="dxa"/>
            <w:tcBorders>
              <w:top w:val="single" w:sz="4" w:space="0" w:color="auto"/>
              <w:left w:val="single" w:sz="4" w:space="0" w:color="auto"/>
              <w:bottom w:val="single" w:sz="4" w:space="0" w:color="auto"/>
              <w:right w:val="single" w:sz="4" w:space="0" w:color="auto"/>
            </w:tcBorders>
          </w:tcPr>
          <w:p w14:paraId="552F5C12" w14:textId="77777777" w:rsidR="008B7592" w:rsidRPr="00920145" w:rsidRDefault="008B7592" w:rsidP="00A23201">
            <w:pPr>
              <w:spacing w:after="120" w:line="360" w:lineRule="auto"/>
              <w:rPr>
                <w:rFonts w:ascii="Verdana" w:hAnsi="Verdana"/>
                <w:sz w:val="20"/>
                <w:szCs w:val="18"/>
              </w:rPr>
            </w:pPr>
            <w:r w:rsidRPr="00920145">
              <w:rPr>
                <w:rFonts w:ascii="Verdana" w:hAnsi="Verdana"/>
                <w:sz w:val="20"/>
                <w:szCs w:val="18"/>
              </w:rPr>
              <w:t>3,0</w:t>
            </w:r>
          </w:p>
        </w:tc>
      </w:tr>
      <w:tr w:rsidR="008B7592" w:rsidRPr="00920145" w14:paraId="0B94783F" w14:textId="77777777" w:rsidTr="002D5BBE">
        <w:trPr>
          <w:trHeight w:val="496"/>
        </w:trPr>
        <w:tc>
          <w:tcPr>
            <w:tcW w:w="3402" w:type="dxa"/>
            <w:tcBorders>
              <w:top w:val="single" w:sz="4" w:space="0" w:color="auto"/>
              <w:left w:val="single" w:sz="4" w:space="0" w:color="auto"/>
              <w:bottom w:val="single" w:sz="4" w:space="0" w:color="auto"/>
              <w:right w:val="single" w:sz="4" w:space="0" w:color="auto"/>
            </w:tcBorders>
          </w:tcPr>
          <w:p w14:paraId="3C3CCC0E" w14:textId="77777777" w:rsidR="008B7592" w:rsidRPr="00920145" w:rsidRDefault="008B7592" w:rsidP="00A23201">
            <w:pPr>
              <w:spacing w:after="120" w:line="360" w:lineRule="auto"/>
              <w:rPr>
                <w:rFonts w:ascii="Verdana" w:hAnsi="Verdana"/>
                <w:sz w:val="20"/>
                <w:szCs w:val="18"/>
              </w:rPr>
            </w:pPr>
            <w:r w:rsidRPr="00920145">
              <w:rPr>
                <w:rFonts w:ascii="Verdana" w:hAnsi="Verdana"/>
                <w:sz w:val="20"/>
                <w:szCs w:val="18"/>
              </w:rPr>
              <w:t>Współczynnik rozszerzenia dla równoważenia w fazach innych niż faza aukcji otwarcia</w:t>
            </w:r>
          </w:p>
        </w:tc>
        <w:tc>
          <w:tcPr>
            <w:tcW w:w="4394" w:type="dxa"/>
            <w:tcBorders>
              <w:top w:val="single" w:sz="4" w:space="0" w:color="auto"/>
              <w:left w:val="single" w:sz="4" w:space="0" w:color="auto"/>
              <w:bottom w:val="single" w:sz="4" w:space="0" w:color="auto"/>
              <w:right w:val="single" w:sz="4" w:space="0" w:color="auto"/>
            </w:tcBorders>
          </w:tcPr>
          <w:p w14:paraId="036D1A3E" w14:textId="77777777" w:rsidR="008B7592" w:rsidRPr="00920145" w:rsidRDefault="008B7592" w:rsidP="00A23201">
            <w:pPr>
              <w:spacing w:after="120" w:line="360" w:lineRule="auto"/>
              <w:rPr>
                <w:rFonts w:ascii="Verdana" w:hAnsi="Verdana"/>
                <w:sz w:val="20"/>
                <w:szCs w:val="18"/>
              </w:rPr>
            </w:pPr>
            <w:r w:rsidRPr="00920145">
              <w:rPr>
                <w:rFonts w:ascii="Verdana" w:hAnsi="Verdana"/>
                <w:sz w:val="20"/>
                <w:szCs w:val="18"/>
              </w:rPr>
              <w:t>2,0</w:t>
            </w:r>
          </w:p>
        </w:tc>
      </w:tr>
      <w:tr w:rsidR="008B7592" w:rsidRPr="00920145" w14:paraId="425DE1E8" w14:textId="77777777" w:rsidTr="002D5BBE">
        <w:trPr>
          <w:trHeight w:val="496"/>
        </w:trPr>
        <w:tc>
          <w:tcPr>
            <w:tcW w:w="3402" w:type="dxa"/>
            <w:tcBorders>
              <w:top w:val="single" w:sz="4" w:space="0" w:color="auto"/>
              <w:left w:val="single" w:sz="4" w:space="0" w:color="auto"/>
              <w:bottom w:val="single" w:sz="4" w:space="0" w:color="auto"/>
              <w:right w:val="single" w:sz="4" w:space="0" w:color="auto"/>
            </w:tcBorders>
          </w:tcPr>
          <w:p w14:paraId="59D5B372" w14:textId="77777777" w:rsidR="008B7592" w:rsidRPr="00920145" w:rsidRDefault="008B7592" w:rsidP="00A23201">
            <w:pPr>
              <w:spacing w:after="120" w:line="360" w:lineRule="auto"/>
              <w:rPr>
                <w:rFonts w:ascii="Verdana" w:hAnsi="Verdana"/>
                <w:sz w:val="20"/>
                <w:szCs w:val="18"/>
              </w:rPr>
            </w:pPr>
            <w:r w:rsidRPr="00920145">
              <w:rPr>
                <w:rFonts w:ascii="Verdana" w:hAnsi="Verdana"/>
                <w:sz w:val="20"/>
                <w:szCs w:val="18"/>
              </w:rPr>
              <w:t>Współczynnik maksymalnej liczby zmian netto dynamicznych ograniczeń wahań kursów</w:t>
            </w:r>
          </w:p>
        </w:tc>
        <w:tc>
          <w:tcPr>
            <w:tcW w:w="4394" w:type="dxa"/>
            <w:tcBorders>
              <w:top w:val="single" w:sz="4" w:space="0" w:color="auto"/>
              <w:left w:val="single" w:sz="4" w:space="0" w:color="auto"/>
              <w:bottom w:val="single" w:sz="4" w:space="0" w:color="auto"/>
              <w:right w:val="single" w:sz="4" w:space="0" w:color="auto"/>
            </w:tcBorders>
          </w:tcPr>
          <w:p w14:paraId="7651FCD8" w14:textId="77777777" w:rsidR="008B7592" w:rsidRPr="00920145" w:rsidRDefault="008B7592" w:rsidP="00A23201">
            <w:pPr>
              <w:spacing w:after="120" w:line="360" w:lineRule="auto"/>
              <w:rPr>
                <w:rFonts w:ascii="Verdana" w:hAnsi="Verdana"/>
                <w:sz w:val="20"/>
                <w:szCs w:val="18"/>
              </w:rPr>
            </w:pPr>
            <w:r w:rsidRPr="00920145">
              <w:rPr>
                <w:rFonts w:ascii="Verdana" w:hAnsi="Verdana"/>
                <w:sz w:val="20"/>
                <w:szCs w:val="18"/>
              </w:rPr>
              <w:t>20</w:t>
            </w:r>
          </w:p>
        </w:tc>
      </w:tr>
    </w:tbl>
    <w:p w14:paraId="090873FD" w14:textId="6CD9ED9F" w:rsidR="00FF0365" w:rsidRPr="00920145" w:rsidRDefault="00FF0365" w:rsidP="00A23201">
      <w:pPr>
        <w:spacing w:after="0" w:line="360" w:lineRule="auto"/>
        <w:ind w:left="360"/>
        <w:rPr>
          <w:szCs w:val="20"/>
        </w:rPr>
      </w:pPr>
    </w:p>
    <w:p w14:paraId="7F7DD2BC" w14:textId="77777777" w:rsidR="00950E6C" w:rsidRPr="00920145" w:rsidRDefault="00950E6C" w:rsidP="00A23201">
      <w:pPr>
        <w:spacing w:after="0" w:line="360" w:lineRule="auto"/>
        <w:ind w:left="360"/>
        <w:rPr>
          <w:szCs w:val="20"/>
        </w:rPr>
      </w:pPr>
    </w:p>
    <w:p w14:paraId="734A89B3" w14:textId="03745C4C" w:rsidR="00FF0365" w:rsidRPr="00920145" w:rsidRDefault="00752778" w:rsidP="008362AE">
      <w:pPr>
        <w:pStyle w:val="Nagwek3"/>
      </w:pPr>
      <w:r w:rsidRPr="00920145">
        <w:t xml:space="preserve"> w § </w:t>
      </w:r>
      <w:r w:rsidR="00C3337D" w:rsidRPr="00920145">
        <w:t xml:space="preserve">72 </w:t>
      </w:r>
      <w:r w:rsidRPr="00920145">
        <w:t>ust. 1 i 1a otrzymują brzmienie:</w:t>
      </w:r>
    </w:p>
    <w:p w14:paraId="128498B0" w14:textId="2DC538E7" w:rsidR="00752778" w:rsidRPr="00920145" w:rsidRDefault="00752778" w:rsidP="00A23201">
      <w:pPr>
        <w:pStyle w:val="Akapitzlist"/>
        <w:tabs>
          <w:tab w:val="left" w:pos="851"/>
        </w:tabs>
        <w:spacing w:after="120" w:line="360" w:lineRule="auto"/>
        <w:ind w:left="709"/>
        <w:contextualSpacing w:val="0"/>
        <w:jc w:val="both"/>
        <w:rPr>
          <w:rFonts w:ascii="Verdana" w:hAnsi="Verdana"/>
          <w:sz w:val="20"/>
          <w:szCs w:val="20"/>
        </w:rPr>
      </w:pPr>
      <w:r w:rsidRPr="00920145">
        <w:rPr>
          <w:rFonts w:ascii="Verdana" w:hAnsi="Verdana"/>
          <w:sz w:val="20"/>
          <w:szCs w:val="20"/>
        </w:rPr>
        <w:t>„1. Szczegółowe warunki obrotu dla akcji i praw do akcji w systemie kursu jednolitego, z zastrzeżeniem ust. 1a i 2:</w:t>
      </w:r>
    </w:p>
    <w:tbl>
      <w:tblPr>
        <w:tblW w:w="779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3"/>
        <w:gridCol w:w="4423"/>
      </w:tblGrid>
      <w:tr w:rsidR="00752778" w:rsidRPr="00920145" w14:paraId="2A6F5029" w14:textId="77777777" w:rsidTr="00752778">
        <w:tc>
          <w:tcPr>
            <w:tcW w:w="3373" w:type="dxa"/>
            <w:tcBorders>
              <w:top w:val="single" w:sz="4" w:space="0" w:color="auto"/>
              <w:left w:val="single" w:sz="4" w:space="0" w:color="auto"/>
              <w:bottom w:val="single" w:sz="4" w:space="0" w:color="auto"/>
              <w:right w:val="single" w:sz="4" w:space="0" w:color="auto"/>
            </w:tcBorders>
          </w:tcPr>
          <w:p w14:paraId="1D268EF7" w14:textId="77777777" w:rsidR="00752778" w:rsidRPr="00920145" w:rsidRDefault="00752778" w:rsidP="00A23201">
            <w:pPr>
              <w:spacing w:after="120" w:line="360" w:lineRule="auto"/>
              <w:rPr>
                <w:rFonts w:ascii="Verdana" w:hAnsi="Verdana"/>
                <w:sz w:val="20"/>
                <w:szCs w:val="20"/>
              </w:rPr>
            </w:pPr>
            <w:r w:rsidRPr="00920145">
              <w:rPr>
                <w:rFonts w:ascii="Verdana" w:hAnsi="Verdana"/>
                <w:sz w:val="20"/>
                <w:szCs w:val="20"/>
              </w:rPr>
              <w:t>Jednostka transakcyjna</w:t>
            </w:r>
          </w:p>
        </w:tc>
        <w:tc>
          <w:tcPr>
            <w:tcW w:w="4423" w:type="dxa"/>
            <w:tcBorders>
              <w:top w:val="single" w:sz="4" w:space="0" w:color="auto"/>
              <w:left w:val="single" w:sz="4" w:space="0" w:color="auto"/>
              <w:bottom w:val="single" w:sz="4" w:space="0" w:color="auto"/>
              <w:right w:val="single" w:sz="4" w:space="0" w:color="auto"/>
            </w:tcBorders>
          </w:tcPr>
          <w:p w14:paraId="6B475406" w14:textId="77777777" w:rsidR="00752778" w:rsidRPr="00920145" w:rsidRDefault="00752778" w:rsidP="00A23201">
            <w:pPr>
              <w:spacing w:after="120" w:line="360" w:lineRule="auto"/>
              <w:ind w:left="83" w:hanging="8"/>
              <w:rPr>
                <w:rFonts w:ascii="Verdana" w:hAnsi="Verdana"/>
                <w:sz w:val="20"/>
                <w:szCs w:val="20"/>
              </w:rPr>
            </w:pPr>
            <w:r w:rsidRPr="00920145">
              <w:rPr>
                <w:rFonts w:ascii="Verdana" w:hAnsi="Verdana"/>
                <w:sz w:val="20"/>
                <w:szCs w:val="20"/>
              </w:rPr>
              <w:t>jeden instrument, chyba że Zarząd Giełdy określi inną jednostkę transakcyjną</w:t>
            </w:r>
          </w:p>
        </w:tc>
      </w:tr>
      <w:tr w:rsidR="0042415E" w:rsidRPr="00920145" w14:paraId="73C0A180" w14:textId="77777777" w:rsidTr="00752778">
        <w:tc>
          <w:tcPr>
            <w:tcW w:w="3373" w:type="dxa"/>
            <w:tcBorders>
              <w:top w:val="single" w:sz="4" w:space="0" w:color="auto"/>
              <w:left w:val="single" w:sz="4" w:space="0" w:color="auto"/>
              <w:bottom w:val="single" w:sz="4" w:space="0" w:color="auto"/>
              <w:right w:val="single" w:sz="4" w:space="0" w:color="auto"/>
            </w:tcBorders>
          </w:tcPr>
          <w:p w14:paraId="4BBAA2C8" w14:textId="75078E6D" w:rsidR="0042415E" w:rsidRPr="00920145" w:rsidDel="0042415E" w:rsidRDefault="0042415E" w:rsidP="0042415E">
            <w:pPr>
              <w:spacing w:after="120" w:line="360" w:lineRule="auto"/>
              <w:rPr>
                <w:rFonts w:ascii="Verdana" w:hAnsi="Verdana"/>
                <w:sz w:val="20"/>
                <w:szCs w:val="20"/>
              </w:rPr>
            </w:pPr>
            <w:r w:rsidRPr="00920145">
              <w:rPr>
                <w:rFonts w:ascii="Verdana" w:hAnsi="Verdana"/>
                <w:sz w:val="20"/>
                <w:szCs w:val="20"/>
              </w:rPr>
              <w:lastRenderedPageBreak/>
              <w:t>Losowy czas otwarcia</w:t>
            </w:r>
            <w:r w:rsidRPr="00920145">
              <w:rPr>
                <w:rFonts w:ascii="Verdana" w:hAnsi="Verdana"/>
                <w:sz w:val="20"/>
                <w:szCs w:val="20"/>
              </w:rPr>
              <w:br/>
              <w:t>dla fazy aukcji otwarcia</w:t>
            </w:r>
          </w:p>
        </w:tc>
        <w:tc>
          <w:tcPr>
            <w:tcW w:w="4423" w:type="dxa"/>
            <w:tcBorders>
              <w:top w:val="single" w:sz="4" w:space="0" w:color="auto"/>
              <w:left w:val="single" w:sz="4" w:space="0" w:color="auto"/>
              <w:bottom w:val="single" w:sz="4" w:space="0" w:color="auto"/>
              <w:right w:val="single" w:sz="4" w:space="0" w:color="auto"/>
            </w:tcBorders>
          </w:tcPr>
          <w:p w14:paraId="5203B842" w14:textId="6C827CC4" w:rsidR="0042415E" w:rsidRPr="00920145" w:rsidDel="0042415E" w:rsidRDefault="00FF1DF0" w:rsidP="0042415E">
            <w:pPr>
              <w:spacing w:after="120" w:line="360" w:lineRule="auto"/>
              <w:ind w:left="83" w:hanging="8"/>
              <w:rPr>
                <w:rFonts w:ascii="Verdana" w:hAnsi="Verdana"/>
                <w:sz w:val="20"/>
                <w:szCs w:val="20"/>
              </w:rPr>
            </w:pPr>
            <w:r w:rsidRPr="00920145">
              <w:rPr>
                <w:rFonts w:ascii="Verdana" w:hAnsi="Verdana"/>
                <w:sz w:val="20"/>
                <w:szCs w:val="20"/>
              </w:rPr>
              <w:t>(</w:t>
            </w:r>
            <w:r w:rsidR="0042415E" w:rsidRPr="00920145">
              <w:rPr>
                <w:rFonts w:ascii="Verdana" w:hAnsi="Verdana"/>
                <w:sz w:val="20"/>
                <w:szCs w:val="20"/>
              </w:rPr>
              <w:t>+</w:t>
            </w:r>
            <w:r w:rsidRPr="00920145">
              <w:rPr>
                <w:rFonts w:ascii="Verdana" w:hAnsi="Verdana"/>
                <w:sz w:val="20"/>
                <w:szCs w:val="20"/>
              </w:rPr>
              <w:t>)</w:t>
            </w:r>
            <w:r w:rsidR="0042415E" w:rsidRPr="00920145">
              <w:rPr>
                <w:rFonts w:ascii="Verdana" w:hAnsi="Verdana"/>
                <w:sz w:val="20"/>
                <w:szCs w:val="20"/>
              </w:rPr>
              <w:t xml:space="preserve"> 0-30 sekund</w:t>
            </w:r>
          </w:p>
        </w:tc>
      </w:tr>
      <w:tr w:rsidR="00752778" w:rsidRPr="00920145" w14:paraId="7C9FB31B" w14:textId="77777777" w:rsidTr="00752778">
        <w:tc>
          <w:tcPr>
            <w:tcW w:w="3373" w:type="dxa"/>
          </w:tcPr>
          <w:p w14:paraId="39BD73D6" w14:textId="77777777" w:rsidR="00752778" w:rsidRPr="00920145" w:rsidRDefault="00752778" w:rsidP="00A23201">
            <w:pPr>
              <w:spacing w:after="120" w:line="360" w:lineRule="auto"/>
              <w:rPr>
                <w:rFonts w:ascii="Verdana" w:hAnsi="Verdana"/>
                <w:sz w:val="20"/>
                <w:szCs w:val="20"/>
              </w:rPr>
            </w:pPr>
            <w:r w:rsidRPr="00920145">
              <w:rPr>
                <w:rFonts w:ascii="Verdana" w:hAnsi="Verdana"/>
                <w:sz w:val="20"/>
                <w:szCs w:val="20"/>
              </w:rPr>
              <w:t>Wysokość statycznych ograniczeń wahań kursów</w:t>
            </w:r>
          </w:p>
        </w:tc>
        <w:tc>
          <w:tcPr>
            <w:tcW w:w="4423" w:type="dxa"/>
          </w:tcPr>
          <w:p w14:paraId="3411A7B8" w14:textId="77777777" w:rsidR="00752778" w:rsidRPr="00920145" w:rsidRDefault="00752778" w:rsidP="00876816">
            <w:pPr>
              <w:numPr>
                <w:ilvl w:val="0"/>
                <w:numId w:val="46"/>
              </w:numPr>
              <w:spacing w:after="120" w:line="360" w:lineRule="auto"/>
              <w:jc w:val="both"/>
              <w:rPr>
                <w:rFonts w:ascii="Verdana" w:hAnsi="Verdana"/>
                <w:sz w:val="20"/>
                <w:szCs w:val="20"/>
              </w:rPr>
            </w:pPr>
            <w:r w:rsidRPr="00920145">
              <w:rPr>
                <w:rFonts w:ascii="Verdana" w:hAnsi="Verdana"/>
                <w:sz w:val="20"/>
                <w:szCs w:val="20"/>
              </w:rPr>
              <w:t xml:space="preserve">30,00% od kursu odniesienia - przy kursie odniesienia 0,0100 - 0,0999 jednostki waluty notowania    </w:t>
            </w:r>
          </w:p>
          <w:p w14:paraId="245C028E" w14:textId="77777777" w:rsidR="00752778" w:rsidRPr="00920145" w:rsidRDefault="00752778" w:rsidP="00876816">
            <w:pPr>
              <w:numPr>
                <w:ilvl w:val="0"/>
                <w:numId w:val="46"/>
              </w:numPr>
              <w:spacing w:after="120" w:line="360" w:lineRule="auto"/>
              <w:jc w:val="both"/>
              <w:rPr>
                <w:rFonts w:ascii="Verdana" w:hAnsi="Verdana"/>
                <w:sz w:val="20"/>
                <w:szCs w:val="20"/>
              </w:rPr>
            </w:pPr>
            <w:r w:rsidRPr="00920145">
              <w:rPr>
                <w:rFonts w:ascii="Verdana" w:hAnsi="Verdana"/>
                <w:sz w:val="20"/>
                <w:szCs w:val="20"/>
              </w:rPr>
              <w:t xml:space="preserve">15,00% od kursu odniesienia - przy kursie odniesienia 0,1000 - 0,1999 jednostki waluty notowania   </w:t>
            </w:r>
          </w:p>
          <w:p w14:paraId="78DACAB6" w14:textId="77777777" w:rsidR="00752778" w:rsidRPr="00920145" w:rsidRDefault="00752778" w:rsidP="00876816">
            <w:pPr>
              <w:numPr>
                <w:ilvl w:val="0"/>
                <w:numId w:val="46"/>
              </w:numPr>
              <w:spacing w:after="120" w:line="360" w:lineRule="auto"/>
              <w:jc w:val="both"/>
              <w:rPr>
                <w:rFonts w:ascii="Verdana" w:hAnsi="Verdana"/>
                <w:sz w:val="20"/>
                <w:szCs w:val="20"/>
              </w:rPr>
            </w:pPr>
            <w:r w:rsidRPr="00920145">
              <w:rPr>
                <w:rFonts w:ascii="Verdana" w:hAnsi="Verdana"/>
                <w:sz w:val="20"/>
                <w:szCs w:val="20"/>
              </w:rPr>
              <w:t xml:space="preserve">10,00% od kursu odniesienia - przy kursie odniesienia 0,2000 jednostki waluty notowania lub wyższym  </w:t>
            </w:r>
          </w:p>
        </w:tc>
      </w:tr>
      <w:tr w:rsidR="00752778" w:rsidRPr="00920145" w14:paraId="2AB196E0" w14:textId="77777777" w:rsidTr="00752778">
        <w:tc>
          <w:tcPr>
            <w:tcW w:w="3373" w:type="dxa"/>
          </w:tcPr>
          <w:p w14:paraId="15A710EA" w14:textId="77777777" w:rsidR="00752778" w:rsidRPr="00920145" w:rsidRDefault="00752778" w:rsidP="00A23201">
            <w:pPr>
              <w:spacing w:after="120" w:line="360" w:lineRule="auto"/>
              <w:rPr>
                <w:rFonts w:ascii="Verdana" w:hAnsi="Verdana"/>
                <w:sz w:val="20"/>
                <w:szCs w:val="20"/>
              </w:rPr>
            </w:pPr>
            <w:r w:rsidRPr="00920145">
              <w:rPr>
                <w:rFonts w:ascii="Verdana" w:hAnsi="Verdana"/>
                <w:sz w:val="20"/>
                <w:szCs w:val="20"/>
              </w:rPr>
              <w:t xml:space="preserve">Maksymalne wartości dla limitów cen w zleceniu maklerskim    </w:t>
            </w:r>
          </w:p>
        </w:tc>
        <w:tc>
          <w:tcPr>
            <w:tcW w:w="4423" w:type="dxa"/>
          </w:tcPr>
          <w:p w14:paraId="5D97FC29" w14:textId="799B9517" w:rsidR="00752778" w:rsidRPr="00920145" w:rsidRDefault="00752778" w:rsidP="00A23201">
            <w:pPr>
              <w:spacing w:after="120" w:line="360" w:lineRule="auto"/>
              <w:rPr>
                <w:rFonts w:ascii="Verdana" w:hAnsi="Verdana"/>
                <w:sz w:val="20"/>
                <w:szCs w:val="20"/>
              </w:rPr>
            </w:pPr>
            <w:r w:rsidRPr="00920145">
              <w:rPr>
                <w:rFonts w:ascii="Verdana" w:hAnsi="Verdana"/>
                <w:sz w:val="20"/>
                <w:szCs w:val="20"/>
              </w:rPr>
              <w:t>50% względem kursu odniesienia dla statycznych ograniczeń wahań kursu</w:t>
            </w:r>
          </w:p>
        </w:tc>
      </w:tr>
      <w:tr w:rsidR="00752778" w:rsidRPr="00920145" w14:paraId="1F469233" w14:textId="77777777" w:rsidTr="00752778">
        <w:tc>
          <w:tcPr>
            <w:tcW w:w="3373" w:type="dxa"/>
          </w:tcPr>
          <w:p w14:paraId="79F5CB04" w14:textId="77777777" w:rsidR="00752778" w:rsidRPr="00920145" w:rsidRDefault="00752778" w:rsidP="00A23201">
            <w:pPr>
              <w:spacing w:after="120" w:line="360" w:lineRule="auto"/>
              <w:rPr>
                <w:rFonts w:ascii="Verdana" w:hAnsi="Verdana"/>
                <w:sz w:val="20"/>
                <w:szCs w:val="20"/>
              </w:rPr>
            </w:pPr>
            <w:r w:rsidRPr="00920145">
              <w:rPr>
                <w:rFonts w:ascii="Verdana" w:hAnsi="Verdana"/>
                <w:sz w:val="20"/>
                <w:szCs w:val="20"/>
              </w:rPr>
              <w:t xml:space="preserve">Maksymalna wartość zlecenia maklerskiego     </w:t>
            </w:r>
          </w:p>
        </w:tc>
        <w:tc>
          <w:tcPr>
            <w:tcW w:w="4423" w:type="dxa"/>
          </w:tcPr>
          <w:p w14:paraId="657A48C5" w14:textId="60B38B2A" w:rsidR="00752778" w:rsidRPr="00920145" w:rsidRDefault="00752778" w:rsidP="00A23201">
            <w:pPr>
              <w:spacing w:after="120" w:line="360" w:lineRule="auto"/>
              <w:rPr>
                <w:rFonts w:ascii="Verdana" w:hAnsi="Verdana"/>
                <w:sz w:val="20"/>
                <w:szCs w:val="20"/>
              </w:rPr>
            </w:pPr>
            <w:r w:rsidRPr="00920145">
              <w:rPr>
                <w:rFonts w:ascii="Verdana" w:hAnsi="Verdana"/>
                <w:sz w:val="20"/>
                <w:szCs w:val="20"/>
              </w:rPr>
              <w:t xml:space="preserve">10.000.000 jednostek waluty notowania  </w:t>
            </w:r>
          </w:p>
        </w:tc>
      </w:tr>
      <w:tr w:rsidR="00752778" w:rsidRPr="00920145" w14:paraId="61FC3DE7" w14:textId="77777777" w:rsidTr="00752778">
        <w:tc>
          <w:tcPr>
            <w:tcW w:w="3373" w:type="dxa"/>
            <w:tcBorders>
              <w:top w:val="single" w:sz="4" w:space="0" w:color="auto"/>
              <w:left w:val="single" w:sz="4" w:space="0" w:color="auto"/>
              <w:bottom w:val="single" w:sz="4" w:space="0" w:color="auto"/>
              <w:right w:val="single" w:sz="4" w:space="0" w:color="auto"/>
            </w:tcBorders>
          </w:tcPr>
          <w:p w14:paraId="71635FD4" w14:textId="77777777" w:rsidR="00752778" w:rsidRPr="00920145" w:rsidRDefault="00752778" w:rsidP="00A23201">
            <w:pPr>
              <w:spacing w:after="120" w:line="360" w:lineRule="auto"/>
              <w:rPr>
                <w:rFonts w:ascii="Verdana" w:hAnsi="Verdana"/>
                <w:sz w:val="20"/>
                <w:szCs w:val="20"/>
              </w:rPr>
            </w:pPr>
            <w:r w:rsidRPr="00920145">
              <w:rPr>
                <w:rFonts w:ascii="Verdana" w:hAnsi="Verdana"/>
                <w:sz w:val="20"/>
                <w:szCs w:val="20"/>
              </w:rPr>
              <w:t xml:space="preserve">Maksymalny wolumen zlecenia maklerskiego     </w:t>
            </w:r>
          </w:p>
        </w:tc>
        <w:tc>
          <w:tcPr>
            <w:tcW w:w="4423" w:type="dxa"/>
            <w:tcBorders>
              <w:top w:val="single" w:sz="4" w:space="0" w:color="auto"/>
              <w:left w:val="single" w:sz="4" w:space="0" w:color="auto"/>
              <w:bottom w:val="single" w:sz="4" w:space="0" w:color="auto"/>
              <w:right w:val="single" w:sz="4" w:space="0" w:color="auto"/>
            </w:tcBorders>
          </w:tcPr>
          <w:p w14:paraId="0C6035CA" w14:textId="77777777" w:rsidR="00752778" w:rsidRPr="00920145" w:rsidRDefault="00752778" w:rsidP="00A23201">
            <w:pPr>
              <w:spacing w:after="120" w:line="360" w:lineRule="auto"/>
              <w:jc w:val="both"/>
              <w:rPr>
                <w:rFonts w:ascii="Verdana" w:hAnsi="Verdana"/>
                <w:sz w:val="20"/>
                <w:szCs w:val="20"/>
              </w:rPr>
            </w:pPr>
            <w:r w:rsidRPr="00920145">
              <w:rPr>
                <w:rFonts w:ascii="Verdana" w:hAnsi="Verdana"/>
                <w:sz w:val="20"/>
                <w:szCs w:val="20"/>
              </w:rPr>
              <w:t>2% instrumentów finansowych wprowadzonych do obrotu giełdowego i oznaczonych tym samym kodem ISIN, a w przypadku gdy 2% tych instrumentów stanowi mniej niż 1.000.000 instrumentów – nie więcej  niż 1.000.000 instrumentów</w:t>
            </w:r>
          </w:p>
        </w:tc>
      </w:tr>
      <w:tr w:rsidR="00752778" w:rsidRPr="00920145" w14:paraId="7FBB27D8" w14:textId="77777777" w:rsidTr="00752778">
        <w:tc>
          <w:tcPr>
            <w:tcW w:w="3373" w:type="dxa"/>
            <w:tcBorders>
              <w:top w:val="single" w:sz="4" w:space="0" w:color="auto"/>
              <w:left w:val="single" w:sz="4" w:space="0" w:color="auto"/>
              <w:bottom w:val="single" w:sz="4" w:space="0" w:color="auto"/>
              <w:right w:val="single" w:sz="4" w:space="0" w:color="auto"/>
            </w:tcBorders>
          </w:tcPr>
          <w:p w14:paraId="24DFB79D" w14:textId="77777777" w:rsidR="00752778" w:rsidRPr="00920145" w:rsidRDefault="00752778" w:rsidP="00A23201">
            <w:pPr>
              <w:spacing w:after="120" w:line="360" w:lineRule="auto"/>
              <w:rPr>
                <w:rFonts w:ascii="Verdana" w:hAnsi="Verdana"/>
                <w:sz w:val="20"/>
                <w:szCs w:val="20"/>
              </w:rPr>
            </w:pPr>
            <w:r w:rsidRPr="00920145">
              <w:rPr>
                <w:rFonts w:ascii="Verdana" w:hAnsi="Verdana"/>
                <w:sz w:val="20"/>
                <w:szCs w:val="20"/>
              </w:rPr>
              <w:t>Równoważenie podstawowe dla statycznych ograniczeń wahań kursów</w:t>
            </w:r>
          </w:p>
        </w:tc>
        <w:tc>
          <w:tcPr>
            <w:tcW w:w="4423" w:type="dxa"/>
            <w:tcBorders>
              <w:top w:val="single" w:sz="4" w:space="0" w:color="auto"/>
              <w:left w:val="single" w:sz="4" w:space="0" w:color="auto"/>
              <w:bottom w:val="single" w:sz="4" w:space="0" w:color="auto"/>
              <w:right w:val="single" w:sz="4" w:space="0" w:color="auto"/>
            </w:tcBorders>
          </w:tcPr>
          <w:p w14:paraId="3593BCB4" w14:textId="77777777" w:rsidR="00752778" w:rsidRPr="00920145" w:rsidRDefault="00752778" w:rsidP="00A23201">
            <w:pPr>
              <w:spacing w:after="120" w:line="360" w:lineRule="auto"/>
              <w:rPr>
                <w:rFonts w:ascii="Verdana" w:hAnsi="Verdana"/>
                <w:sz w:val="20"/>
                <w:szCs w:val="20"/>
              </w:rPr>
            </w:pPr>
            <w:r w:rsidRPr="00920145">
              <w:rPr>
                <w:rFonts w:ascii="Verdana" w:hAnsi="Verdana"/>
                <w:sz w:val="20"/>
                <w:szCs w:val="20"/>
              </w:rPr>
              <w:t>Tak</w:t>
            </w:r>
          </w:p>
        </w:tc>
      </w:tr>
      <w:tr w:rsidR="00752778" w:rsidRPr="00920145" w14:paraId="0226D6F2" w14:textId="77777777" w:rsidTr="00752778">
        <w:tc>
          <w:tcPr>
            <w:tcW w:w="3373" w:type="dxa"/>
            <w:tcBorders>
              <w:top w:val="single" w:sz="4" w:space="0" w:color="auto"/>
              <w:left w:val="single" w:sz="4" w:space="0" w:color="auto"/>
              <w:bottom w:val="single" w:sz="4" w:space="0" w:color="auto"/>
              <w:right w:val="single" w:sz="4" w:space="0" w:color="auto"/>
            </w:tcBorders>
          </w:tcPr>
          <w:p w14:paraId="49F47D3C" w14:textId="77777777" w:rsidR="00752778" w:rsidRPr="00920145" w:rsidRDefault="00752778" w:rsidP="00A23201">
            <w:pPr>
              <w:spacing w:after="120" w:line="360" w:lineRule="auto"/>
              <w:rPr>
                <w:rFonts w:ascii="Verdana" w:hAnsi="Verdana"/>
                <w:sz w:val="20"/>
                <w:szCs w:val="20"/>
              </w:rPr>
            </w:pPr>
            <w:r w:rsidRPr="00920145">
              <w:rPr>
                <w:rFonts w:ascii="Verdana" w:hAnsi="Verdana"/>
                <w:sz w:val="20"/>
                <w:szCs w:val="20"/>
              </w:rPr>
              <w:t>Czas trwania równoważenia podstawowego dla statycznych ograniczeń wahań kursów</w:t>
            </w:r>
          </w:p>
        </w:tc>
        <w:tc>
          <w:tcPr>
            <w:tcW w:w="4423" w:type="dxa"/>
            <w:tcBorders>
              <w:top w:val="single" w:sz="4" w:space="0" w:color="auto"/>
              <w:left w:val="single" w:sz="4" w:space="0" w:color="auto"/>
              <w:bottom w:val="single" w:sz="4" w:space="0" w:color="auto"/>
              <w:right w:val="single" w:sz="4" w:space="0" w:color="auto"/>
            </w:tcBorders>
          </w:tcPr>
          <w:p w14:paraId="437532B3" w14:textId="77777777" w:rsidR="00752778" w:rsidRPr="00920145" w:rsidRDefault="00752778" w:rsidP="00A23201">
            <w:pPr>
              <w:spacing w:after="120" w:line="360" w:lineRule="auto"/>
              <w:rPr>
                <w:rFonts w:ascii="Verdana" w:hAnsi="Verdana"/>
                <w:sz w:val="20"/>
                <w:szCs w:val="20"/>
              </w:rPr>
            </w:pPr>
            <w:r w:rsidRPr="00920145">
              <w:rPr>
                <w:rFonts w:ascii="Verdana" w:hAnsi="Verdana"/>
                <w:sz w:val="20"/>
                <w:szCs w:val="20"/>
              </w:rPr>
              <w:t>300 sekund</w:t>
            </w:r>
          </w:p>
        </w:tc>
      </w:tr>
      <w:tr w:rsidR="00752778" w:rsidRPr="00920145" w14:paraId="3D134524" w14:textId="77777777" w:rsidTr="00752778">
        <w:tc>
          <w:tcPr>
            <w:tcW w:w="3373" w:type="dxa"/>
            <w:tcBorders>
              <w:top w:val="single" w:sz="4" w:space="0" w:color="auto"/>
              <w:left w:val="single" w:sz="4" w:space="0" w:color="auto"/>
              <w:bottom w:val="single" w:sz="4" w:space="0" w:color="auto"/>
              <w:right w:val="single" w:sz="4" w:space="0" w:color="auto"/>
            </w:tcBorders>
          </w:tcPr>
          <w:p w14:paraId="2710B431" w14:textId="77777777" w:rsidR="00752778" w:rsidRPr="00920145" w:rsidRDefault="00752778" w:rsidP="00A23201">
            <w:pPr>
              <w:spacing w:after="120" w:line="360" w:lineRule="auto"/>
              <w:rPr>
                <w:rFonts w:ascii="Verdana" w:hAnsi="Verdana"/>
                <w:sz w:val="20"/>
                <w:szCs w:val="20"/>
              </w:rPr>
            </w:pPr>
            <w:r w:rsidRPr="00920145">
              <w:rPr>
                <w:rFonts w:ascii="Verdana" w:hAnsi="Verdana"/>
                <w:sz w:val="20"/>
                <w:szCs w:val="20"/>
              </w:rPr>
              <w:t>Współczynnik przesunięcia kursu odniesienia dla równoważenia w fazie aukcji otwarcia</w:t>
            </w:r>
          </w:p>
        </w:tc>
        <w:tc>
          <w:tcPr>
            <w:tcW w:w="4423" w:type="dxa"/>
            <w:tcBorders>
              <w:top w:val="single" w:sz="4" w:space="0" w:color="auto"/>
              <w:left w:val="single" w:sz="4" w:space="0" w:color="auto"/>
              <w:bottom w:val="single" w:sz="4" w:space="0" w:color="auto"/>
              <w:right w:val="single" w:sz="4" w:space="0" w:color="auto"/>
            </w:tcBorders>
          </w:tcPr>
          <w:p w14:paraId="46DD9112" w14:textId="77777777" w:rsidR="00752778" w:rsidRPr="00920145" w:rsidRDefault="00752778" w:rsidP="00A23201">
            <w:pPr>
              <w:spacing w:after="120" w:line="360" w:lineRule="auto"/>
              <w:rPr>
                <w:rFonts w:ascii="Verdana" w:hAnsi="Verdana"/>
                <w:sz w:val="20"/>
                <w:szCs w:val="20"/>
              </w:rPr>
            </w:pPr>
            <w:r w:rsidRPr="00920145">
              <w:rPr>
                <w:rFonts w:ascii="Verdana" w:hAnsi="Verdana"/>
                <w:sz w:val="20"/>
                <w:szCs w:val="20"/>
              </w:rPr>
              <w:t>1</w:t>
            </w:r>
          </w:p>
        </w:tc>
      </w:tr>
      <w:tr w:rsidR="00752778" w:rsidRPr="00920145" w14:paraId="69215254" w14:textId="77777777" w:rsidTr="00752778">
        <w:tc>
          <w:tcPr>
            <w:tcW w:w="3373" w:type="dxa"/>
            <w:tcBorders>
              <w:top w:val="single" w:sz="4" w:space="0" w:color="auto"/>
              <w:left w:val="single" w:sz="4" w:space="0" w:color="auto"/>
              <w:bottom w:val="single" w:sz="4" w:space="0" w:color="auto"/>
              <w:right w:val="single" w:sz="4" w:space="0" w:color="auto"/>
            </w:tcBorders>
          </w:tcPr>
          <w:p w14:paraId="27505B9C" w14:textId="77777777" w:rsidR="00752778" w:rsidRPr="00920145" w:rsidRDefault="00752778" w:rsidP="00A23201">
            <w:pPr>
              <w:spacing w:after="120" w:line="360" w:lineRule="auto"/>
              <w:rPr>
                <w:rFonts w:ascii="Verdana" w:hAnsi="Verdana"/>
                <w:sz w:val="20"/>
                <w:szCs w:val="20"/>
              </w:rPr>
            </w:pPr>
            <w:r w:rsidRPr="00920145">
              <w:rPr>
                <w:rFonts w:ascii="Verdana" w:hAnsi="Verdana"/>
                <w:sz w:val="20"/>
                <w:szCs w:val="20"/>
              </w:rPr>
              <w:lastRenderedPageBreak/>
              <w:t>Współczynnik przesunięcia kursu odniesienia dla równoważenia w fazach innych niż faza aukcji otwarcia</w:t>
            </w:r>
          </w:p>
        </w:tc>
        <w:tc>
          <w:tcPr>
            <w:tcW w:w="4423" w:type="dxa"/>
            <w:tcBorders>
              <w:top w:val="single" w:sz="4" w:space="0" w:color="auto"/>
              <w:left w:val="single" w:sz="4" w:space="0" w:color="auto"/>
              <w:bottom w:val="single" w:sz="4" w:space="0" w:color="auto"/>
              <w:right w:val="single" w:sz="4" w:space="0" w:color="auto"/>
            </w:tcBorders>
          </w:tcPr>
          <w:p w14:paraId="50D727DE" w14:textId="77777777" w:rsidR="00752778" w:rsidRPr="00920145" w:rsidRDefault="00752778" w:rsidP="00A23201">
            <w:pPr>
              <w:spacing w:after="120" w:line="360" w:lineRule="auto"/>
              <w:rPr>
                <w:rFonts w:ascii="Verdana" w:hAnsi="Verdana"/>
                <w:sz w:val="20"/>
                <w:szCs w:val="20"/>
              </w:rPr>
            </w:pPr>
            <w:r w:rsidRPr="00920145">
              <w:rPr>
                <w:rFonts w:ascii="Verdana" w:hAnsi="Verdana"/>
                <w:sz w:val="20"/>
                <w:szCs w:val="20"/>
              </w:rPr>
              <w:t>0,5</w:t>
            </w:r>
          </w:p>
        </w:tc>
      </w:tr>
      <w:tr w:rsidR="00752778" w:rsidRPr="00920145" w14:paraId="58714AF8" w14:textId="77777777" w:rsidTr="00752778">
        <w:tc>
          <w:tcPr>
            <w:tcW w:w="3373" w:type="dxa"/>
            <w:tcBorders>
              <w:top w:val="single" w:sz="4" w:space="0" w:color="auto"/>
              <w:left w:val="single" w:sz="4" w:space="0" w:color="auto"/>
              <w:bottom w:val="single" w:sz="4" w:space="0" w:color="auto"/>
              <w:right w:val="single" w:sz="4" w:space="0" w:color="auto"/>
            </w:tcBorders>
          </w:tcPr>
          <w:p w14:paraId="3E6042D2" w14:textId="77777777" w:rsidR="00752778" w:rsidRPr="00920145" w:rsidRDefault="00752778" w:rsidP="00A23201">
            <w:pPr>
              <w:spacing w:after="120" w:line="360" w:lineRule="auto"/>
              <w:rPr>
                <w:rFonts w:ascii="Verdana" w:hAnsi="Verdana"/>
                <w:sz w:val="20"/>
                <w:szCs w:val="20"/>
              </w:rPr>
            </w:pPr>
            <w:r w:rsidRPr="00920145">
              <w:rPr>
                <w:rFonts w:ascii="Verdana" w:hAnsi="Verdana"/>
                <w:sz w:val="20"/>
                <w:szCs w:val="20"/>
              </w:rPr>
              <w:t>Współczynnik maksymalnej liczby zmian netto statycznych ograniczeń wahań kursów</w:t>
            </w:r>
          </w:p>
        </w:tc>
        <w:tc>
          <w:tcPr>
            <w:tcW w:w="4423" w:type="dxa"/>
            <w:tcBorders>
              <w:top w:val="single" w:sz="4" w:space="0" w:color="auto"/>
              <w:left w:val="single" w:sz="4" w:space="0" w:color="auto"/>
              <w:bottom w:val="single" w:sz="4" w:space="0" w:color="auto"/>
              <w:right w:val="single" w:sz="4" w:space="0" w:color="auto"/>
            </w:tcBorders>
          </w:tcPr>
          <w:p w14:paraId="0DF0581F" w14:textId="77777777" w:rsidR="00752778" w:rsidRPr="00920145" w:rsidRDefault="00752778" w:rsidP="00A23201">
            <w:pPr>
              <w:spacing w:after="120" w:line="360" w:lineRule="auto"/>
              <w:rPr>
                <w:rFonts w:ascii="Verdana" w:hAnsi="Verdana"/>
                <w:sz w:val="20"/>
                <w:szCs w:val="20"/>
              </w:rPr>
            </w:pPr>
            <w:r w:rsidRPr="00920145">
              <w:rPr>
                <w:rFonts w:ascii="Verdana" w:hAnsi="Verdana"/>
                <w:sz w:val="20"/>
                <w:szCs w:val="20"/>
              </w:rPr>
              <w:t>2</w:t>
            </w:r>
          </w:p>
        </w:tc>
      </w:tr>
      <w:tr w:rsidR="00752778" w:rsidRPr="00920145" w14:paraId="014A57AF" w14:textId="77777777" w:rsidTr="00752778">
        <w:tc>
          <w:tcPr>
            <w:tcW w:w="3373" w:type="dxa"/>
            <w:tcBorders>
              <w:top w:val="single" w:sz="4" w:space="0" w:color="auto"/>
              <w:left w:val="single" w:sz="4" w:space="0" w:color="auto"/>
              <w:bottom w:val="single" w:sz="4" w:space="0" w:color="auto"/>
              <w:right w:val="single" w:sz="4" w:space="0" w:color="auto"/>
            </w:tcBorders>
          </w:tcPr>
          <w:p w14:paraId="0D55DE4B" w14:textId="77777777" w:rsidR="00752778" w:rsidRPr="00920145" w:rsidRDefault="00752778" w:rsidP="00A23201">
            <w:pPr>
              <w:spacing w:after="120" w:line="360" w:lineRule="auto"/>
              <w:rPr>
                <w:rFonts w:ascii="Verdana" w:hAnsi="Verdana"/>
                <w:sz w:val="20"/>
                <w:szCs w:val="20"/>
              </w:rPr>
            </w:pPr>
            <w:r w:rsidRPr="00920145">
              <w:rPr>
                <w:rFonts w:ascii="Verdana" w:hAnsi="Verdana"/>
                <w:sz w:val="20"/>
                <w:szCs w:val="20"/>
              </w:rPr>
              <w:t>Współczynnik rozszerzenia dla równoważenia w fazie aukcji otwarcia</w:t>
            </w:r>
          </w:p>
        </w:tc>
        <w:tc>
          <w:tcPr>
            <w:tcW w:w="4423" w:type="dxa"/>
            <w:tcBorders>
              <w:top w:val="single" w:sz="4" w:space="0" w:color="auto"/>
              <w:left w:val="single" w:sz="4" w:space="0" w:color="auto"/>
              <w:bottom w:val="single" w:sz="4" w:space="0" w:color="auto"/>
              <w:right w:val="single" w:sz="4" w:space="0" w:color="auto"/>
            </w:tcBorders>
          </w:tcPr>
          <w:p w14:paraId="323DA0B0" w14:textId="77777777" w:rsidR="00752778" w:rsidRPr="00920145" w:rsidRDefault="00752778" w:rsidP="00A23201">
            <w:pPr>
              <w:spacing w:after="120" w:line="360" w:lineRule="auto"/>
              <w:rPr>
                <w:rFonts w:ascii="Verdana" w:hAnsi="Verdana"/>
                <w:sz w:val="20"/>
                <w:szCs w:val="20"/>
              </w:rPr>
            </w:pPr>
            <w:r w:rsidRPr="00920145">
              <w:rPr>
                <w:rFonts w:ascii="Verdana" w:hAnsi="Verdana"/>
                <w:sz w:val="20"/>
                <w:szCs w:val="20"/>
              </w:rPr>
              <w:t>3,0</w:t>
            </w:r>
          </w:p>
        </w:tc>
      </w:tr>
      <w:tr w:rsidR="00752778" w:rsidRPr="00920145" w14:paraId="6970BA4F" w14:textId="77777777" w:rsidTr="00752778">
        <w:tc>
          <w:tcPr>
            <w:tcW w:w="3373" w:type="dxa"/>
            <w:tcBorders>
              <w:top w:val="single" w:sz="4" w:space="0" w:color="auto"/>
              <w:left w:val="single" w:sz="4" w:space="0" w:color="auto"/>
              <w:bottom w:val="single" w:sz="4" w:space="0" w:color="auto"/>
              <w:right w:val="single" w:sz="4" w:space="0" w:color="auto"/>
            </w:tcBorders>
          </w:tcPr>
          <w:p w14:paraId="1C127C97" w14:textId="77777777" w:rsidR="00752778" w:rsidRPr="00920145" w:rsidRDefault="00752778" w:rsidP="00A23201">
            <w:pPr>
              <w:spacing w:after="120" w:line="360" w:lineRule="auto"/>
              <w:rPr>
                <w:rFonts w:ascii="Verdana" w:hAnsi="Verdana"/>
                <w:sz w:val="20"/>
                <w:szCs w:val="20"/>
              </w:rPr>
            </w:pPr>
            <w:r w:rsidRPr="00920145">
              <w:rPr>
                <w:rFonts w:ascii="Verdana" w:hAnsi="Verdana"/>
                <w:sz w:val="20"/>
                <w:szCs w:val="20"/>
              </w:rPr>
              <w:t>Współczynnik rozszerzenia dla równoważenia w fazach innych niż faza aukcji otwarcia</w:t>
            </w:r>
          </w:p>
        </w:tc>
        <w:tc>
          <w:tcPr>
            <w:tcW w:w="4423" w:type="dxa"/>
            <w:tcBorders>
              <w:top w:val="single" w:sz="4" w:space="0" w:color="auto"/>
              <w:left w:val="single" w:sz="4" w:space="0" w:color="auto"/>
              <w:bottom w:val="single" w:sz="4" w:space="0" w:color="auto"/>
              <w:right w:val="single" w:sz="4" w:space="0" w:color="auto"/>
            </w:tcBorders>
          </w:tcPr>
          <w:p w14:paraId="0C426030" w14:textId="77777777" w:rsidR="00752778" w:rsidRPr="00920145" w:rsidRDefault="00752778" w:rsidP="00A23201">
            <w:pPr>
              <w:spacing w:after="120" w:line="360" w:lineRule="auto"/>
              <w:rPr>
                <w:rFonts w:ascii="Verdana" w:hAnsi="Verdana"/>
                <w:sz w:val="20"/>
                <w:szCs w:val="20"/>
              </w:rPr>
            </w:pPr>
            <w:r w:rsidRPr="00920145">
              <w:rPr>
                <w:rFonts w:ascii="Verdana" w:hAnsi="Verdana"/>
                <w:sz w:val="20"/>
                <w:szCs w:val="20"/>
              </w:rPr>
              <w:t>2,0</w:t>
            </w:r>
          </w:p>
        </w:tc>
      </w:tr>
    </w:tbl>
    <w:p w14:paraId="24A858FB" w14:textId="190A7EBE" w:rsidR="00752778" w:rsidRPr="00920145" w:rsidRDefault="00752778" w:rsidP="00A23201">
      <w:pPr>
        <w:spacing w:after="120" w:line="360" w:lineRule="auto"/>
        <w:rPr>
          <w:rFonts w:ascii="Verdana" w:hAnsi="Verdana"/>
          <w:sz w:val="20"/>
          <w:szCs w:val="20"/>
        </w:rPr>
      </w:pPr>
    </w:p>
    <w:p w14:paraId="696A631B" w14:textId="77777777" w:rsidR="00752778" w:rsidRPr="00920145" w:rsidRDefault="00752778" w:rsidP="00A23201">
      <w:pPr>
        <w:spacing w:after="120" w:line="360" w:lineRule="auto"/>
        <w:ind w:left="709"/>
        <w:jc w:val="both"/>
        <w:rPr>
          <w:rFonts w:ascii="Verdana" w:hAnsi="Verdana"/>
          <w:sz w:val="20"/>
          <w:szCs w:val="20"/>
        </w:rPr>
      </w:pPr>
      <w:r w:rsidRPr="00920145">
        <w:rPr>
          <w:rFonts w:ascii="Verdana" w:hAnsi="Verdana"/>
          <w:sz w:val="20"/>
          <w:szCs w:val="20"/>
        </w:rPr>
        <w:t>1a. Szczegółowe warunki obrotu w systemie kursu jednolitego dla akcji, do obrotu którymi stosuje się ograniczenia wynikające z przepisów amerykańskiego prawa papierów wartościowych, z zastrzeżeniem ust. 2:</w:t>
      </w:r>
    </w:p>
    <w:tbl>
      <w:tblPr>
        <w:tblW w:w="779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3"/>
        <w:gridCol w:w="4423"/>
      </w:tblGrid>
      <w:tr w:rsidR="00752778" w:rsidRPr="00920145" w14:paraId="498A467A" w14:textId="77777777" w:rsidTr="00CC4096">
        <w:tc>
          <w:tcPr>
            <w:tcW w:w="3373" w:type="dxa"/>
            <w:tcBorders>
              <w:top w:val="single" w:sz="4" w:space="0" w:color="auto"/>
              <w:left w:val="single" w:sz="4" w:space="0" w:color="auto"/>
              <w:bottom w:val="single" w:sz="4" w:space="0" w:color="auto"/>
              <w:right w:val="single" w:sz="4" w:space="0" w:color="auto"/>
            </w:tcBorders>
          </w:tcPr>
          <w:p w14:paraId="3168FF6A" w14:textId="77777777" w:rsidR="00752778" w:rsidRPr="00920145" w:rsidRDefault="00752778" w:rsidP="00A23201">
            <w:pPr>
              <w:spacing w:after="120" w:line="360" w:lineRule="auto"/>
              <w:rPr>
                <w:rFonts w:ascii="Verdana" w:hAnsi="Verdana"/>
                <w:sz w:val="20"/>
                <w:szCs w:val="20"/>
              </w:rPr>
            </w:pPr>
            <w:r w:rsidRPr="00920145">
              <w:rPr>
                <w:rFonts w:ascii="Verdana" w:hAnsi="Verdana"/>
                <w:sz w:val="20"/>
                <w:szCs w:val="20"/>
              </w:rPr>
              <w:t>Jednostka transakcyjna</w:t>
            </w:r>
          </w:p>
        </w:tc>
        <w:tc>
          <w:tcPr>
            <w:tcW w:w="4423" w:type="dxa"/>
            <w:tcBorders>
              <w:top w:val="single" w:sz="4" w:space="0" w:color="auto"/>
              <w:left w:val="single" w:sz="4" w:space="0" w:color="auto"/>
              <w:bottom w:val="single" w:sz="4" w:space="0" w:color="auto"/>
              <w:right w:val="single" w:sz="4" w:space="0" w:color="auto"/>
            </w:tcBorders>
          </w:tcPr>
          <w:p w14:paraId="241B61F9" w14:textId="77777777" w:rsidR="00752778" w:rsidRPr="00920145" w:rsidRDefault="00752778" w:rsidP="00A23201">
            <w:pPr>
              <w:spacing w:after="120" w:line="360" w:lineRule="auto"/>
              <w:ind w:left="83" w:hanging="8"/>
              <w:jc w:val="both"/>
              <w:rPr>
                <w:rFonts w:ascii="Verdana" w:hAnsi="Verdana"/>
                <w:sz w:val="20"/>
                <w:szCs w:val="20"/>
              </w:rPr>
            </w:pPr>
            <w:r w:rsidRPr="00920145">
              <w:rPr>
                <w:rFonts w:ascii="Verdana" w:hAnsi="Verdana"/>
                <w:sz w:val="20"/>
                <w:szCs w:val="20"/>
              </w:rPr>
              <w:t>jeden instrument, chyba że Zarząd Giełdy określi inną jednostkę transakcyjną</w:t>
            </w:r>
          </w:p>
        </w:tc>
      </w:tr>
      <w:tr w:rsidR="004D3B91" w:rsidRPr="00920145" w14:paraId="68CB912C" w14:textId="77777777" w:rsidTr="00CC4096">
        <w:tc>
          <w:tcPr>
            <w:tcW w:w="3373" w:type="dxa"/>
            <w:tcBorders>
              <w:top w:val="single" w:sz="4" w:space="0" w:color="auto"/>
              <w:left w:val="single" w:sz="4" w:space="0" w:color="auto"/>
              <w:bottom w:val="single" w:sz="4" w:space="0" w:color="auto"/>
              <w:right w:val="single" w:sz="4" w:space="0" w:color="auto"/>
            </w:tcBorders>
          </w:tcPr>
          <w:p w14:paraId="4718DE7B" w14:textId="653458F3" w:rsidR="004D3B91" w:rsidRPr="00920145" w:rsidRDefault="004D3B91" w:rsidP="004D3B91">
            <w:pPr>
              <w:spacing w:after="120" w:line="360" w:lineRule="auto"/>
              <w:rPr>
                <w:rFonts w:ascii="Verdana" w:hAnsi="Verdana"/>
                <w:sz w:val="20"/>
                <w:szCs w:val="20"/>
              </w:rPr>
            </w:pPr>
            <w:r w:rsidRPr="00920145">
              <w:rPr>
                <w:rFonts w:ascii="Verdana" w:hAnsi="Verdana"/>
                <w:sz w:val="20"/>
                <w:szCs w:val="20"/>
              </w:rPr>
              <w:t>Losowy czas otwarcia</w:t>
            </w:r>
            <w:r w:rsidRPr="00920145">
              <w:rPr>
                <w:rFonts w:ascii="Verdana" w:hAnsi="Verdana"/>
                <w:sz w:val="20"/>
                <w:szCs w:val="20"/>
              </w:rPr>
              <w:br/>
              <w:t>dla fazy aukcji otwarcia</w:t>
            </w:r>
          </w:p>
        </w:tc>
        <w:tc>
          <w:tcPr>
            <w:tcW w:w="4423" w:type="dxa"/>
            <w:tcBorders>
              <w:top w:val="single" w:sz="4" w:space="0" w:color="auto"/>
              <w:left w:val="single" w:sz="4" w:space="0" w:color="auto"/>
              <w:bottom w:val="single" w:sz="4" w:space="0" w:color="auto"/>
              <w:right w:val="single" w:sz="4" w:space="0" w:color="auto"/>
            </w:tcBorders>
          </w:tcPr>
          <w:p w14:paraId="201BE276" w14:textId="330EDEB1" w:rsidR="004D3B91" w:rsidRPr="00920145" w:rsidRDefault="00FF1DF0" w:rsidP="004D3B91">
            <w:pPr>
              <w:spacing w:after="120" w:line="360" w:lineRule="auto"/>
              <w:ind w:left="83" w:hanging="8"/>
              <w:rPr>
                <w:rFonts w:ascii="Verdana" w:hAnsi="Verdana"/>
                <w:sz w:val="20"/>
                <w:szCs w:val="20"/>
              </w:rPr>
            </w:pPr>
            <w:r w:rsidRPr="00920145">
              <w:rPr>
                <w:rFonts w:ascii="Verdana" w:hAnsi="Verdana"/>
                <w:sz w:val="20"/>
                <w:szCs w:val="20"/>
              </w:rPr>
              <w:t>(</w:t>
            </w:r>
            <w:r w:rsidR="004D3B91" w:rsidRPr="00920145">
              <w:rPr>
                <w:rFonts w:ascii="Verdana" w:hAnsi="Verdana"/>
                <w:sz w:val="20"/>
                <w:szCs w:val="20"/>
              </w:rPr>
              <w:t>+</w:t>
            </w:r>
            <w:r w:rsidRPr="00920145">
              <w:rPr>
                <w:rFonts w:ascii="Verdana" w:hAnsi="Verdana"/>
                <w:sz w:val="20"/>
                <w:szCs w:val="20"/>
              </w:rPr>
              <w:t>)</w:t>
            </w:r>
            <w:r w:rsidR="004D3B91" w:rsidRPr="00920145">
              <w:rPr>
                <w:rFonts w:ascii="Verdana" w:hAnsi="Verdana"/>
                <w:sz w:val="20"/>
                <w:szCs w:val="20"/>
              </w:rPr>
              <w:t xml:space="preserve"> 0-30 sekund</w:t>
            </w:r>
          </w:p>
        </w:tc>
      </w:tr>
      <w:tr w:rsidR="00752778" w:rsidRPr="00920145" w14:paraId="6705000C" w14:textId="77777777" w:rsidTr="00CC4096">
        <w:tc>
          <w:tcPr>
            <w:tcW w:w="3373" w:type="dxa"/>
          </w:tcPr>
          <w:p w14:paraId="3231BC20" w14:textId="77777777" w:rsidR="00752778" w:rsidRPr="00920145" w:rsidRDefault="00752778" w:rsidP="00A23201">
            <w:pPr>
              <w:spacing w:after="120" w:line="360" w:lineRule="auto"/>
              <w:rPr>
                <w:rFonts w:ascii="Verdana" w:hAnsi="Verdana"/>
                <w:sz w:val="20"/>
                <w:szCs w:val="20"/>
              </w:rPr>
            </w:pPr>
            <w:r w:rsidRPr="00920145">
              <w:rPr>
                <w:rFonts w:ascii="Verdana" w:hAnsi="Verdana"/>
                <w:sz w:val="20"/>
                <w:szCs w:val="20"/>
              </w:rPr>
              <w:t>Wysokość statycznych ograniczeń wahań kursów</w:t>
            </w:r>
          </w:p>
        </w:tc>
        <w:tc>
          <w:tcPr>
            <w:tcW w:w="4423" w:type="dxa"/>
          </w:tcPr>
          <w:p w14:paraId="390AED6B" w14:textId="77777777" w:rsidR="00752778" w:rsidRPr="00920145" w:rsidRDefault="00752778" w:rsidP="00876816">
            <w:pPr>
              <w:numPr>
                <w:ilvl w:val="0"/>
                <w:numId w:val="47"/>
              </w:numPr>
              <w:spacing w:after="120" w:line="360" w:lineRule="auto"/>
              <w:jc w:val="both"/>
              <w:rPr>
                <w:rFonts w:ascii="Verdana" w:hAnsi="Verdana"/>
                <w:sz w:val="20"/>
                <w:szCs w:val="20"/>
              </w:rPr>
            </w:pPr>
            <w:r w:rsidRPr="00920145">
              <w:rPr>
                <w:rFonts w:ascii="Verdana" w:hAnsi="Verdana"/>
                <w:sz w:val="20"/>
                <w:szCs w:val="20"/>
              </w:rPr>
              <w:t xml:space="preserve">30,00% od kursu odniesienia - przy kursie odniesienia 0,0100 - 0,0999 jednostki waluty notowania    </w:t>
            </w:r>
          </w:p>
          <w:p w14:paraId="7342FAE2" w14:textId="77777777" w:rsidR="00752778" w:rsidRPr="00920145" w:rsidRDefault="00752778" w:rsidP="00876816">
            <w:pPr>
              <w:numPr>
                <w:ilvl w:val="0"/>
                <w:numId w:val="47"/>
              </w:numPr>
              <w:spacing w:after="120" w:line="360" w:lineRule="auto"/>
              <w:jc w:val="both"/>
              <w:rPr>
                <w:rFonts w:ascii="Verdana" w:hAnsi="Verdana"/>
                <w:sz w:val="20"/>
                <w:szCs w:val="20"/>
              </w:rPr>
            </w:pPr>
            <w:r w:rsidRPr="00920145">
              <w:rPr>
                <w:rFonts w:ascii="Verdana" w:hAnsi="Verdana"/>
                <w:sz w:val="20"/>
                <w:szCs w:val="20"/>
              </w:rPr>
              <w:t xml:space="preserve">15,00% od kursu odniesienia - przy kursie odniesienia 0,1000 - 0,1999 jednostki waluty notowania   </w:t>
            </w:r>
          </w:p>
          <w:p w14:paraId="6B9FA836" w14:textId="77777777" w:rsidR="00752778" w:rsidRPr="00920145" w:rsidRDefault="00752778" w:rsidP="00876816">
            <w:pPr>
              <w:numPr>
                <w:ilvl w:val="0"/>
                <w:numId w:val="47"/>
              </w:numPr>
              <w:spacing w:after="120" w:line="360" w:lineRule="auto"/>
              <w:jc w:val="both"/>
              <w:rPr>
                <w:rFonts w:ascii="Verdana" w:hAnsi="Verdana"/>
                <w:sz w:val="20"/>
                <w:szCs w:val="20"/>
              </w:rPr>
            </w:pPr>
            <w:r w:rsidRPr="00920145">
              <w:rPr>
                <w:rFonts w:ascii="Verdana" w:hAnsi="Verdana"/>
                <w:sz w:val="20"/>
                <w:szCs w:val="20"/>
              </w:rPr>
              <w:t xml:space="preserve">10,00% od kursu odniesienia - przy kursie odniesienia 0,2000 jednostki waluty notowania lub wyższym  </w:t>
            </w:r>
          </w:p>
        </w:tc>
      </w:tr>
      <w:tr w:rsidR="00752778" w:rsidRPr="00920145" w14:paraId="677862E4" w14:textId="77777777" w:rsidTr="00CC4096">
        <w:tc>
          <w:tcPr>
            <w:tcW w:w="3373" w:type="dxa"/>
          </w:tcPr>
          <w:p w14:paraId="45DFC3DF" w14:textId="77777777" w:rsidR="00752778" w:rsidRPr="00920145" w:rsidRDefault="00752778" w:rsidP="00A23201">
            <w:pPr>
              <w:spacing w:after="120" w:line="360" w:lineRule="auto"/>
              <w:rPr>
                <w:rFonts w:ascii="Verdana" w:hAnsi="Verdana"/>
                <w:sz w:val="20"/>
                <w:szCs w:val="20"/>
              </w:rPr>
            </w:pPr>
            <w:r w:rsidRPr="00920145">
              <w:rPr>
                <w:rFonts w:ascii="Verdana" w:hAnsi="Verdana"/>
                <w:sz w:val="20"/>
                <w:szCs w:val="20"/>
              </w:rPr>
              <w:t xml:space="preserve">Maksymalne wartości dla limitów cen w zleceniu maklerskim    </w:t>
            </w:r>
          </w:p>
        </w:tc>
        <w:tc>
          <w:tcPr>
            <w:tcW w:w="4423" w:type="dxa"/>
          </w:tcPr>
          <w:p w14:paraId="641A7E9E" w14:textId="65E5E785" w:rsidR="00752778" w:rsidRPr="00920145" w:rsidRDefault="00752778" w:rsidP="00876816">
            <w:pPr>
              <w:spacing w:after="120" w:line="360" w:lineRule="auto"/>
              <w:rPr>
                <w:rFonts w:ascii="Verdana" w:hAnsi="Verdana"/>
                <w:sz w:val="20"/>
                <w:szCs w:val="20"/>
              </w:rPr>
            </w:pPr>
            <w:r w:rsidRPr="00920145">
              <w:rPr>
                <w:rFonts w:ascii="Verdana" w:hAnsi="Verdana"/>
                <w:sz w:val="20"/>
                <w:szCs w:val="20"/>
              </w:rPr>
              <w:t>50% względem kursu odniesienia dla statycznych ograniczeń wahań kursu</w:t>
            </w:r>
          </w:p>
        </w:tc>
      </w:tr>
      <w:tr w:rsidR="00752778" w:rsidRPr="00920145" w14:paraId="164BF065" w14:textId="77777777" w:rsidTr="00CC4096">
        <w:tc>
          <w:tcPr>
            <w:tcW w:w="3373" w:type="dxa"/>
          </w:tcPr>
          <w:p w14:paraId="1076A976" w14:textId="77777777" w:rsidR="00752778" w:rsidRPr="00920145" w:rsidRDefault="00752778" w:rsidP="00A23201">
            <w:pPr>
              <w:spacing w:after="120" w:line="360" w:lineRule="auto"/>
              <w:rPr>
                <w:rFonts w:ascii="Verdana" w:hAnsi="Verdana"/>
                <w:sz w:val="20"/>
                <w:szCs w:val="20"/>
              </w:rPr>
            </w:pPr>
            <w:r w:rsidRPr="00920145">
              <w:rPr>
                <w:rFonts w:ascii="Verdana" w:hAnsi="Verdana"/>
                <w:sz w:val="20"/>
                <w:szCs w:val="20"/>
              </w:rPr>
              <w:lastRenderedPageBreak/>
              <w:t xml:space="preserve">Maksymalna wartość zlecenia maklerskiego     </w:t>
            </w:r>
          </w:p>
        </w:tc>
        <w:tc>
          <w:tcPr>
            <w:tcW w:w="4423" w:type="dxa"/>
          </w:tcPr>
          <w:p w14:paraId="334FC52C" w14:textId="3FEFD0D4" w:rsidR="00752778" w:rsidRPr="00920145" w:rsidRDefault="00752778" w:rsidP="00A23201">
            <w:pPr>
              <w:spacing w:after="120" w:line="360" w:lineRule="auto"/>
              <w:rPr>
                <w:rFonts w:ascii="Verdana" w:hAnsi="Verdana"/>
                <w:sz w:val="20"/>
                <w:szCs w:val="20"/>
              </w:rPr>
            </w:pPr>
            <w:r w:rsidRPr="00920145">
              <w:rPr>
                <w:rFonts w:ascii="Verdana" w:hAnsi="Verdana"/>
                <w:sz w:val="20"/>
                <w:szCs w:val="20"/>
              </w:rPr>
              <w:t xml:space="preserve">10.000.000 jednostek waluty notowania  </w:t>
            </w:r>
          </w:p>
        </w:tc>
      </w:tr>
      <w:tr w:rsidR="00752778" w:rsidRPr="00920145" w14:paraId="34720FEB" w14:textId="77777777" w:rsidTr="00CC4096">
        <w:tc>
          <w:tcPr>
            <w:tcW w:w="3373" w:type="dxa"/>
            <w:tcBorders>
              <w:top w:val="single" w:sz="4" w:space="0" w:color="auto"/>
              <w:left w:val="single" w:sz="4" w:space="0" w:color="auto"/>
              <w:bottom w:val="single" w:sz="4" w:space="0" w:color="auto"/>
              <w:right w:val="single" w:sz="4" w:space="0" w:color="auto"/>
            </w:tcBorders>
          </w:tcPr>
          <w:p w14:paraId="7A520A23" w14:textId="77777777" w:rsidR="00752778" w:rsidRPr="00920145" w:rsidRDefault="00752778" w:rsidP="00A23201">
            <w:pPr>
              <w:spacing w:after="120" w:line="360" w:lineRule="auto"/>
              <w:rPr>
                <w:rFonts w:ascii="Verdana" w:hAnsi="Verdana"/>
                <w:sz w:val="20"/>
                <w:szCs w:val="20"/>
              </w:rPr>
            </w:pPr>
            <w:r w:rsidRPr="00920145">
              <w:rPr>
                <w:rFonts w:ascii="Verdana" w:hAnsi="Verdana"/>
                <w:sz w:val="20"/>
                <w:szCs w:val="20"/>
              </w:rPr>
              <w:t xml:space="preserve">Maksymalny wolumen zlecenia maklerskiego     </w:t>
            </w:r>
          </w:p>
        </w:tc>
        <w:tc>
          <w:tcPr>
            <w:tcW w:w="4423" w:type="dxa"/>
            <w:tcBorders>
              <w:top w:val="single" w:sz="4" w:space="0" w:color="auto"/>
              <w:left w:val="single" w:sz="4" w:space="0" w:color="auto"/>
              <w:bottom w:val="single" w:sz="4" w:space="0" w:color="auto"/>
              <w:right w:val="single" w:sz="4" w:space="0" w:color="auto"/>
            </w:tcBorders>
          </w:tcPr>
          <w:p w14:paraId="385BCA71" w14:textId="77777777" w:rsidR="00752778" w:rsidRPr="00920145" w:rsidRDefault="00752778" w:rsidP="00A23201">
            <w:pPr>
              <w:spacing w:after="120" w:line="360" w:lineRule="auto"/>
              <w:jc w:val="both"/>
              <w:rPr>
                <w:rFonts w:ascii="Verdana" w:hAnsi="Verdana"/>
                <w:sz w:val="20"/>
                <w:szCs w:val="20"/>
              </w:rPr>
            </w:pPr>
            <w:r w:rsidRPr="00920145">
              <w:rPr>
                <w:rFonts w:ascii="Verdana" w:hAnsi="Verdana"/>
                <w:sz w:val="20"/>
                <w:szCs w:val="20"/>
              </w:rPr>
              <w:t>2% instrumentów finansowych wprowadzonych do obrotu giełdowego i oznaczonych tym samym kodem ISIN, a w przypadku gdy 2% tych instrumentów stanowi mniej niż 1.000.000 instrumentów – nie więcej niż 1.000.000 instrumentów</w:t>
            </w:r>
          </w:p>
        </w:tc>
      </w:tr>
      <w:tr w:rsidR="00752778" w:rsidRPr="00920145" w14:paraId="7485690E" w14:textId="77777777" w:rsidTr="00CC4096">
        <w:tc>
          <w:tcPr>
            <w:tcW w:w="3373" w:type="dxa"/>
            <w:tcBorders>
              <w:top w:val="single" w:sz="4" w:space="0" w:color="auto"/>
              <w:left w:val="single" w:sz="4" w:space="0" w:color="auto"/>
              <w:bottom w:val="single" w:sz="4" w:space="0" w:color="auto"/>
              <w:right w:val="single" w:sz="4" w:space="0" w:color="auto"/>
            </w:tcBorders>
          </w:tcPr>
          <w:p w14:paraId="16D96D0F" w14:textId="77777777" w:rsidR="00752778" w:rsidRPr="00920145" w:rsidRDefault="00752778" w:rsidP="00A23201">
            <w:pPr>
              <w:spacing w:after="120" w:line="360" w:lineRule="auto"/>
              <w:rPr>
                <w:rFonts w:ascii="Verdana" w:hAnsi="Verdana"/>
                <w:sz w:val="20"/>
                <w:szCs w:val="20"/>
              </w:rPr>
            </w:pPr>
            <w:r w:rsidRPr="00920145">
              <w:rPr>
                <w:rFonts w:ascii="Verdana" w:hAnsi="Verdana"/>
                <w:sz w:val="20"/>
                <w:szCs w:val="20"/>
              </w:rPr>
              <w:t>Równoważenie podstawowe dla statycznych ograniczeń wahań kursów</w:t>
            </w:r>
          </w:p>
        </w:tc>
        <w:tc>
          <w:tcPr>
            <w:tcW w:w="4423" w:type="dxa"/>
            <w:tcBorders>
              <w:top w:val="single" w:sz="4" w:space="0" w:color="auto"/>
              <w:left w:val="single" w:sz="4" w:space="0" w:color="auto"/>
              <w:bottom w:val="single" w:sz="4" w:space="0" w:color="auto"/>
              <w:right w:val="single" w:sz="4" w:space="0" w:color="auto"/>
            </w:tcBorders>
          </w:tcPr>
          <w:p w14:paraId="2E39A541" w14:textId="77777777" w:rsidR="00752778" w:rsidRPr="00920145" w:rsidRDefault="00752778" w:rsidP="00A23201">
            <w:pPr>
              <w:spacing w:after="120" w:line="360" w:lineRule="auto"/>
              <w:rPr>
                <w:rFonts w:ascii="Verdana" w:hAnsi="Verdana"/>
                <w:sz w:val="20"/>
                <w:szCs w:val="20"/>
              </w:rPr>
            </w:pPr>
            <w:r w:rsidRPr="00920145">
              <w:rPr>
                <w:rFonts w:ascii="Verdana" w:hAnsi="Verdana"/>
                <w:sz w:val="20"/>
                <w:szCs w:val="20"/>
              </w:rPr>
              <w:t>Tak</w:t>
            </w:r>
          </w:p>
        </w:tc>
      </w:tr>
      <w:tr w:rsidR="00752778" w:rsidRPr="00920145" w14:paraId="711B20C6" w14:textId="77777777" w:rsidTr="00CC4096">
        <w:tc>
          <w:tcPr>
            <w:tcW w:w="3373" w:type="dxa"/>
            <w:tcBorders>
              <w:top w:val="single" w:sz="4" w:space="0" w:color="auto"/>
              <w:left w:val="single" w:sz="4" w:space="0" w:color="auto"/>
              <w:bottom w:val="single" w:sz="4" w:space="0" w:color="auto"/>
              <w:right w:val="single" w:sz="4" w:space="0" w:color="auto"/>
            </w:tcBorders>
          </w:tcPr>
          <w:p w14:paraId="3D1C3200" w14:textId="77777777" w:rsidR="00752778" w:rsidRPr="00920145" w:rsidRDefault="00752778" w:rsidP="00A23201">
            <w:pPr>
              <w:spacing w:after="120" w:line="360" w:lineRule="auto"/>
              <w:rPr>
                <w:rFonts w:ascii="Verdana" w:hAnsi="Verdana"/>
                <w:sz w:val="20"/>
                <w:szCs w:val="20"/>
              </w:rPr>
            </w:pPr>
            <w:r w:rsidRPr="00920145">
              <w:rPr>
                <w:rFonts w:ascii="Verdana" w:hAnsi="Verdana"/>
                <w:sz w:val="20"/>
                <w:szCs w:val="20"/>
              </w:rPr>
              <w:t>Czas trwania równoważenia podstawowego dla statycznych ograniczeń wahań kursów</w:t>
            </w:r>
          </w:p>
        </w:tc>
        <w:tc>
          <w:tcPr>
            <w:tcW w:w="4423" w:type="dxa"/>
            <w:tcBorders>
              <w:top w:val="single" w:sz="4" w:space="0" w:color="auto"/>
              <w:left w:val="single" w:sz="4" w:space="0" w:color="auto"/>
              <w:bottom w:val="single" w:sz="4" w:space="0" w:color="auto"/>
              <w:right w:val="single" w:sz="4" w:space="0" w:color="auto"/>
            </w:tcBorders>
          </w:tcPr>
          <w:p w14:paraId="7DB703D6" w14:textId="77777777" w:rsidR="00752778" w:rsidRPr="00920145" w:rsidRDefault="00752778" w:rsidP="00A23201">
            <w:pPr>
              <w:spacing w:after="120" w:line="360" w:lineRule="auto"/>
              <w:rPr>
                <w:rFonts w:ascii="Verdana" w:hAnsi="Verdana"/>
                <w:sz w:val="20"/>
                <w:szCs w:val="20"/>
              </w:rPr>
            </w:pPr>
            <w:r w:rsidRPr="00920145">
              <w:rPr>
                <w:rFonts w:ascii="Verdana" w:hAnsi="Verdana"/>
                <w:sz w:val="20"/>
                <w:szCs w:val="20"/>
              </w:rPr>
              <w:t>300 sekund</w:t>
            </w:r>
          </w:p>
        </w:tc>
      </w:tr>
      <w:tr w:rsidR="00752778" w:rsidRPr="00920145" w14:paraId="5039A5E0" w14:textId="77777777" w:rsidTr="00CC4096">
        <w:tc>
          <w:tcPr>
            <w:tcW w:w="3373" w:type="dxa"/>
            <w:tcBorders>
              <w:top w:val="single" w:sz="4" w:space="0" w:color="auto"/>
              <w:left w:val="single" w:sz="4" w:space="0" w:color="auto"/>
              <w:bottom w:val="single" w:sz="4" w:space="0" w:color="auto"/>
              <w:right w:val="single" w:sz="4" w:space="0" w:color="auto"/>
            </w:tcBorders>
          </w:tcPr>
          <w:p w14:paraId="38C54BD5" w14:textId="77777777" w:rsidR="00752778" w:rsidRPr="00920145" w:rsidRDefault="00752778" w:rsidP="00A23201">
            <w:pPr>
              <w:spacing w:after="120" w:line="360" w:lineRule="auto"/>
              <w:rPr>
                <w:rFonts w:ascii="Verdana" w:hAnsi="Verdana"/>
                <w:sz w:val="20"/>
                <w:szCs w:val="20"/>
              </w:rPr>
            </w:pPr>
            <w:r w:rsidRPr="00920145">
              <w:rPr>
                <w:rFonts w:ascii="Verdana" w:hAnsi="Verdana"/>
                <w:sz w:val="20"/>
                <w:szCs w:val="20"/>
              </w:rPr>
              <w:t>Współczynnik przesunięcia kursu odniesienia dla równoważenia w fazie aukcji otwarcia</w:t>
            </w:r>
          </w:p>
        </w:tc>
        <w:tc>
          <w:tcPr>
            <w:tcW w:w="4423" w:type="dxa"/>
            <w:tcBorders>
              <w:top w:val="single" w:sz="4" w:space="0" w:color="auto"/>
              <w:left w:val="single" w:sz="4" w:space="0" w:color="auto"/>
              <w:bottom w:val="single" w:sz="4" w:space="0" w:color="auto"/>
              <w:right w:val="single" w:sz="4" w:space="0" w:color="auto"/>
            </w:tcBorders>
          </w:tcPr>
          <w:p w14:paraId="03FB069F" w14:textId="77777777" w:rsidR="00752778" w:rsidRPr="00920145" w:rsidRDefault="00752778" w:rsidP="00A23201">
            <w:pPr>
              <w:spacing w:after="120" w:line="360" w:lineRule="auto"/>
              <w:rPr>
                <w:rFonts w:ascii="Verdana" w:hAnsi="Verdana"/>
                <w:sz w:val="20"/>
                <w:szCs w:val="20"/>
              </w:rPr>
            </w:pPr>
            <w:r w:rsidRPr="00920145">
              <w:rPr>
                <w:rFonts w:ascii="Verdana" w:hAnsi="Verdana"/>
                <w:sz w:val="20"/>
                <w:szCs w:val="20"/>
              </w:rPr>
              <w:t>1</w:t>
            </w:r>
          </w:p>
        </w:tc>
      </w:tr>
      <w:tr w:rsidR="00752778" w:rsidRPr="00920145" w14:paraId="1610343A" w14:textId="77777777" w:rsidTr="00CC4096">
        <w:tc>
          <w:tcPr>
            <w:tcW w:w="3373" w:type="dxa"/>
            <w:tcBorders>
              <w:top w:val="single" w:sz="4" w:space="0" w:color="auto"/>
              <w:left w:val="single" w:sz="4" w:space="0" w:color="auto"/>
              <w:bottom w:val="single" w:sz="4" w:space="0" w:color="auto"/>
              <w:right w:val="single" w:sz="4" w:space="0" w:color="auto"/>
            </w:tcBorders>
          </w:tcPr>
          <w:p w14:paraId="4E9D7158" w14:textId="77777777" w:rsidR="00752778" w:rsidRPr="00920145" w:rsidRDefault="00752778" w:rsidP="00A23201">
            <w:pPr>
              <w:spacing w:after="120" w:line="360" w:lineRule="auto"/>
              <w:rPr>
                <w:rFonts w:ascii="Verdana" w:hAnsi="Verdana"/>
                <w:sz w:val="20"/>
                <w:szCs w:val="20"/>
              </w:rPr>
            </w:pPr>
            <w:r w:rsidRPr="00920145">
              <w:rPr>
                <w:rFonts w:ascii="Verdana" w:hAnsi="Verdana"/>
                <w:sz w:val="20"/>
                <w:szCs w:val="20"/>
              </w:rPr>
              <w:t>Współczynnik przesunięcia kursu odniesienia dla równoważenia w fazach innych niż faza aukcji otwarcia</w:t>
            </w:r>
          </w:p>
        </w:tc>
        <w:tc>
          <w:tcPr>
            <w:tcW w:w="4423" w:type="dxa"/>
            <w:tcBorders>
              <w:top w:val="single" w:sz="4" w:space="0" w:color="auto"/>
              <w:left w:val="single" w:sz="4" w:space="0" w:color="auto"/>
              <w:bottom w:val="single" w:sz="4" w:space="0" w:color="auto"/>
              <w:right w:val="single" w:sz="4" w:space="0" w:color="auto"/>
            </w:tcBorders>
          </w:tcPr>
          <w:p w14:paraId="09121730" w14:textId="77777777" w:rsidR="00752778" w:rsidRPr="00920145" w:rsidRDefault="00752778" w:rsidP="00A23201">
            <w:pPr>
              <w:spacing w:after="120" w:line="360" w:lineRule="auto"/>
              <w:rPr>
                <w:rFonts w:ascii="Verdana" w:hAnsi="Verdana"/>
                <w:sz w:val="20"/>
                <w:szCs w:val="20"/>
              </w:rPr>
            </w:pPr>
            <w:r w:rsidRPr="00920145">
              <w:rPr>
                <w:rFonts w:ascii="Verdana" w:hAnsi="Verdana"/>
                <w:sz w:val="20"/>
                <w:szCs w:val="20"/>
              </w:rPr>
              <w:t>0,5</w:t>
            </w:r>
          </w:p>
        </w:tc>
      </w:tr>
      <w:tr w:rsidR="00752778" w:rsidRPr="00920145" w14:paraId="19CA6B8B" w14:textId="77777777" w:rsidTr="00CC4096">
        <w:tc>
          <w:tcPr>
            <w:tcW w:w="3373" w:type="dxa"/>
            <w:tcBorders>
              <w:top w:val="single" w:sz="4" w:space="0" w:color="auto"/>
              <w:left w:val="single" w:sz="4" w:space="0" w:color="auto"/>
              <w:bottom w:val="single" w:sz="4" w:space="0" w:color="auto"/>
              <w:right w:val="single" w:sz="4" w:space="0" w:color="auto"/>
            </w:tcBorders>
          </w:tcPr>
          <w:p w14:paraId="06B059DC" w14:textId="77777777" w:rsidR="00752778" w:rsidRPr="00920145" w:rsidRDefault="00752778" w:rsidP="00A23201">
            <w:pPr>
              <w:spacing w:after="120" w:line="360" w:lineRule="auto"/>
              <w:rPr>
                <w:rFonts w:ascii="Verdana" w:hAnsi="Verdana"/>
                <w:sz w:val="20"/>
                <w:szCs w:val="20"/>
              </w:rPr>
            </w:pPr>
            <w:r w:rsidRPr="00920145">
              <w:rPr>
                <w:rFonts w:ascii="Verdana" w:hAnsi="Verdana"/>
                <w:sz w:val="20"/>
                <w:szCs w:val="20"/>
              </w:rPr>
              <w:t>Współczynnik maksymalnej liczby zmian netto statycznych ograniczeń wahań kursów</w:t>
            </w:r>
          </w:p>
        </w:tc>
        <w:tc>
          <w:tcPr>
            <w:tcW w:w="4423" w:type="dxa"/>
            <w:tcBorders>
              <w:top w:val="single" w:sz="4" w:space="0" w:color="auto"/>
              <w:left w:val="single" w:sz="4" w:space="0" w:color="auto"/>
              <w:bottom w:val="single" w:sz="4" w:space="0" w:color="auto"/>
              <w:right w:val="single" w:sz="4" w:space="0" w:color="auto"/>
            </w:tcBorders>
          </w:tcPr>
          <w:p w14:paraId="3673F6A8" w14:textId="77777777" w:rsidR="00752778" w:rsidRPr="00920145" w:rsidRDefault="00752778" w:rsidP="00A23201">
            <w:pPr>
              <w:spacing w:after="120" w:line="360" w:lineRule="auto"/>
              <w:rPr>
                <w:rFonts w:ascii="Verdana" w:hAnsi="Verdana"/>
                <w:sz w:val="20"/>
                <w:szCs w:val="20"/>
              </w:rPr>
            </w:pPr>
            <w:r w:rsidRPr="00920145">
              <w:rPr>
                <w:rFonts w:ascii="Verdana" w:hAnsi="Verdana"/>
                <w:sz w:val="20"/>
                <w:szCs w:val="20"/>
              </w:rPr>
              <w:t>2</w:t>
            </w:r>
          </w:p>
        </w:tc>
      </w:tr>
      <w:tr w:rsidR="00752778" w:rsidRPr="00920145" w14:paraId="33444E01" w14:textId="77777777" w:rsidTr="00CC4096">
        <w:tc>
          <w:tcPr>
            <w:tcW w:w="3373" w:type="dxa"/>
            <w:tcBorders>
              <w:top w:val="single" w:sz="4" w:space="0" w:color="auto"/>
              <w:left w:val="single" w:sz="4" w:space="0" w:color="auto"/>
              <w:bottom w:val="single" w:sz="4" w:space="0" w:color="auto"/>
              <w:right w:val="single" w:sz="4" w:space="0" w:color="auto"/>
            </w:tcBorders>
          </w:tcPr>
          <w:p w14:paraId="058C652D" w14:textId="77777777" w:rsidR="00752778" w:rsidRPr="00920145" w:rsidRDefault="00752778" w:rsidP="00A23201">
            <w:pPr>
              <w:spacing w:after="120" w:line="360" w:lineRule="auto"/>
              <w:rPr>
                <w:rFonts w:ascii="Verdana" w:hAnsi="Verdana"/>
                <w:sz w:val="20"/>
                <w:szCs w:val="20"/>
              </w:rPr>
            </w:pPr>
            <w:r w:rsidRPr="00920145">
              <w:rPr>
                <w:rFonts w:ascii="Verdana" w:hAnsi="Verdana"/>
                <w:sz w:val="20"/>
                <w:szCs w:val="20"/>
              </w:rPr>
              <w:t>Współczynnik rozszerzenia dla równoważenia w fazie aukcji otwarcia</w:t>
            </w:r>
          </w:p>
        </w:tc>
        <w:tc>
          <w:tcPr>
            <w:tcW w:w="4423" w:type="dxa"/>
            <w:tcBorders>
              <w:top w:val="single" w:sz="4" w:space="0" w:color="auto"/>
              <w:left w:val="single" w:sz="4" w:space="0" w:color="auto"/>
              <w:bottom w:val="single" w:sz="4" w:space="0" w:color="auto"/>
              <w:right w:val="single" w:sz="4" w:space="0" w:color="auto"/>
            </w:tcBorders>
          </w:tcPr>
          <w:p w14:paraId="7612333B" w14:textId="77777777" w:rsidR="00752778" w:rsidRPr="00920145" w:rsidRDefault="00752778" w:rsidP="00A23201">
            <w:pPr>
              <w:spacing w:after="120" w:line="360" w:lineRule="auto"/>
              <w:rPr>
                <w:rFonts w:ascii="Verdana" w:hAnsi="Verdana"/>
                <w:sz w:val="20"/>
                <w:szCs w:val="20"/>
              </w:rPr>
            </w:pPr>
            <w:r w:rsidRPr="00920145">
              <w:rPr>
                <w:rFonts w:ascii="Verdana" w:hAnsi="Verdana"/>
                <w:sz w:val="20"/>
                <w:szCs w:val="20"/>
              </w:rPr>
              <w:t>3,0</w:t>
            </w:r>
          </w:p>
        </w:tc>
      </w:tr>
      <w:tr w:rsidR="00752778" w:rsidRPr="00920145" w14:paraId="76E449A8" w14:textId="77777777" w:rsidTr="00CC4096">
        <w:tc>
          <w:tcPr>
            <w:tcW w:w="3373" w:type="dxa"/>
            <w:tcBorders>
              <w:top w:val="single" w:sz="4" w:space="0" w:color="auto"/>
              <w:left w:val="single" w:sz="4" w:space="0" w:color="auto"/>
              <w:bottom w:val="single" w:sz="4" w:space="0" w:color="auto"/>
              <w:right w:val="single" w:sz="4" w:space="0" w:color="auto"/>
            </w:tcBorders>
          </w:tcPr>
          <w:p w14:paraId="5E7141AC" w14:textId="77777777" w:rsidR="00752778" w:rsidRPr="00920145" w:rsidRDefault="00752778" w:rsidP="00A23201">
            <w:pPr>
              <w:spacing w:after="120" w:line="360" w:lineRule="auto"/>
              <w:rPr>
                <w:rFonts w:ascii="Verdana" w:hAnsi="Verdana"/>
                <w:sz w:val="20"/>
                <w:szCs w:val="20"/>
              </w:rPr>
            </w:pPr>
            <w:r w:rsidRPr="00920145">
              <w:rPr>
                <w:rFonts w:ascii="Verdana" w:hAnsi="Verdana"/>
                <w:sz w:val="20"/>
                <w:szCs w:val="20"/>
              </w:rPr>
              <w:t>Współczynnik rozszerzenia dla równoważenia w fazach innych niż faza aukcji otwarcia</w:t>
            </w:r>
          </w:p>
        </w:tc>
        <w:tc>
          <w:tcPr>
            <w:tcW w:w="4423" w:type="dxa"/>
            <w:tcBorders>
              <w:top w:val="single" w:sz="4" w:space="0" w:color="auto"/>
              <w:left w:val="single" w:sz="4" w:space="0" w:color="auto"/>
              <w:bottom w:val="single" w:sz="4" w:space="0" w:color="auto"/>
              <w:right w:val="single" w:sz="4" w:space="0" w:color="auto"/>
            </w:tcBorders>
          </w:tcPr>
          <w:p w14:paraId="39F13E00" w14:textId="77777777" w:rsidR="00752778" w:rsidRPr="00920145" w:rsidRDefault="00752778" w:rsidP="00A23201">
            <w:pPr>
              <w:spacing w:after="120" w:line="360" w:lineRule="auto"/>
              <w:rPr>
                <w:rFonts w:ascii="Verdana" w:hAnsi="Verdana"/>
                <w:sz w:val="20"/>
                <w:szCs w:val="20"/>
              </w:rPr>
            </w:pPr>
            <w:r w:rsidRPr="00920145">
              <w:rPr>
                <w:rFonts w:ascii="Verdana" w:hAnsi="Verdana"/>
                <w:sz w:val="20"/>
                <w:szCs w:val="20"/>
              </w:rPr>
              <w:t>2,0</w:t>
            </w:r>
          </w:p>
        </w:tc>
      </w:tr>
    </w:tbl>
    <w:p w14:paraId="0224C785" w14:textId="501AE1BA" w:rsidR="00752778" w:rsidRPr="00920145" w:rsidRDefault="00752778" w:rsidP="00A23201">
      <w:pPr>
        <w:pStyle w:val="Akapitzlist"/>
        <w:tabs>
          <w:tab w:val="left" w:pos="851"/>
        </w:tabs>
        <w:spacing w:after="120" w:line="360" w:lineRule="auto"/>
        <w:ind w:left="709"/>
        <w:contextualSpacing w:val="0"/>
        <w:jc w:val="both"/>
        <w:rPr>
          <w:rFonts w:ascii="Verdana" w:hAnsi="Verdana"/>
          <w:sz w:val="20"/>
          <w:szCs w:val="20"/>
        </w:rPr>
      </w:pPr>
    </w:p>
    <w:p w14:paraId="3F98D220" w14:textId="79BACC75" w:rsidR="00FD2889" w:rsidRPr="00920145" w:rsidRDefault="00C37BFA" w:rsidP="008362AE">
      <w:pPr>
        <w:pStyle w:val="Nagwek3"/>
      </w:pPr>
      <w:r w:rsidRPr="00920145">
        <w:lastRenderedPageBreak/>
        <w:t>w § 72a:</w:t>
      </w:r>
    </w:p>
    <w:p w14:paraId="0E428E15" w14:textId="1E158B0E" w:rsidR="00C37BFA" w:rsidRPr="00920145" w:rsidRDefault="00CC0B2E" w:rsidP="00F0275A">
      <w:pPr>
        <w:pStyle w:val="Akapitzlist"/>
        <w:numPr>
          <w:ilvl w:val="0"/>
          <w:numId w:val="103"/>
        </w:numPr>
        <w:tabs>
          <w:tab w:val="left" w:pos="851"/>
        </w:tabs>
        <w:spacing w:after="120" w:line="360" w:lineRule="auto"/>
        <w:ind w:left="851" w:hanging="284"/>
        <w:contextualSpacing w:val="0"/>
        <w:jc w:val="both"/>
        <w:rPr>
          <w:rFonts w:ascii="Verdana" w:hAnsi="Verdana"/>
          <w:sz w:val="20"/>
          <w:szCs w:val="20"/>
        </w:rPr>
      </w:pPr>
      <w:r w:rsidRPr="00920145">
        <w:rPr>
          <w:rFonts w:ascii="Verdana" w:hAnsi="Verdana"/>
          <w:sz w:val="20"/>
          <w:szCs w:val="20"/>
        </w:rPr>
        <w:t>w ust. 1 wyrazy „klasy notowań, o której mowa” zastępuje się wyrazami „segmentu notowań, o którym mowa”;</w:t>
      </w:r>
    </w:p>
    <w:p w14:paraId="1423B3A0" w14:textId="7D3EEE5E" w:rsidR="00CC0B2E" w:rsidRPr="00920145" w:rsidRDefault="00CC0B2E" w:rsidP="00F0275A">
      <w:pPr>
        <w:pStyle w:val="Akapitzlist"/>
        <w:numPr>
          <w:ilvl w:val="0"/>
          <w:numId w:val="103"/>
        </w:numPr>
        <w:tabs>
          <w:tab w:val="left" w:pos="851"/>
        </w:tabs>
        <w:spacing w:after="120" w:line="360" w:lineRule="auto"/>
        <w:ind w:left="851" w:hanging="284"/>
        <w:contextualSpacing w:val="0"/>
        <w:jc w:val="both"/>
        <w:rPr>
          <w:rFonts w:ascii="Verdana" w:hAnsi="Verdana"/>
          <w:sz w:val="20"/>
          <w:szCs w:val="20"/>
        </w:rPr>
      </w:pPr>
      <w:r w:rsidRPr="00920145">
        <w:rPr>
          <w:rFonts w:ascii="Verdana" w:hAnsi="Verdana"/>
          <w:sz w:val="20"/>
          <w:szCs w:val="20"/>
        </w:rPr>
        <w:t>w ust. 2 wyrazy „klasy notowań, o której mowa” zastępuje się wyrazami „segmentu notowań, o którym mowa”;</w:t>
      </w:r>
    </w:p>
    <w:p w14:paraId="10BD9564" w14:textId="13CD121C" w:rsidR="00CC0B2E" w:rsidRPr="00920145" w:rsidRDefault="00CC0B2E" w:rsidP="00F0275A">
      <w:pPr>
        <w:pStyle w:val="Akapitzlist"/>
        <w:numPr>
          <w:ilvl w:val="0"/>
          <w:numId w:val="103"/>
        </w:numPr>
        <w:tabs>
          <w:tab w:val="left" w:pos="851"/>
        </w:tabs>
        <w:spacing w:after="120" w:line="360" w:lineRule="auto"/>
        <w:ind w:left="851" w:hanging="284"/>
        <w:contextualSpacing w:val="0"/>
        <w:jc w:val="both"/>
        <w:rPr>
          <w:rFonts w:ascii="Verdana" w:hAnsi="Verdana"/>
          <w:sz w:val="20"/>
          <w:szCs w:val="20"/>
        </w:rPr>
      </w:pPr>
      <w:r w:rsidRPr="00920145">
        <w:rPr>
          <w:rFonts w:ascii="Verdana" w:hAnsi="Verdana"/>
          <w:sz w:val="20"/>
          <w:szCs w:val="20"/>
        </w:rPr>
        <w:t>w ust. 3 w zdaniu wprowadzającym wyrazy „klasy notowań, o której mowa” zastępuje się wyrazami „segmentu notowań, o którym mowa”;</w:t>
      </w:r>
    </w:p>
    <w:p w14:paraId="7F12BD09" w14:textId="59BBECD1" w:rsidR="00CC0B2E" w:rsidRPr="00920145" w:rsidRDefault="00CC0B2E" w:rsidP="00F0275A">
      <w:pPr>
        <w:pStyle w:val="Akapitzlist"/>
        <w:numPr>
          <w:ilvl w:val="0"/>
          <w:numId w:val="103"/>
        </w:numPr>
        <w:tabs>
          <w:tab w:val="left" w:pos="851"/>
        </w:tabs>
        <w:spacing w:after="240" w:line="360" w:lineRule="auto"/>
        <w:ind w:left="851" w:hanging="284"/>
        <w:contextualSpacing w:val="0"/>
        <w:jc w:val="both"/>
        <w:rPr>
          <w:rFonts w:ascii="Verdana" w:hAnsi="Verdana"/>
          <w:sz w:val="20"/>
          <w:szCs w:val="20"/>
        </w:rPr>
      </w:pPr>
      <w:r w:rsidRPr="00920145">
        <w:rPr>
          <w:rFonts w:ascii="Verdana" w:hAnsi="Verdana"/>
          <w:sz w:val="20"/>
          <w:szCs w:val="20"/>
        </w:rPr>
        <w:t>w ust. 4 wyrazy „klasy notowań, o której mowa” zastępuje się wyrazami „segmentu notowań, o którym mowa”;</w:t>
      </w:r>
    </w:p>
    <w:p w14:paraId="741C81EE" w14:textId="251E7B45" w:rsidR="00B878C0" w:rsidRPr="00920145" w:rsidRDefault="00266012" w:rsidP="008362AE">
      <w:pPr>
        <w:pStyle w:val="Nagwek3"/>
      </w:pPr>
      <w:r w:rsidRPr="00920145">
        <w:t>w § 72b:</w:t>
      </w:r>
    </w:p>
    <w:p w14:paraId="1D6BD172" w14:textId="17D7CB7E" w:rsidR="00266012" w:rsidRPr="00920145" w:rsidRDefault="00C3337D" w:rsidP="00A23201">
      <w:pPr>
        <w:tabs>
          <w:tab w:val="left" w:pos="284"/>
        </w:tabs>
        <w:spacing w:after="120" w:line="360" w:lineRule="auto"/>
        <w:jc w:val="both"/>
        <w:rPr>
          <w:rFonts w:ascii="Verdana" w:hAnsi="Verdana"/>
          <w:sz w:val="20"/>
          <w:szCs w:val="20"/>
        </w:rPr>
      </w:pPr>
      <w:r w:rsidRPr="00920145">
        <w:rPr>
          <w:rFonts w:ascii="Verdana" w:hAnsi="Verdana"/>
          <w:sz w:val="20"/>
          <w:szCs w:val="20"/>
        </w:rPr>
        <w:tab/>
      </w:r>
      <w:r w:rsidR="00F0275A" w:rsidRPr="00920145">
        <w:rPr>
          <w:rFonts w:ascii="Verdana" w:hAnsi="Verdana"/>
          <w:sz w:val="20"/>
          <w:szCs w:val="20"/>
        </w:rPr>
        <w:tab/>
      </w:r>
      <w:r w:rsidRPr="00920145">
        <w:rPr>
          <w:rFonts w:ascii="Verdana" w:hAnsi="Verdana"/>
          <w:sz w:val="20"/>
          <w:szCs w:val="20"/>
        </w:rPr>
        <w:t xml:space="preserve">a) </w:t>
      </w:r>
      <w:r w:rsidR="0010056D" w:rsidRPr="00920145">
        <w:rPr>
          <w:rFonts w:ascii="Verdana" w:hAnsi="Verdana"/>
          <w:sz w:val="20"/>
          <w:szCs w:val="20"/>
        </w:rPr>
        <w:t>ust. 1 otrzymuje brzmienie:</w:t>
      </w:r>
    </w:p>
    <w:p w14:paraId="785EF28B" w14:textId="404CE9B2" w:rsidR="0010056D" w:rsidRPr="00920145" w:rsidRDefault="0010056D" w:rsidP="00A23201">
      <w:pPr>
        <w:pStyle w:val="Akapitzlist"/>
        <w:tabs>
          <w:tab w:val="left" w:pos="851"/>
        </w:tabs>
        <w:spacing w:after="240" w:line="360" w:lineRule="auto"/>
        <w:ind w:left="709"/>
        <w:contextualSpacing w:val="0"/>
        <w:jc w:val="both"/>
        <w:rPr>
          <w:rFonts w:ascii="Verdana" w:hAnsi="Verdana"/>
          <w:sz w:val="20"/>
          <w:szCs w:val="20"/>
        </w:rPr>
      </w:pPr>
      <w:r w:rsidRPr="00920145">
        <w:rPr>
          <w:rFonts w:ascii="Verdana" w:hAnsi="Verdana"/>
          <w:sz w:val="20"/>
          <w:szCs w:val="20"/>
        </w:rPr>
        <w:t xml:space="preserve">„1. Zarząd Giełdy może postanowić o zaprzestaniu kwalifikowania danych akcji do  segmentu notowań, o  którym mowa odpowiednio w § 71 pkt 5) lub § 72 ust. 1a, na pisemny wniosek emitenta amerykańskiego, z zastrzeżeniem postanowień § 3 niniejszego Działu. W takim przypadku akcje te zostaną zaliczone do  nowego segmentu notowań, o którym mowa w ust. 5 lit. a) poniżej. W celu uniknięcia wątpliwości, różne akcje tej samej klasy emitenta amerykańskiego mogą być przedmiotem obrotu w dwóch segmentach notowań, z których akcje z jednego segmentu podlegają ograniczeniom wynikającym z amerykańskiego prawa papierów wartościowych </w:t>
      </w:r>
      <w:r w:rsidRPr="00920145">
        <w:rPr>
          <w:rFonts w:ascii="Verdana" w:hAnsi="Verdana"/>
          <w:sz w:val="20"/>
          <w:szCs w:val="20"/>
        </w:rPr>
        <w:br/>
        <w:t xml:space="preserve">(tj. § 71 pkt 5) lub § 72 ust. 1a), a akcje z innego segmentu nie podlegają takim ograniczeniom.”; </w:t>
      </w:r>
    </w:p>
    <w:p w14:paraId="7B9403B3" w14:textId="2A1A38C5" w:rsidR="0010056D" w:rsidRPr="00920145" w:rsidRDefault="00F0275A" w:rsidP="00A23201">
      <w:pPr>
        <w:pStyle w:val="Akapitzlist"/>
        <w:tabs>
          <w:tab w:val="left" w:pos="851"/>
        </w:tabs>
        <w:spacing w:after="240" w:line="360" w:lineRule="auto"/>
        <w:ind w:left="709" w:hanging="425"/>
        <w:contextualSpacing w:val="0"/>
        <w:jc w:val="both"/>
        <w:rPr>
          <w:rFonts w:ascii="Verdana" w:hAnsi="Verdana"/>
          <w:sz w:val="20"/>
          <w:szCs w:val="20"/>
        </w:rPr>
      </w:pPr>
      <w:r w:rsidRPr="00920145">
        <w:rPr>
          <w:rFonts w:ascii="Verdana" w:hAnsi="Verdana"/>
          <w:sz w:val="20"/>
          <w:szCs w:val="20"/>
        </w:rPr>
        <w:tab/>
      </w:r>
      <w:r w:rsidR="00C3337D" w:rsidRPr="00920145">
        <w:rPr>
          <w:rFonts w:ascii="Verdana" w:hAnsi="Verdana"/>
          <w:sz w:val="20"/>
          <w:szCs w:val="20"/>
        </w:rPr>
        <w:t xml:space="preserve">b) </w:t>
      </w:r>
      <w:r w:rsidR="0010056D" w:rsidRPr="00920145">
        <w:rPr>
          <w:rFonts w:ascii="Verdana" w:hAnsi="Verdana"/>
          <w:sz w:val="20"/>
          <w:szCs w:val="20"/>
        </w:rPr>
        <w:t>w ust. 2 wyrazy „klasy notowań, o której mowa” zastępuje się wyrazami „segmentu notowań, o którym mowa”;</w:t>
      </w:r>
    </w:p>
    <w:p w14:paraId="5FC7F7A3" w14:textId="26DACBD1" w:rsidR="0010056D" w:rsidRPr="00920145" w:rsidRDefault="00F0275A" w:rsidP="00A23201">
      <w:pPr>
        <w:pStyle w:val="Akapitzlist"/>
        <w:tabs>
          <w:tab w:val="left" w:pos="851"/>
        </w:tabs>
        <w:spacing w:after="120" w:line="360" w:lineRule="auto"/>
        <w:ind w:left="709" w:hanging="425"/>
        <w:contextualSpacing w:val="0"/>
        <w:jc w:val="both"/>
        <w:rPr>
          <w:rFonts w:ascii="Verdana" w:hAnsi="Verdana"/>
          <w:sz w:val="20"/>
          <w:szCs w:val="20"/>
        </w:rPr>
      </w:pPr>
      <w:r w:rsidRPr="00920145">
        <w:rPr>
          <w:rFonts w:ascii="Verdana" w:hAnsi="Verdana"/>
          <w:sz w:val="20"/>
          <w:szCs w:val="20"/>
        </w:rPr>
        <w:tab/>
      </w:r>
      <w:r w:rsidR="00C3337D" w:rsidRPr="00920145">
        <w:rPr>
          <w:rFonts w:ascii="Verdana" w:hAnsi="Verdana"/>
          <w:sz w:val="20"/>
          <w:szCs w:val="20"/>
        </w:rPr>
        <w:t xml:space="preserve">c) </w:t>
      </w:r>
      <w:r w:rsidR="0010056D" w:rsidRPr="00920145">
        <w:rPr>
          <w:rFonts w:ascii="Verdana" w:hAnsi="Verdana"/>
          <w:sz w:val="20"/>
          <w:szCs w:val="20"/>
        </w:rPr>
        <w:t>w ust. 5 lit. a) otrzymuje brzmienie:</w:t>
      </w:r>
    </w:p>
    <w:p w14:paraId="421B1EEC" w14:textId="57899A35" w:rsidR="0010056D" w:rsidRPr="00920145" w:rsidRDefault="0010056D" w:rsidP="00A23201">
      <w:pPr>
        <w:pStyle w:val="Akapitzlist"/>
        <w:tabs>
          <w:tab w:val="left" w:pos="851"/>
        </w:tabs>
        <w:spacing w:after="240" w:line="360" w:lineRule="auto"/>
        <w:ind w:left="709"/>
        <w:contextualSpacing w:val="0"/>
        <w:jc w:val="both"/>
        <w:rPr>
          <w:rFonts w:ascii="Verdana" w:hAnsi="Verdana"/>
          <w:sz w:val="20"/>
          <w:szCs w:val="20"/>
        </w:rPr>
      </w:pPr>
      <w:r w:rsidRPr="00920145">
        <w:rPr>
          <w:rFonts w:ascii="Verdana" w:hAnsi="Verdana"/>
          <w:sz w:val="20"/>
          <w:szCs w:val="20"/>
        </w:rPr>
        <w:t xml:space="preserve">„a) określa dla danych akcji nowy system notowań oraz segment notowań, </w:t>
      </w:r>
      <w:r w:rsidRPr="00920145">
        <w:rPr>
          <w:rFonts w:ascii="Verdana" w:hAnsi="Verdana"/>
          <w:sz w:val="20"/>
          <w:szCs w:val="20"/>
        </w:rPr>
        <w:br/>
        <w:t xml:space="preserve">a także nazwę skróconą i oznaczenie, pod jakimi akcje te będą notowane po zaprzestaniu ich kwalifikowania do  dotychczasowego segmentu notowań,”; </w:t>
      </w:r>
    </w:p>
    <w:p w14:paraId="54EDD538" w14:textId="3CE60ADD" w:rsidR="00FF1DF0" w:rsidRPr="00920145" w:rsidRDefault="00FF1DF0" w:rsidP="00A23201">
      <w:pPr>
        <w:pStyle w:val="Akapitzlist"/>
        <w:tabs>
          <w:tab w:val="left" w:pos="851"/>
        </w:tabs>
        <w:spacing w:after="240" w:line="360" w:lineRule="auto"/>
        <w:ind w:left="709"/>
        <w:contextualSpacing w:val="0"/>
        <w:jc w:val="both"/>
        <w:rPr>
          <w:rFonts w:ascii="Verdana" w:hAnsi="Verdana"/>
          <w:sz w:val="20"/>
          <w:szCs w:val="20"/>
        </w:rPr>
      </w:pPr>
    </w:p>
    <w:p w14:paraId="603B8A63" w14:textId="77777777" w:rsidR="00FF1DF0" w:rsidRPr="00920145" w:rsidRDefault="00FF1DF0" w:rsidP="00A23201">
      <w:pPr>
        <w:pStyle w:val="Akapitzlist"/>
        <w:tabs>
          <w:tab w:val="left" w:pos="851"/>
        </w:tabs>
        <w:spacing w:after="240" w:line="360" w:lineRule="auto"/>
        <w:ind w:left="709"/>
        <w:contextualSpacing w:val="0"/>
        <w:jc w:val="both"/>
        <w:rPr>
          <w:rFonts w:ascii="Verdana" w:hAnsi="Verdana"/>
          <w:sz w:val="20"/>
          <w:szCs w:val="20"/>
        </w:rPr>
      </w:pPr>
    </w:p>
    <w:p w14:paraId="642387BC" w14:textId="33D80528" w:rsidR="0010056D" w:rsidRPr="00920145" w:rsidRDefault="00412755" w:rsidP="008362AE">
      <w:pPr>
        <w:pStyle w:val="Nagwek3"/>
      </w:pPr>
      <w:r w:rsidRPr="00920145">
        <w:lastRenderedPageBreak/>
        <w:t>§ 73 otrzymuje brzmienie:</w:t>
      </w:r>
    </w:p>
    <w:p w14:paraId="014A90CC" w14:textId="3D31FFC6" w:rsidR="00412755" w:rsidRPr="00920145" w:rsidRDefault="00412755" w:rsidP="00A23201">
      <w:pPr>
        <w:pStyle w:val="Akapitzlist"/>
        <w:tabs>
          <w:tab w:val="left" w:pos="851"/>
        </w:tabs>
        <w:spacing w:after="120" w:line="360" w:lineRule="auto"/>
        <w:ind w:left="709"/>
        <w:contextualSpacing w:val="0"/>
        <w:jc w:val="both"/>
        <w:rPr>
          <w:rFonts w:ascii="Verdana" w:hAnsi="Verdana"/>
          <w:sz w:val="20"/>
          <w:szCs w:val="20"/>
        </w:rPr>
      </w:pPr>
      <w:r w:rsidRPr="00920145">
        <w:rPr>
          <w:rFonts w:ascii="Verdana" w:hAnsi="Verdana"/>
          <w:sz w:val="20"/>
          <w:szCs w:val="20"/>
        </w:rPr>
        <w:t>„§ 73</w:t>
      </w:r>
    </w:p>
    <w:p w14:paraId="283302E5" w14:textId="77777777" w:rsidR="00412755" w:rsidRPr="00920145" w:rsidRDefault="00412755" w:rsidP="00A23201">
      <w:pPr>
        <w:spacing w:after="120" w:line="360" w:lineRule="auto"/>
        <w:ind w:firstLine="708"/>
        <w:rPr>
          <w:rFonts w:ascii="Verdana" w:hAnsi="Verdana" w:cs="Arial"/>
          <w:sz w:val="20"/>
          <w:szCs w:val="18"/>
        </w:rPr>
      </w:pPr>
      <w:r w:rsidRPr="00920145">
        <w:rPr>
          <w:rFonts w:ascii="Verdana" w:hAnsi="Verdana" w:cs="Arial"/>
          <w:sz w:val="20"/>
          <w:szCs w:val="18"/>
        </w:rPr>
        <w:t xml:space="preserve">Szczegółowe warunki obrotu dla praw poboru w systemie notowań ciągłych: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4246"/>
      </w:tblGrid>
      <w:tr w:rsidR="0061428C" w:rsidRPr="00920145" w14:paraId="1B8F876F" w14:textId="77777777" w:rsidTr="002D5BBE">
        <w:tc>
          <w:tcPr>
            <w:tcW w:w="3544" w:type="dxa"/>
          </w:tcPr>
          <w:p w14:paraId="3762DEFC" w14:textId="77777777" w:rsidR="0061428C" w:rsidRPr="00920145" w:rsidRDefault="0061428C" w:rsidP="00A23201">
            <w:pPr>
              <w:spacing w:after="120" w:line="360" w:lineRule="auto"/>
              <w:rPr>
                <w:rFonts w:ascii="Verdana" w:hAnsi="Verdana"/>
                <w:sz w:val="20"/>
                <w:szCs w:val="18"/>
              </w:rPr>
            </w:pPr>
            <w:r w:rsidRPr="00920145">
              <w:rPr>
                <w:rFonts w:ascii="Verdana" w:hAnsi="Verdana"/>
                <w:sz w:val="20"/>
                <w:szCs w:val="18"/>
              </w:rPr>
              <w:t>Jednostka transakcyjna</w:t>
            </w:r>
          </w:p>
        </w:tc>
        <w:tc>
          <w:tcPr>
            <w:tcW w:w="4246" w:type="dxa"/>
          </w:tcPr>
          <w:p w14:paraId="67113E4A" w14:textId="77777777" w:rsidR="0061428C" w:rsidRPr="00920145" w:rsidRDefault="0061428C" w:rsidP="00A23201">
            <w:pPr>
              <w:spacing w:after="120" w:line="360" w:lineRule="auto"/>
              <w:ind w:left="83" w:hanging="8"/>
              <w:rPr>
                <w:rFonts w:ascii="Verdana" w:hAnsi="Verdana"/>
                <w:sz w:val="20"/>
                <w:szCs w:val="18"/>
              </w:rPr>
            </w:pPr>
            <w:r w:rsidRPr="00920145">
              <w:rPr>
                <w:rFonts w:ascii="Verdana" w:hAnsi="Verdana"/>
                <w:sz w:val="20"/>
                <w:szCs w:val="18"/>
              </w:rPr>
              <w:t>jeden instrument, chyba że Zarząd Giełdy określi inną jednostkę transakcyjną</w:t>
            </w:r>
          </w:p>
        </w:tc>
      </w:tr>
      <w:tr w:rsidR="004D3B91" w:rsidRPr="00920145" w14:paraId="2F02A29E" w14:textId="77777777" w:rsidTr="002D5BBE">
        <w:tc>
          <w:tcPr>
            <w:tcW w:w="3544" w:type="dxa"/>
          </w:tcPr>
          <w:p w14:paraId="5B025EDF" w14:textId="3DB50982" w:rsidR="004D3B91" w:rsidRPr="00920145" w:rsidDel="004D3B91" w:rsidRDefault="004D3B91" w:rsidP="004D3B91">
            <w:pPr>
              <w:spacing w:after="120" w:line="360" w:lineRule="auto"/>
              <w:rPr>
                <w:rFonts w:ascii="Verdana" w:hAnsi="Verdana"/>
                <w:sz w:val="20"/>
                <w:szCs w:val="18"/>
              </w:rPr>
            </w:pPr>
            <w:r w:rsidRPr="00920145">
              <w:rPr>
                <w:rFonts w:ascii="Verdana" w:hAnsi="Verdana"/>
                <w:sz w:val="20"/>
                <w:szCs w:val="20"/>
              </w:rPr>
              <w:t>Losowy czas otwarcia</w:t>
            </w:r>
            <w:r w:rsidRPr="00920145">
              <w:rPr>
                <w:rFonts w:ascii="Verdana" w:hAnsi="Verdana"/>
                <w:sz w:val="20"/>
                <w:szCs w:val="20"/>
              </w:rPr>
              <w:br/>
              <w:t>dla fazy aukcji otwarcia</w:t>
            </w:r>
          </w:p>
        </w:tc>
        <w:tc>
          <w:tcPr>
            <w:tcW w:w="4246" w:type="dxa"/>
          </w:tcPr>
          <w:p w14:paraId="04FE68AF" w14:textId="56A98EE7" w:rsidR="004D3B91" w:rsidRPr="00920145" w:rsidDel="004D3B91" w:rsidRDefault="00FF1DF0" w:rsidP="004D3B91">
            <w:pPr>
              <w:spacing w:after="120" w:line="360" w:lineRule="auto"/>
              <w:rPr>
                <w:rFonts w:ascii="Verdana" w:hAnsi="Verdana"/>
                <w:sz w:val="20"/>
                <w:szCs w:val="18"/>
              </w:rPr>
            </w:pPr>
            <w:r w:rsidRPr="00920145">
              <w:rPr>
                <w:rFonts w:ascii="Verdana" w:hAnsi="Verdana"/>
                <w:sz w:val="20"/>
                <w:szCs w:val="20"/>
              </w:rPr>
              <w:t>(</w:t>
            </w:r>
            <w:r w:rsidR="004D3B91" w:rsidRPr="00920145">
              <w:rPr>
                <w:rFonts w:ascii="Verdana" w:hAnsi="Verdana"/>
                <w:sz w:val="20"/>
                <w:szCs w:val="20"/>
              </w:rPr>
              <w:t>+</w:t>
            </w:r>
            <w:r w:rsidRPr="00920145">
              <w:rPr>
                <w:rFonts w:ascii="Verdana" w:hAnsi="Verdana"/>
                <w:sz w:val="20"/>
                <w:szCs w:val="20"/>
              </w:rPr>
              <w:t>)</w:t>
            </w:r>
            <w:r w:rsidR="004D3B91" w:rsidRPr="00920145">
              <w:rPr>
                <w:rFonts w:ascii="Verdana" w:hAnsi="Verdana"/>
                <w:sz w:val="20"/>
                <w:szCs w:val="20"/>
              </w:rPr>
              <w:t xml:space="preserve"> 0-30 sekund</w:t>
            </w:r>
          </w:p>
        </w:tc>
      </w:tr>
      <w:tr w:rsidR="004D3B91" w:rsidRPr="00920145" w14:paraId="7EB349AF" w14:textId="77777777" w:rsidTr="002D5BBE">
        <w:tc>
          <w:tcPr>
            <w:tcW w:w="3544" w:type="dxa"/>
          </w:tcPr>
          <w:p w14:paraId="3CCBC638" w14:textId="10F97519" w:rsidR="004D3B91" w:rsidRPr="00920145" w:rsidDel="004D3B91" w:rsidRDefault="004D3B91" w:rsidP="004D3B91">
            <w:pPr>
              <w:spacing w:after="120" w:line="360" w:lineRule="auto"/>
              <w:rPr>
                <w:rFonts w:ascii="Verdana" w:hAnsi="Verdana"/>
                <w:sz w:val="20"/>
                <w:szCs w:val="18"/>
              </w:rPr>
            </w:pPr>
            <w:r w:rsidRPr="00920145">
              <w:rPr>
                <w:rFonts w:ascii="Verdana" w:hAnsi="Verdana"/>
                <w:sz w:val="20"/>
                <w:szCs w:val="20"/>
              </w:rPr>
              <w:t>Losowy czas otwarcia</w:t>
            </w:r>
            <w:r w:rsidRPr="00920145">
              <w:rPr>
                <w:rFonts w:ascii="Verdana" w:hAnsi="Verdana"/>
                <w:sz w:val="20"/>
                <w:szCs w:val="20"/>
              </w:rPr>
              <w:br/>
              <w:t>dla fazy aukcji zamknięcia</w:t>
            </w:r>
          </w:p>
        </w:tc>
        <w:tc>
          <w:tcPr>
            <w:tcW w:w="4246" w:type="dxa"/>
          </w:tcPr>
          <w:p w14:paraId="7080225D" w14:textId="3398AE1E" w:rsidR="004D3B91" w:rsidRPr="00920145" w:rsidDel="004D3B91" w:rsidRDefault="00FF1DF0" w:rsidP="004D3B91">
            <w:pPr>
              <w:spacing w:after="120" w:line="360" w:lineRule="auto"/>
              <w:rPr>
                <w:rFonts w:ascii="Verdana" w:hAnsi="Verdana"/>
                <w:sz w:val="20"/>
                <w:szCs w:val="18"/>
              </w:rPr>
            </w:pPr>
            <w:r w:rsidRPr="00920145">
              <w:rPr>
                <w:rFonts w:ascii="Verdana" w:hAnsi="Verdana"/>
                <w:sz w:val="20"/>
                <w:szCs w:val="20"/>
              </w:rPr>
              <w:t>(</w:t>
            </w:r>
            <w:r w:rsidR="004D3B91" w:rsidRPr="00920145">
              <w:rPr>
                <w:rFonts w:ascii="Verdana" w:hAnsi="Verdana"/>
                <w:sz w:val="20"/>
                <w:szCs w:val="20"/>
              </w:rPr>
              <w:t>-</w:t>
            </w:r>
            <w:r w:rsidRPr="00920145">
              <w:rPr>
                <w:rFonts w:ascii="Verdana" w:hAnsi="Verdana"/>
                <w:sz w:val="20"/>
                <w:szCs w:val="20"/>
              </w:rPr>
              <w:t>)</w:t>
            </w:r>
            <w:r w:rsidR="004D3B91" w:rsidRPr="00920145">
              <w:rPr>
                <w:rFonts w:ascii="Verdana" w:hAnsi="Verdana"/>
                <w:sz w:val="20"/>
                <w:szCs w:val="20"/>
              </w:rPr>
              <w:t xml:space="preserve"> 0-30 sekund</w:t>
            </w:r>
          </w:p>
        </w:tc>
      </w:tr>
      <w:tr w:rsidR="0061428C" w:rsidRPr="00920145" w14:paraId="3ABF2016" w14:textId="77777777" w:rsidTr="002D5BBE">
        <w:tc>
          <w:tcPr>
            <w:tcW w:w="3544" w:type="dxa"/>
          </w:tcPr>
          <w:p w14:paraId="2AF44605" w14:textId="77777777" w:rsidR="0061428C" w:rsidRPr="00920145" w:rsidRDefault="0061428C" w:rsidP="00A23201">
            <w:pPr>
              <w:spacing w:after="120" w:line="360" w:lineRule="auto"/>
              <w:rPr>
                <w:rFonts w:ascii="Verdana" w:hAnsi="Verdana"/>
                <w:sz w:val="20"/>
                <w:szCs w:val="18"/>
              </w:rPr>
            </w:pPr>
            <w:r w:rsidRPr="00920145">
              <w:rPr>
                <w:rFonts w:ascii="Verdana" w:hAnsi="Verdana"/>
                <w:sz w:val="20"/>
                <w:szCs w:val="18"/>
              </w:rPr>
              <w:t>Wysokość statycznych ograniczeń wahań kursów</w:t>
            </w:r>
          </w:p>
          <w:p w14:paraId="782F0268" w14:textId="77777777" w:rsidR="0061428C" w:rsidRPr="00920145" w:rsidRDefault="0061428C" w:rsidP="00A23201">
            <w:pPr>
              <w:spacing w:after="120" w:line="360" w:lineRule="auto"/>
              <w:rPr>
                <w:rFonts w:ascii="Verdana" w:hAnsi="Verdana"/>
                <w:sz w:val="20"/>
                <w:szCs w:val="18"/>
              </w:rPr>
            </w:pPr>
          </w:p>
        </w:tc>
        <w:tc>
          <w:tcPr>
            <w:tcW w:w="4246" w:type="dxa"/>
          </w:tcPr>
          <w:p w14:paraId="3E7C52C2" w14:textId="77777777" w:rsidR="0061428C" w:rsidRPr="00920145" w:rsidRDefault="0061428C" w:rsidP="00876816">
            <w:pPr>
              <w:numPr>
                <w:ilvl w:val="1"/>
                <w:numId w:val="49"/>
              </w:numPr>
              <w:tabs>
                <w:tab w:val="left" w:pos="318"/>
              </w:tabs>
              <w:spacing w:after="120" w:line="360" w:lineRule="auto"/>
              <w:ind w:left="318"/>
              <w:jc w:val="both"/>
              <w:rPr>
                <w:rFonts w:ascii="Verdana" w:hAnsi="Verdana"/>
                <w:sz w:val="20"/>
                <w:szCs w:val="18"/>
              </w:rPr>
            </w:pPr>
            <w:r w:rsidRPr="00920145">
              <w:rPr>
                <w:rFonts w:ascii="Verdana" w:hAnsi="Verdana"/>
                <w:sz w:val="20"/>
                <w:szCs w:val="18"/>
              </w:rPr>
              <w:t xml:space="preserve">30,00% od kursu odniesienia - przy kursie odniesienia 0,0100 - 0,0999 jednostki waluty notowania </w:t>
            </w:r>
          </w:p>
          <w:p w14:paraId="427FA36F" w14:textId="77777777" w:rsidR="0061428C" w:rsidRPr="00920145" w:rsidRDefault="0061428C" w:rsidP="00876816">
            <w:pPr>
              <w:numPr>
                <w:ilvl w:val="1"/>
                <w:numId w:val="49"/>
              </w:numPr>
              <w:tabs>
                <w:tab w:val="left" w:pos="318"/>
              </w:tabs>
              <w:spacing w:after="120" w:line="360" w:lineRule="auto"/>
              <w:ind w:left="318"/>
              <w:jc w:val="both"/>
              <w:rPr>
                <w:rFonts w:ascii="Verdana" w:hAnsi="Verdana"/>
                <w:sz w:val="20"/>
                <w:szCs w:val="18"/>
              </w:rPr>
            </w:pPr>
            <w:r w:rsidRPr="00920145">
              <w:rPr>
                <w:rFonts w:ascii="Verdana" w:hAnsi="Verdana"/>
                <w:sz w:val="20"/>
                <w:szCs w:val="18"/>
              </w:rPr>
              <w:t xml:space="preserve">15,00% od kursu odniesienia - przy kursie odniesienia 0,1000 - 0,1999 jednostki waluty notowania  </w:t>
            </w:r>
          </w:p>
          <w:p w14:paraId="35ADB3B0" w14:textId="77777777" w:rsidR="0061428C" w:rsidRPr="00920145" w:rsidRDefault="0061428C" w:rsidP="00876816">
            <w:pPr>
              <w:numPr>
                <w:ilvl w:val="1"/>
                <w:numId w:val="49"/>
              </w:numPr>
              <w:tabs>
                <w:tab w:val="left" w:pos="318"/>
              </w:tabs>
              <w:spacing w:after="120" w:line="360" w:lineRule="auto"/>
              <w:ind w:left="318"/>
              <w:jc w:val="both"/>
              <w:rPr>
                <w:rFonts w:ascii="Verdana" w:hAnsi="Verdana"/>
                <w:sz w:val="20"/>
                <w:szCs w:val="18"/>
              </w:rPr>
            </w:pPr>
            <w:r w:rsidRPr="00920145">
              <w:rPr>
                <w:rFonts w:ascii="Verdana" w:hAnsi="Verdana"/>
                <w:sz w:val="20"/>
                <w:szCs w:val="18"/>
              </w:rPr>
              <w:t xml:space="preserve">10,00% od kursu odniesienia - przy kursie odniesienia 0,2000 – 0,2999 jednostki waluty notowania </w:t>
            </w:r>
          </w:p>
          <w:p w14:paraId="63D34306" w14:textId="77777777" w:rsidR="0061428C" w:rsidRPr="00920145" w:rsidRDefault="0061428C" w:rsidP="00876816">
            <w:pPr>
              <w:numPr>
                <w:ilvl w:val="1"/>
                <w:numId w:val="49"/>
              </w:numPr>
              <w:tabs>
                <w:tab w:val="left" w:pos="318"/>
              </w:tabs>
              <w:spacing w:after="120" w:line="360" w:lineRule="auto"/>
              <w:ind w:left="318"/>
              <w:jc w:val="both"/>
              <w:rPr>
                <w:rFonts w:ascii="Verdana" w:hAnsi="Verdana"/>
                <w:sz w:val="20"/>
                <w:szCs w:val="18"/>
              </w:rPr>
            </w:pPr>
            <w:r w:rsidRPr="00920145">
              <w:rPr>
                <w:rFonts w:ascii="Verdana" w:hAnsi="Verdana"/>
                <w:sz w:val="20"/>
                <w:szCs w:val="18"/>
              </w:rPr>
              <w:t xml:space="preserve">100,00% od kursu odniesienia – przy kursie odniesienia 0,3000 jednostki waluty notowania lub wyższym  </w:t>
            </w:r>
          </w:p>
        </w:tc>
      </w:tr>
      <w:tr w:rsidR="0061428C" w:rsidRPr="00920145" w14:paraId="37EA702F" w14:textId="77777777" w:rsidTr="002D5BBE">
        <w:tc>
          <w:tcPr>
            <w:tcW w:w="3544" w:type="dxa"/>
          </w:tcPr>
          <w:p w14:paraId="513EBCD7" w14:textId="77777777" w:rsidR="0061428C" w:rsidRPr="00920145" w:rsidRDefault="0061428C" w:rsidP="00A23201">
            <w:pPr>
              <w:spacing w:after="120" w:line="360" w:lineRule="auto"/>
              <w:rPr>
                <w:rFonts w:ascii="Verdana" w:hAnsi="Verdana"/>
                <w:sz w:val="20"/>
                <w:szCs w:val="18"/>
              </w:rPr>
            </w:pPr>
            <w:r w:rsidRPr="00920145">
              <w:rPr>
                <w:rFonts w:ascii="Verdana" w:hAnsi="Verdana"/>
                <w:sz w:val="20"/>
                <w:szCs w:val="18"/>
              </w:rPr>
              <w:t xml:space="preserve">Wysokość dynamicznych ograniczeń wahań kursów </w:t>
            </w:r>
          </w:p>
        </w:tc>
        <w:tc>
          <w:tcPr>
            <w:tcW w:w="4246" w:type="dxa"/>
          </w:tcPr>
          <w:p w14:paraId="6EDF5D91" w14:textId="77777777" w:rsidR="0061428C" w:rsidRPr="00920145" w:rsidRDefault="0061428C" w:rsidP="0098651A">
            <w:pPr>
              <w:numPr>
                <w:ilvl w:val="1"/>
                <w:numId w:val="48"/>
              </w:numPr>
              <w:tabs>
                <w:tab w:val="left" w:pos="318"/>
              </w:tabs>
              <w:spacing w:after="120" w:line="360" w:lineRule="auto"/>
              <w:ind w:left="318" w:hanging="284"/>
              <w:jc w:val="both"/>
              <w:rPr>
                <w:rFonts w:ascii="Verdana" w:hAnsi="Verdana"/>
                <w:sz w:val="20"/>
                <w:szCs w:val="18"/>
              </w:rPr>
            </w:pPr>
            <w:r w:rsidRPr="00920145">
              <w:rPr>
                <w:rFonts w:ascii="Verdana" w:hAnsi="Verdana"/>
                <w:sz w:val="20"/>
                <w:szCs w:val="18"/>
              </w:rPr>
              <w:t xml:space="preserve">10,00% od kursu odniesienia - przy kursie odniesienia 0,0100 - 0,0999 jednostki waluty notowania </w:t>
            </w:r>
          </w:p>
          <w:p w14:paraId="0A157F3C" w14:textId="77777777" w:rsidR="0061428C" w:rsidRPr="00920145" w:rsidRDefault="0061428C" w:rsidP="00876816">
            <w:pPr>
              <w:numPr>
                <w:ilvl w:val="1"/>
                <w:numId w:val="48"/>
              </w:numPr>
              <w:tabs>
                <w:tab w:val="left" w:pos="318"/>
              </w:tabs>
              <w:spacing w:after="120" w:line="360" w:lineRule="auto"/>
              <w:ind w:left="318" w:hanging="284"/>
              <w:jc w:val="both"/>
              <w:rPr>
                <w:rFonts w:ascii="Verdana" w:hAnsi="Verdana"/>
                <w:sz w:val="20"/>
                <w:szCs w:val="18"/>
              </w:rPr>
            </w:pPr>
            <w:r w:rsidRPr="00920145">
              <w:rPr>
                <w:rFonts w:ascii="Verdana" w:hAnsi="Verdana"/>
                <w:sz w:val="20"/>
                <w:szCs w:val="18"/>
              </w:rPr>
              <w:t xml:space="preserve">6,00% od kursu odniesienia - przy kursie odniesienia 0,1000 - 0,2999 jednostki waluty notowania    </w:t>
            </w:r>
          </w:p>
          <w:p w14:paraId="75BEE880" w14:textId="77777777" w:rsidR="0061428C" w:rsidRPr="00920145" w:rsidRDefault="0061428C" w:rsidP="00F8716B">
            <w:pPr>
              <w:numPr>
                <w:ilvl w:val="1"/>
                <w:numId w:val="48"/>
              </w:numPr>
              <w:tabs>
                <w:tab w:val="left" w:pos="318"/>
              </w:tabs>
              <w:spacing w:after="120" w:line="360" w:lineRule="auto"/>
              <w:ind w:left="318" w:hanging="284"/>
              <w:jc w:val="both"/>
              <w:rPr>
                <w:rFonts w:ascii="Verdana" w:hAnsi="Verdana"/>
                <w:sz w:val="20"/>
                <w:szCs w:val="18"/>
              </w:rPr>
            </w:pPr>
            <w:r w:rsidRPr="00920145">
              <w:rPr>
                <w:rFonts w:ascii="Verdana" w:hAnsi="Verdana"/>
                <w:sz w:val="20"/>
                <w:szCs w:val="18"/>
              </w:rPr>
              <w:t>15,00% od kursu odniesienia - przy kursie odniesienia 0,3000 jednostki waluty notowania lub wyższym</w:t>
            </w:r>
          </w:p>
        </w:tc>
      </w:tr>
      <w:tr w:rsidR="0061428C" w:rsidRPr="00920145" w14:paraId="0898A0D7" w14:textId="77777777" w:rsidTr="002D5BBE">
        <w:tc>
          <w:tcPr>
            <w:tcW w:w="3544" w:type="dxa"/>
          </w:tcPr>
          <w:p w14:paraId="29FF3728" w14:textId="77777777" w:rsidR="0061428C" w:rsidRPr="00920145" w:rsidRDefault="0061428C" w:rsidP="00A23201">
            <w:pPr>
              <w:spacing w:after="120" w:line="360" w:lineRule="auto"/>
              <w:rPr>
                <w:rFonts w:ascii="Verdana" w:hAnsi="Verdana"/>
                <w:sz w:val="20"/>
                <w:szCs w:val="18"/>
              </w:rPr>
            </w:pPr>
            <w:r w:rsidRPr="00920145">
              <w:rPr>
                <w:rFonts w:ascii="Verdana" w:hAnsi="Verdana"/>
                <w:sz w:val="20"/>
                <w:szCs w:val="18"/>
              </w:rPr>
              <w:t xml:space="preserve">Maksymalne wartości dla limitów cen w zleceniu maklerskim    </w:t>
            </w:r>
          </w:p>
        </w:tc>
        <w:tc>
          <w:tcPr>
            <w:tcW w:w="4246" w:type="dxa"/>
          </w:tcPr>
          <w:p w14:paraId="29D5C2A3" w14:textId="2E02879F" w:rsidR="0061428C" w:rsidRPr="00920145" w:rsidRDefault="0061428C" w:rsidP="00A23201">
            <w:pPr>
              <w:spacing w:after="120" w:line="360" w:lineRule="auto"/>
              <w:rPr>
                <w:rFonts w:ascii="Verdana" w:hAnsi="Verdana"/>
                <w:sz w:val="20"/>
                <w:szCs w:val="18"/>
              </w:rPr>
            </w:pPr>
            <w:r w:rsidRPr="00920145">
              <w:rPr>
                <w:rFonts w:ascii="Verdana" w:hAnsi="Verdana"/>
                <w:sz w:val="20"/>
                <w:szCs w:val="18"/>
              </w:rPr>
              <w:t>200% względem kursu odniesienia dla statycznych ograniczeń wahań kursu</w:t>
            </w:r>
          </w:p>
        </w:tc>
      </w:tr>
      <w:tr w:rsidR="0061428C" w:rsidRPr="00920145" w14:paraId="145739B0" w14:textId="77777777" w:rsidTr="002D5BBE">
        <w:tc>
          <w:tcPr>
            <w:tcW w:w="3544" w:type="dxa"/>
          </w:tcPr>
          <w:p w14:paraId="625EFF5E" w14:textId="77777777" w:rsidR="0061428C" w:rsidRPr="00920145" w:rsidRDefault="0061428C" w:rsidP="00A23201">
            <w:pPr>
              <w:spacing w:after="120" w:line="360" w:lineRule="auto"/>
              <w:rPr>
                <w:rFonts w:ascii="Verdana" w:hAnsi="Verdana"/>
                <w:sz w:val="20"/>
                <w:szCs w:val="18"/>
              </w:rPr>
            </w:pPr>
            <w:r w:rsidRPr="00920145">
              <w:rPr>
                <w:rFonts w:ascii="Verdana" w:hAnsi="Verdana"/>
                <w:sz w:val="20"/>
                <w:szCs w:val="18"/>
              </w:rPr>
              <w:lastRenderedPageBreak/>
              <w:t xml:space="preserve">Maksymalna wartość zlecenia maklerskiego     </w:t>
            </w:r>
          </w:p>
        </w:tc>
        <w:tc>
          <w:tcPr>
            <w:tcW w:w="4246" w:type="dxa"/>
          </w:tcPr>
          <w:p w14:paraId="717799E1" w14:textId="3219A665" w:rsidR="0061428C" w:rsidRPr="00920145" w:rsidRDefault="0061428C" w:rsidP="00A23201">
            <w:pPr>
              <w:spacing w:after="120" w:line="360" w:lineRule="auto"/>
              <w:rPr>
                <w:rFonts w:ascii="Verdana" w:hAnsi="Verdana"/>
                <w:sz w:val="20"/>
                <w:szCs w:val="18"/>
              </w:rPr>
            </w:pPr>
            <w:r w:rsidRPr="00920145">
              <w:rPr>
                <w:rFonts w:ascii="Verdana" w:hAnsi="Verdana"/>
                <w:sz w:val="20"/>
                <w:szCs w:val="18"/>
              </w:rPr>
              <w:t xml:space="preserve">10.000.000 jednostek waluty notowania </w:t>
            </w:r>
          </w:p>
        </w:tc>
      </w:tr>
      <w:tr w:rsidR="0061428C" w:rsidRPr="00920145" w14:paraId="33915421" w14:textId="77777777" w:rsidTr="002D5BBE">
        <w:tc>
          <w:tcPr>
            <w:tcW w:w="3544" w:type="dxa"/>
            <w:tcBorders>
              <w:top w:val="single" w:sz="4" w:space="0" w:color="auto"/>
              <w:left w:val="single" w:sz="4" w:space="0" w:color="auto"/>
              <w:bottom w:val="single" w:sz="4" w:space="0" w:color="auto"/>
              <w:right w:val="single" w:sz="4" w:space="0" w:color="auto"/>
            </w:tcBorders>
          </w:tcPr>
          <w:p w14:paraId="714CCC9B" w14:textId="77777777" w:rsidR="0061428C" w:rsidRPr="00920145" w:rsidRDefault="0061428C" w:rsidP="00A23201">
            <w:pPr>
              <w:spacing w:after="120" w:line="360" w:lineRule="auto"/>
              <w:rPr>
                <w:rFonts w:ascii="Verdana" w:hAnsi="Verdana"/>
                <w:sz w:val="20"/>
                <w:szCs w:val="18"/>
              </w:rPr>
            </w:pPr>
            <w:r w:rsidRPr="00920145">
              <w:rPr>
                <w:rFonts w:ascii="Verdana" w:hAnsi="Verdana"/>
                <w:sz w:val="20"/>
                <w:szCs w:val="18"/>
              </w:rPr>
              <w:t xml:space="preserve">Maksymalny wolumen zlecenia maklerskiego     </w:t>
            </w:r>
          </w:p>
        </w:tc>
        <w:tc>
          <w:tcPr>
            <w:tcW w:w="4246" w:type="dxa"/>
            <w:tcBorders>
              <w:top w:val="single" w:sz="4" w:space="0" w:color="auto"/>
              <w:left w:val="single" w:sz="4" w:space="0" w:color="auto"/>
              <w:bottom w:val="single" w:sz="4" w:space="0" w:color="auto"/>
              <w:right w:val="single" w:sz="4" w:space="0" w:color="auto"/>
            </w:tcBorders>
          </w:tcPr>
          <w:p w14:paraId="2A5254F0" w14:textId="77777777" w:rsidR="0061428C" w:rsidRPr="00920145" w:rsidRDefault="0061428C" w:rsidP="00A23201">
            <w:pPr>
              <w:spacing w:after="120" w:line="360" w:lineRule="auto"/>
              <w:jc w:val="both"/>
              <w:rPr>
                <w:rFonts w:ascii="Verdana" w:hAnsi="Verdana"/>
                <w:sz w:val="20"/>
                <w:szCs w:val="18"/>
              </w:rPr>
            </w:pPr>
            <w:r w:rsidRPr="00920145">
              <w:rPr>
                <w:rFonts w:ascii="Verdana" w:hAnsi="Verdana"/>
                <w:sz w:val="20"/>
                <w:szCs w:val="18"/>
              </w:rPr>
              <w:t>2% instrumentów finansowych wprowadzonych do obrotu giełdowego i oznaczonych tym samym kodem ISIN, a w przypadku gdy 2% tych instrumentów stanowi mniej niż 1.000.000 instrumentów – nie więcej  niż 1.000.000 instrumentów</w:t>
            </w:r>
          </w:p>
        </w:tc>
      </w:tr>
      <w:tr w:rsidR="0061428C" w:rsidRPr="00920145" w14:paraId="23A29A4E" w14:textId="77777777" w:rsidTr="002D5BBE">
        <w:tc>
          <w:tcPr>
            <w:tcW w:w="3544" w:type="dxa"/>
            <w:tcBorders>
              <w:top w:val="single" w:sz="4" w:space="0" w:color="auto"/>
              <w:left w:val="single" w:sz="4" w:space="0" w:color="auto"/>
              <w:bottom w:val="single" w:sz="4" w:space="0" w:color="auto"/>
              <w:right w:val="single" w:sz="4" w:space="0" w:color="auto"/>
            </w:tcBorders>
          </w:tcPr>
          <w:p w14:paraId="695540C4" w14:textId="77777777" w:rsidR="0061428C" w:rsidRPr="00920145" w:rsidRDefault="0061428C" w:rsidP="00A23201">
            <w:pPr>
              <w:spacing w:after="120" w:line="360" w:lineRule="auto"/>
              <w:rPr>
                <w:rFonts w:ascii="Verdana" w:hAnsi="Verdana"/>
                <w:sz w:val="20"/>
                <w:szCs w:val="18"/>
              </w:rPr>
            </w:pPr>
            <w:r w:rsidRPr="00920145">
              <w:rPr>
                <w:rFonts w:ascii="Verdana" w:hAnsi="Verdana"/>
                <w:sz w:val="20"/>
                <w:szCs w:val="18"/>
              </w:rPr>
              <w:t>Równoważenie podstawowe dla statycznych ograniczeń wahań kursów</w:t>
            </w:r>
          </w:p>
        </w:tc>
        <w:tc>
          <w:tcPr>
            <w:tcW w:w="4246" w:type="dxa"/>
            <w:tcBorders>
              <w:top w:val="single" w:sz="4" w:space="0" w:color="auto"/>
              <w:left w:val="single" w:sz="4" w:space="0" w:color="auto"/>
              <w:bottom w:val="single" w:sz="4" w:space="0" w:color="auto"/>
              <w:right w:val="single" w:sz="4" w:space="0" w:color="auto"/>
            </w:tcBorders>
          </w:tcPr>
          <w:p w14:paraId="06A283B0" w14:textId="77777777" w:rsidR="0061428C" w:rsidRPr="00920145" w:rsidRDefault="0061428C" w:rsidP="00A23201">
            <w:pPr>
              <w:spacing w:after="120" w:line="360" w:lineRule="auto"/>
              <w:rPr>
                <w:rFonts w:ascii="Verdana" w:hAnsi="Verdana"/>
                <w:sz w:val="20"/>
                <w:szCs w:val="18"/>
              </w:rPr>
            </w:pPr>
            <w:r w:rsidRPr="00920145">
              <w:rPr>
                <w:rFonts w:ascii="Verdana" w:hAnsi="Verdana"/>
                <w:sz w:val="20"/>
                <w:szCs w:val="18"/>
              </w:rPr>
              <w:t>Tak</w:t>
            </w:r>
          </w:p>
        </w:tc>
      </w:tr>
      <w:tr w:rsidR="0061428C" w:rsidRPr="00920145" w14:paraId="45C40413" w14:textId="77777777" w:rsidTr="002D5BBE">
        <w:tc>
          <w:tcPr>
            <w:tcW w:w="3544" w:type="dxa"/>
            <w:tcBorders>
              <w:top w:val="single" w:sz="4" w:space="0" w:color="auto"/>
              <w:left w:val="single" w:sz="4" w:space="0" w:color="auto"/>
              <w:bottom w:val="single" w:sz="4" w:space="0" w:color="auto"/>
              <w:right w:val="single" w:sz="4" w:space="0" w:color="auto"/>
            </w:tcBorders>
          </w:tcPr>
          <w:p w14:paraId="300671FC" w14:textId="77777777" w:rsidR="0061428C" w:rsidRPr="00920145" w:rsidRDefault="0061428C" w:rsidP="00A23201">
            <w:pPr>
              <w:spacing w:after="120" w:line="360" w:lineRule="auto"/>
              <w:rPr>
                <w:rFonts w:ascii="Verdana" w:hAnsi="Verdana"/>
                <w:sz w:val="20"/>
                <w:szCs w:val="18"/>
              </w:rPr>
            </w:pPr>
            <w:r w:rsidRPr="00920145">
              <w:rPr>
                <w:rFonts w:ascii="Verdana" w:hAnsi="Verdana"/>
                <w:sz w:val="20"/>
                <w:szCs w:val="18"/>
              </w:rPr>
              <w:t>Czas trwania równoważenia podstawowego dla statycznych ograniczeń wahań kursów</w:t>
            </w:r>
          </w:p>
        </w:tc>
        <w:tc>
          <w:tcPr>
            <w:tcW w:w="4246" w:type="dxa"/>
            <w:tcBorders>
              <w:top w:val="single" w:sz="4" w:space="0" w:color="auto"/>
              <w:left w:val="single" w:sz="4" w:space="0" w:color="auto"/>
              <w:bottom w:val="single" w:sz="4" w:space="0" w:color="auto"/>
              <w:right w:val="single" w:sz="4" w:space="0" w:color="auto"/>
            </w:tcBorders>
          </w:tcPr>
          <w:p w14:paraId="024FAD9D" w14:textId="77777777" w:rsidR="0061428C" w:rsidRPr="00920145" w:rsidRDefault="0061428C" w:rsidP="00A23201">
            <w:pPr>
              <w:spacing w:after="120" w:line="360" w:lineRule="auto"/>
              <w:rPr>
                <w:rFonts w:ascii="Verdana" w:hAnsi="Verdana"/>
                <w:sz w:val="20"/>
                <w:szCs w:val="18"/>
              </w:rPr>
            </w:pPr>
            <w:r w:rsidRPr="00920145">
              <w:rPr>
                <w:rFonts w:ascii="Verdana" w:hAnsi="Verdana"/>
                <w:sz w:val="20"/>
                <w:szCs w:val="18"/>
              </w:rPr>
              <w:t>300 sekund</w:t>
            </w:r>
          </w:p>
        </w:tc>
      </w:tr>
      <w:tr w:rsidR="0061428C" w:rsidRPr="00920145" w14:paraId="7742E3AF" w14:textId="77777777" w:rsidTr="002D5BBE">
        <w:tc>
          <w:tcPr>
            <w:tcW w:w="3544" w:type="dxa"/>
            <w:tcBorders>
              <w:top w:val="single" w:sz="4" w:space="0" w:color="auto"/>
              <w:left w:val="single" w:sz="4" w:space="0" w:color="auto"/>
              <w:bottom w:val="single" w:sz="4" w:space="0" w:color="auto"/>
              <w:right w:val="single" w:sz="4" w:space="0" w:color="auto"/>
            </w:tcBorders>
          </w:tcPr>
          <w:p w14:paraId="0BDD34E9" w14:textId="77777777" w:rsidR="0061428C" w:rsidRPr="00920145" w:rsidRDefault="0061428C" w:rsidP="00A23201">
            <w:pPr>
              <w:spacing w:after="120" w:line="360" w:lineRule="auto"/>
              <w:rPr>
                <w:rFonts w:ascii="Verdana" w:hAnsi="Verdana"/>
                <w:sz w:val="20"/>
                <w:szCs w:val="18"/>
              </w:rPr>
            </w:pPr>
            <w:r w:rsidRPr="00920145">
              <w:rPr>
                <w:rFonts w:ascii="Verdana" w:hAnsi="Verdana"/>
                <w:sz w:val="20"/>
                <w:szCs w:val="18"/>
              </w:rPr>
              <w:t>Współczynnik przesunięcia kursu odniesienia dla równoważenia w fazie aukcji otwarcia</w:t>
            </w:r>
          </w:p>
        </w:tc>
        <w:tc>
          <w:tcPr>
            <w:tcW w:w="4246" w:type="dxa"/>
            <w:tcBorders>
              <w:top w:val="single" w:sz="4" w:space="0" w:color="auto"/>
              <w:left w:val="single" w:sz="4" w:space="0" w:color="auto"/>
              <w:bottom w:val="single" w:sz="4" w:space="0" w:color="auto"/>
              <w:right w:val="single" w:sz="4" w:space="0" w:color="auto"/>
            </w:tcBorders>
          </w:tcPr>
          <w:p w14:paraId="40437742" w14:textId="77777777" w:rsidR="0061428C" w:rsidRPr="00920145" w:rsidRDefault="0061428C" w:rsidP="00A23201">
            <w:pPr>
              <w:spacing w:after="120" w:line="360" w:lineRule="auto"/>
              <w:rPr>
                <w:rFonts w:ascii="Verdana" w:hAnsi="Verdana"/>
                <w:sz w:val="20"/>
                <w:szCs w:val="18"/>
              </w:rPr>
            </w:pPr>
            <w:r w:rsidRPr="00920145">
              <w:rPr>
                <w:rFonts w:ascii="Verdana" w:hAnsi="Verdana"/>
                <w:sz w:val="20"/>
                <w:szCs w:val="18"/>
              </w:rPr>
              <w:t>1</w:t>
            </w:r>
          </w:p>
        </w:tc>
      </w:tr>
      <w:tr w:rsidR="0061428C" w:rsidRPr="00920145" w14:paraId="3B120681" w14:textId="77777777" w:rsidTr="002D5BBE">
        <w:tc>
          <w:tcPr>
            <w:tcW w:w="3544" w:type="dxa"/>
            <w:tcBorders>
              <w:top w:val="single" w:sz="4" w:space="0" w:color="auto"/>
              <w:left w:val="single" w:sz="4" w:space="0" w:color="auto"/>
              <w:bottom w:val="single" w:sz="4" w:space="0" w:color="auto"/>
              <w:right w:val="single" w:sz="4" w:space="0" w:color="auto"/>
            </w:tcBorders>
          </w:tcPr>
          <w:p w14:paraId="5C25A011" w14:textId="77777777" w:rsidR="0061428C" w:rsidRPr="00920145" w:rsidRDefault="0061428C" w:rsidP="00A23201">
            <w:pPr>
              <w:spacing w:after="120" w:line="360" w:lineRule="auto"/>
              <w:rPr>
                <w:rFonts w:ascii="Verdana" w:hAnsi="Verdana"/>
                <w:sz w:val="20"/>
                <w:szCs w:val="18"/>
              </w:rPr>
            </w:pPr>
            <w:r w:rsidRPr="00920145">
              <w:rPr>
                <w:rFonts w:ascii="Verdana" w:hAnsi="Verdana"/>
                <w:sz w:val="20"/>
                <w:szCs w:val="18"/>
              </w:rPr>
              <w:t>Współczynnik przesunięcia kursu odniesienia dla równoważenia w fazach innych niż faza aukcji otwarcia</w:t>
            </w:r>
          </w:p>
        </w:tc>
        <w:tc>
          <w:tcPr>
            <w:tcW w:w="4246" w:type="dxa"/>
            <w:tcBorders>
              <w:top w:val="single" w:sz="4" w:space="0" w:color="auto"/>
              <w:left w:val="single" w:sz="4" w:space="0" w:color="auto"/>
              <w:bottom w:val="single" w:sz="4" w:space="0" w:color="auto"/>
              <w:right w:val="single" w:sz="4" w:space="0" w:color="auto"/>
            </w:tcBorders>
          </w:tcPr>
          <w:p w14:paraId="2A7A90CE" w14:textId="77777777" w:rsidR="0061428C" w:rsidRPr="00920145" w:rsidRDefault="0061428C" w:rsidP="00A23201">
            <w:pPr>
              <w:spacing w:after="120" w:line="360" w:lineRule="auto"/>
              <w:rPr>
                <w:rFonts w:ascii="Verdana" w:hAnsi="Verdana"/>
                <w:sz w:val="20"/>
                <w:szCs w:val="18"/>
              </w:rPr>
            </w:pPr>
            <w:r w:rsidRPr="00920145">
              <w:rPr>
                <w:rFonts w:ascii="Verdana" w:hAnsi="Verdana"/>
                <w:sz w:val="20"/>
                <w:szCs w:val="18"/>
              </w:rPr>
              <w:t>0,5</w:t>
            </w:r>
          </w:p>
        </w:tc>
      </w:tr>
      <w:tr w:rsidR="0061428C" w:rsidRPr="00920145" w14:paraId="77407919" w14:textId="77777777" w:rsidTr="002D5BBE">
        <w:tc>
          <w:tcPr>
            <w:tcW w:w="3544" w:type="dxa"/>
            <w:tcBorders>
              <w:top w:val="single" w:sz="4" w:space="0" w:color="auto"/>
              <w:left w:val="single" w:sz="4" w:space="0" w:color="auto"/>
              <w:bottom w:val="single" w:sz="4" w:space="0" w:color="auto"/>
              <w:right w:val="single" w:sz="4" w:space="0" w:color="auto"/>
            </w:tcBorders>
          </w:tcPr>
          <w:p w14:paraId="3D904A45" w14:textId="77777777" w:rsidR="0061428C" w:rsidRPr="00920145" w:rsidRDefault="0061428C" w:rsidP="00A23201">
            <w:pPr>
              <w:spacing w:after="120" w:line="360" w:lineRule="auto"/>
              <w:rPr>
                <w:rFonts w:ascii="Verdana" w:hAnsi="Verdana"/>
                <w:sz w:val="20"/>
                <w:szCs w:val="18"/>
              </w:rPr>
            </w:pPr>
            <w:r w:rsidRPr="00920145">
              <w:rPr>
                <w:rFonts w:ascii="Verdana" w:hAnsi="Verdana"/>
                <w:sz w:val="20"/>
                <w:szCs w:val="18"/>
              </w:rPr>
              <w:t>Współczynnik maksymalnej liczby zmian netto statycznych ograniczeń wahań kursów</w:t>
            </w:r>
          </w:p>
        </w:tc>
        <w:tc>
          <w:tcPr>
            <w:tcW w:w="4246" w:type="dxa"/>
            <w:tcBorders>
              <w:top w:val="single" w:sz="4" w:space="0" w:color="auto"/>
              <w:left w:val="single" w:sz="4" w:space="0" w:color="auto"/>
              <w:bottom w:val="single" w:sz="4" w:space="0" w:color="auto"/>
              <w:right w:val="single" w:sz="4" w:space="0" w:color="auto"/>
            </w:tcBorders>
          </w:tcPr>
          <w:p w14:paraId="637E16E0" w14:textId="77777777" w:rsidR="0061428C" w:rsidRPr="00920145" w:rsidRDefault="0061428C" w:rsidP="00A23201">
            <w:pPr>
              <w:spacing w:after="120" w:line="360" w:lineRule="auto"/>
              <w:rPr>
                <w:rFonts w:ascii="Verdana" w:hAnsi="Verdana"/>
                <w:sz w:val="20"/>
                <w:szCs w:val="18"/>
              </w:rPr>
            </w:pPr>
            <w:r w:rsidRPr="00920145">
              <w:rPr>
                <w:rFonts w:ascii="Verdana" w:hAnsi="Verdana"/>
                <w:sz w:val="20"/>
                <w:szCs w:val="18"/>
              </w:rPr>
              <w:t>2</w:t>
            </w:r>
          </w:p>
        </w:tc>
      </w:tr>
      <w:tr w:rsidR="0061428C" w:rsidRPr="00920145" w14:paraId="042F6C7B" w14:textId="77777777" w:rsidTr="002D5BBE">
        <w:tc>
          <w:tcPr>
            <w:tcW w:w="3544" w:type="dxa"/>
            <w:tcBorders>
              <w:top w:val="single" w:sz="4" w:space="0" w:color="auto"/>
              <w:left w:val="single" w:sz="4" w:space="0" w:color="auto"/>
              <w:bottom w:val="single" w:sz="4" w:space="0" w:color="auto"/>
              <w:right w:val="single" w:sz="4" w:space="0" w:color="auto"/>
            </w:tcBorders>
          </w:tcPr>
          <w:p w14:paraId="7F72993B" w14:textId="77777777" w:rsidR="0061428C" w:rsidRPr="00920145" w:rsidRDefault="0061428C" w:rsidP="00A23201">
            <w:pPr>
              <w:spacing w:after="120" w:line="360" w:lineRule="auto"/>
              <w:rPr>
                <w:rFonts w:ascii="Verdana" w:hAnsi="Verdana"/>
                <w:sz w:val="20"/>
                <w:szCs w:val="18"/>
              </w:rPr>
            </w:pPr>
            <w:r w:rsidRPr="00920145">
              <w:rPr>
                <w:rFonts w:ascii="Verdana" w:hAnsi="Verdana"/>
                <w:sz w:val="20"/>
                <w:szCs w:val="18"/>
              </w:rPr>
              <w:t>Czas trwania równoważenia podstawowego dla dynamicznych ograniczeń wahań kursów</w:t>
            </w:r>
          </w:p>
        </w:tc>
        <w:tc>
          <w:tcPr>
            <w:tcW w:w="4246" w:type="dxa"/>
            <w:tcBorders>
              <w:top w:val="single" w:sz="4" w:space="0" w:color="auto"/>
              <w:left w:val="single" w:sz="4" w:space="0" w:color="auto"/>
              <w:bottom w:val="single" w:sz="4" w:space="0" w:color="auto"/>
              <w:right w:val="single" w:sz="4" w:space="0" w:color="auto"/>
            </w:tcBorders>
          </w:tcPr>
          <w:p w14:paraId="6A6D7507" w14:textId="77777777" w:rsidR="0061428C" w:rsidRPr="00920145" w:rsidRDefault="0061428C" w:rsidP="00A23201">
            <w:pPr>
              <w:spacing w:after="120" w:line="360" w:lineRule="auto"/>
              <w:rPr>
                <w:rFonts w:ascii="Verdana" w:hAnsi="Verdana"/>
                <w:sz w:val="20"/>
                <w:szCs w:val="18"/>
              </w:rPr>
            </w:pPr>
            <w:r w:rsidRPr="00920145">
              <w:rPr>
                <w:rFonts w:ascii="Verdana" w:hAnsi="Verdana"/>
                <w:sz w:val="20"/>
                <w:szCs w:val="18"/>
              </w:rPr>
              <w:t>60 sekund</w:t>
            </w:r>
          </w:p>
        </w:tc>
      </w:tr>
      <w:tr w:rsidR="0061428C" w:rsidRPr="00920145" w14:paraId="21EA1E4E" w14:textId="77777777" w:rsidTr="002D5BBE">
        <w:tc>
          <w:tcPr>
            <w:tcW w:w="3544" w:type="dxa"/>
            <w:tcBorders>
              <w:top w:val="single" w:sz="4" w:space="0" w:color="auto"/>
              <w:left w:val="single" w:sz="4" w:space="0" w:color="auto"/>
              <w:bottom w:val="single" w:sz="4" w:space="0" w:color="auto"/>
              <w:right w:val="single" w:sz="4" w:space="0" w:color="auto"/>
            </w:tcBorders>
          </w:tcPr>
          <w:p w14:paraId="2A61637B" w14:textId="77777777" w:rsidR="0061428C" w:rsidRPr="00920145" w:rsidRDefault="0061428C" w:rsidP="00A23201">
            <w:pPr>
              <w:spacing w:after="120" w:line="360" w:lineRule="auto"/>
              <w:rPr>
                <w:rFonts w:ascii="Verdana" w:hAnsi="Verdana"/>
                <w:sz w:val="20"/>
                <w:szCs w:val="18"/>
              </w:rPr>
            </w:pPr>
            <w:r w:rsidRPr="00920145">
              <w:rPr>
                <w:rFonts w:ascii="Verdana" w:hAnsi="Verdana"/>
                <w:sz w:val="20"/>
                <w:szCs w:val="18"/>
              </w:rPr>
              <w:t>Współczynnik rozszerzenia dla równoważenia w fazie aukcji otwarcia</w:t>
            </w:r>
          </w:p>
        </w:tc>
        <w:tc>
          <w:tcPr>
            <w:tcW w:w="4246" w:type="dxa"/>
            <w:tcBorders>
              <w:top w:val="single" w:sz="4" w:space="0" w:color="auto"/>
              <w:left w:val="single" w:sz="4" w:space="0" w:color="auto"/>
              <w:bottom w:val="single" w:sz="4" w:space="0" w:color="auto"/>
              <w:right w:val="single" w:sz="4" w:space="0" w:color="auto"/>
            </w:tcBorders>
          </w:tcPr>
          <w:p w14:paraId="75323362" w14:textId="77777777" w:rsidR="0061428C" w:rsidRPr="00920145" w:rsidRDefault="0061428C" w:rsidP="00A23201">
            <w:pPr>
              <w:spacing w:after="120" w:line="360" w:lineRule="auto"/>
              <w:rPr>
                <w:rFonts w:ascii="Verdana" w:hAnsi="Verdana"/>
                <w:sz w:val="20"/>
                <w:szCs w:val="18"/>
              </w:rPr>
            </w:pPr>
            <w:r w:rsidRPr="00920145">
              <w:rPr>
                <w:rFonts w:ascii="Verdana" w:hAnsi="Verdana"/>
                <w:sz w:val="20"/>
                <w:szCs w:val="18"/>
              </w:rPr>
              <w:t>3,0</w:t>
            </w:r>
          </w:p>
        </w:tc>
      </w:tr>
      <w:tr w:rsidR="0061428C" w:rsidRPr="00920145" w14:paraId="17E0CB52" w14:textId="77777777" w:rsidTr="002D5BBE">
        <w:tc>
          <w:tcPr>
            <w:tcW w:w="3544" w:type="dxa"/>
            <w:tcBorders>
              <w:top w:val="single" w:sz="4" w:space="0" w:color="auto"/>
              <w:left w:val="single" w:sz="4" w:space="0" w:color="auto"/>
              <w:bottom w:val="single" w:sz="4" w:space="0" w:color="auto"/>
              <w:right w:val="single" w:sz="4" w:space="0" w:color="auto"/>
            </w:tcBorders>
          </w:tcPr>
          <w:p w14:paraId="2D9958CC" w14:textId="77777777" w:rsidR="0061428C" w:rsidRPr="00920145" w:rsidRDefault="0061428C" w:rsidP="00A23201">
            <w:pPr>
              <w:spacing w:after="120" w:line="360" w:lineRule="auto"/>
              <w:rPr>
                <w:rFonts w:ascii="Verdana" w:hAnsi="Verdana"/>
                <w:sz w:val="20"/>
                <w:szCs w:val="18"/>
              </w:rPr>
            </w:pPr>
            <w:r w:rsidRPr="00920145">
              <w:rPr>
                <w:rFonts w:ascii="Verdana" w:hAnsi="Verdana"/>
                <w:sz w:val="20"/>
                <w:szCs w:val="18"/>
              </w:rPr>
              <w:lastRenderedPageBreak/>
              <w:t>Współczynnik rozszerzenia dla równoważenia w fazach innych niż faza aukcji otwarcia</w:t>
            </w:r>
          </w:p>
        </w:tc>
        <w:tc>
          <w:tcPr>
            <w:tcW w:w="4246" w:type="dxa"/>
            <w:tcBorders>
              <w:top w:val="single" w:sz="4" w:space="0" w:color="auto"/>
              <w:left w:val="single" w:sz="4" w:space="0" w:color="auto"/>
              <w:bottom w:val="single" w:sz="4" w:space="0" w:color="auto"/>
              <w:right w:val="single" w:sz="4" w:space="0" w:color="auto"/>
            </w:tcBorders>
          </w:tcPr>
          <w:p w14:paraId="6EF0685E" w14:textId="77777777" w:rsidR="0061428C" w:rsidRPr="00920145" w:rsidRDefault="0061428C" w:rsidP="00A23201">
            <w:pPr>
              <w:spacing w:after="120" w:line="360" w:lineRule="auto"/>
              <w:rPr>
                <w:rFonts w:ascii="Verdana" w:hAnsi="Verdana"/>
                <w:sz w:val="20"/>
                <w:szCs w:val="18"/>
              </w:rPr>
            </w:pPr>
            <w:r w:rsidRPr="00920145">
              <w:rPr>
                <w:rFonts w:ascii="Verdana" w:hAnsi="Verdana"/>
                <w:sz w:val="20"/>
                <w:szCs w:val="18"/>
              </w:rPr>
              <w:t>2,0</w:t>
            </w:r>
          </w:p>
        </w:tc>
      </w:tr>
      <w:tr w:rsidR="0061428C" w:rsidRPr="00920145" w14:paraId="2004B9C0" w14:textId="77777777" w:rsidTr="002D5BBE">
        <w:tc>
          <w:tcPr>
            <w:tcW w:w="3544" w:type="dxa"/>
            <w:tcBorders>
              <w:top w:val="single" w:sz="4" w:space="0" w:color="auto"/>
              <w:left w:val="single" w:sz="4" w:space="0" w:color="auto"/>
              <w:bottom w:val="single" w:sz="4" w:space="0" w:color="auto"/>
              <w:right w:val="single" w:sz="4" w:space="0" w:color="auto"/>
            </w:tcBorders>
          </w:tcPr>
          <w:p w14:paraId="25E4D54B" w14:textId="77777777" w:rsidR="0061428C" w:rsidRPr="00920145" w:rsidRDefault="0061428C" w:rsidP="00A23201">
            <w:pPr>
              <w:spacing w:after="120" w:line="360" w:lineRule="auto"/>
              <w:rPr>
                <w:rFonts w:ascii="Verdana" w:hAnsi="Verdana"/>
                <w:sz w:val="20"/>
                <w:szCs w:val="18"/>
              </w:rPr>
            </w:pPr>
            <w:r w:rsidRPr="00920145">
              <w:rPr>
                <w:rFonts w:ascii="Verdana" w:hAnsi="Verdana"/>
                <w:sz w:val="20"/>
                <w:szCs w:val="18"/>
              </w:rPr>
              <w:t>Współczynnik maksymalnej liczby zmian netto dynamicznych ograniczeń wahań kursów</w:t>
            </w:r>
          </w:p>
        </w:tc>
        <w:tc>
          <w:tcPr>
            <w:tcW w:w="4246" w:type="dxa"/>
            <w:tcBorders>
              <w:top w:val="single" w:sz="4" w:space="0" w:color="auto"/>
              <w:left w:val="single" w:sz="4" w:space="0" w:color="auto"/>
              <w:bottom w:val="single" w:sz="4" w:space="0" w:color="auto"/>
              <w:right w:val="single" w:sz="4" w:space="0" w:color="auto"/>
            </w:tcBorders>
          </w:tcPr>
          <w:p w14:paraId="56D7632E" w14:textId="77777777" w:rsidR="0061428C" w:rsidRPr="00920145" w:rsidRDefault="0061428C" w:rsidP="00A23201">
            <w:pPr>
              <w:spacing w:after="120" w:line="360" w:lineRule="auto"/>
              <w:rPr>
                <w:rFonts w:ascii="Verdana" w:hAnsi="Verdana"/>
                <w:sz w:val="20"/>
                <w:szCs w:val="18"/>
              </w:rPr>
            </w:pPr>
            <w:r w:rsidRPr="00920145">
              <w:rPr>
                <w:rFonts w:ascii="Verdana" w:hAnsi="Verdana"/>
                <w:sz w:val="20"/>
                <w:szCs w:val="18"/>
              </w:rPr>
              <w:t>20</w:t>
            </w:r>
          </w:p>
        </w:tc>
      </w:tr>
    </w:tbl>
    <w:p w14:paraId="422E246C" w14:textId="77777777" w:rsidR="00412755" w:rsidRPr="00920145" w:rsidRDefault="00412755" w:rsidP="00950E6C">
      <w:pPr>
        <w:pStyle w:val="Akapitzlist"/>
        <w:tabs>
          <w:tab w:val="left" w:pos="851"/>
        </w:tabs>
        <w:spacing w:after="240" w:line="360" w:lineRule="auto"/>
        <w:ind w:left="709"/>
        <w:contextualSpacing w:val="0"/>
        <w:jc w:val="both"/>
        <w:rPr>
          <w:rFonts w:ascii="Verdana" w:hAnsi="Verdana"/>
          <w:sz w:val="20"/>
          <w:szCs w:val="20"/>
        </w:rPr>
      </w:pPr>
    </w:p>
    <w:p w14:paraId="53D650AC" w14:textId="64B7E4D7" w:rsidR="00EB35CC" w:rsidRPr="00920145" w:rsidRDefault="0061428C" w:rsidP="008362AE">
      <w:pPr>
        <w:pStyle w:val="Nagwek3"/>
      </w:pPr>
      <w:r w:rsidRPr="00920145">
        <w:t>§ 74 otrzymuje brzmienie:</w:t>
      </w:r>
    </w:p>
    <w:p w14:paraId="7E649581" w14:textId="1CB711C5" w:rsidR="0014731F" w:rsidRPr="00920145" w:rsidRDefault="0014731F" w:rsidP="00A23201">
      <w:pPr>
        <w:spacing w:after="120" w:line="360" w:lineRule="auto"/>
        <w:ind w:firstLine="567"/>
        <w:jc w:val="both"/>
        <w:rPr>
          <w:rFonts w:ascii="Verdana" w:hAnsi="Verdana"/>
          <w:sz w:val="20"/>
          <w:szCs w:val="20"/>
        </w:rPr>
      </w:pPr>
      <w:r w:rsidRPr="00920145">
        <w:rPr>
          <w:rFonts w:ascii="Verdana" w:hAnsi="Verdana"/>
          <w:sz w:val="20"/>
          <w:szCs w:val="20"/>
        </w:rPr>
        <w:t>„§ 74</w:t>
      </w:r>
    </w:p>
    <w:p w14:paraId="6BE15354" w14:textId="4897B0C0" w:rsidR="0061428C" w:rsidRPr="00920145" w:rsidRDefault="0061428C" w:rsidP="00A23201">
      <w:pPr>
        <w:spacing w:after="120" w:line="360" w:lineRule="auto"/>
        <w:ind w:firstLine="567"/>
        <w:jc w:val="both"/>
        <w:rPr>
          <w:rFonts w:ascii="Verdana" w:hAnsi="Verdana"/>
          <w:sz w:val="20"/>
          <w:szCs w:val="18"/>
        </w:rPr>
      </w:pPr>
      <w:r w:rsidRPr="00920145">
        <w:rPr>
          <w:rFonts w:ascii="Verdana" w:hAnsi="Verdana"/>
          <w:sz w:val="20"/>
          <w:szCs w:val="18"/>
        </w:rPr>
        <w:t>Szczegółowe warunki obrotu dla praw poboru w systemie kursu jednolitego:</w:t>
      </w:r>
    </w:p>
    <w:tbl>
      <w:tblPr>
        <w:tblW w:w="793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4394"/>
      </w:tblGrid>
      <w:tr w:rsidR="0061428C" w:rsidRPr="00920145" w14:paraId="5405A7ED" w14:textId="77777777" w:rsidTr="002D5BBE">
        <w:tc>
          <w:tcPr>
            <w:tcW w:w="3544" w:type="dxa"/>
            <w:tcBorders>
              <w:top w:val="single" w:sz="4" w:space="0" w:color="auto"/>
              <w:left w:val="single" w:sz="4" w:space="0" w:color="auto"/>
              <w:bottom w:val="single" w:sz="4" w:space="0" w:color="auto"/>
              <w:right w:val="single" w:sz="4" w:space="0" w:color="auto"/>
            </w:tcBorders>
          </w:tcPr>
          <w:p w14:paraId="799516E0" w14:textId="77777777" w:rsidR="0061428C" w:rsidRPr="00920145" w:rsidRDefault="0061428C" w:rsidP="00A23201">
            <w:pPr>
              <w:spacing w:after="120" w:line="360" w:lineRule="auto"/>
              <w:rPr>
                <w:rFonts w:ascii="Verdana" w:hAnsi="Verdana"/>
                <w:sz w:val="20"/>
                <w:szCs w:val="18"/>
              </w:rPr>
            </w:pPr>
            <w:r w:rsidRPr="00920145">
              <w:rPr>
                <w:rFonts w:ascii="Verdana" w:hAnsi="Verdana"/>
                <w:sz w:val="20"/>
                <w:szCs w:val="18"/>
              </w:rPr>
              <w:t>Jednostka transakcyjna</w:t>
            </w:r>
          </w:p>
        </w:tc>
        <w:tc>
          <w:tcPr>
            <w:tcW w:w="4394" w:type="dxa"/>
            <w:tcBorders>
              <w:top w:val="single" w:sz="4" w:space="0" w:color="auto"/>
              <w:left w:val="single" w:sz="4" w:space="0" w:color="auto"/>
              <w:bottom w:val="single" w:sz="4" w:space="0" w:color="auto"/>
              <w:right w:val="single" w:sz="4" w:space="0" w:color="auto"/>
            </w:tcBorders>
          </w:tcPr>
          <w:p w14:paraId="679B8336" w14:textId="77777777" w:rsidR="0061428C" w:rsidRPr="00920145" w:rsidRDefault="0061428C" w:rsidP="00A23201">
            <w:pPr>
              <w:spacing w:after="120" w:line="360" w:lineRule="auto"/>
              <w:ind w:left="83" w:hanging="8"/>
              <w:rPr>
                <w:rFonts w:ascii="Verdana" w:hAnsi="Verdana"/>
                <w:sz w:val="20"/>
                <w:szCs w:val="18"/>
              </w:rPr>
            </w:pPr>
            <w:r w:rsidRPr="00920145">
              <w:rPr>
                <w:rFonts w:ascii="Verdana" w:hAnsi="Verdana"/>
                <w:sz w:val="20"/>
                <w:szCs w:val="18"/>
              </w:rPr>
              <w:t>jeden instrument, chyba że Zarząd Giełdy określi inną jednostkę transakcyjną</w:t>
            </w:r>
          </w:p>
        </w:tc>
      </w:tr>
      <w:tr w:rsidR="000351EC" w:rsidRPr="00920145" w14:paraId="409C0797" w14:textId="77777777" w:rsidTr="002D5BBE">
        <w:tc>
          <w:tcPr>
            <w:tcW w:w="3544" w:type="dxa"/>
            <w:tcBorders>
              <w:top w:val="single" w:sz="4" w:space="0" w:color="auto"/>
              <w:left w:val="single" w:sz="4" w:space="0" w:color="auto"/>
              <w:bottom w:val="single" w:sz="4" w:space="0" w:color="auto"/>
              <w:right w:val="single" w:sz="4" w:space="0" w:color="auto"/>
            </w:tcBorders>
          </w:tcPr>
          <w:p w14:paraId="0E1C7250" w14:textId="1E82EFB7" w:rsidR="000351EC" w:rsidRPr="00920145" w:rsidDel="000351EC" w:rsidRDefault="000351EC" w:rsidP="000351EC">
            <w:pPr>
              <w:spacing w:after="120" w:line="360" w:lineRule="auto"/>
              <w:rPr>
                <w:rFonts w:ascii="Verdana" w:hAnsi="Verdana"/>
                <w:sz w:val="20"/>
                <w:szCs w:val="18"/>
              </w:rPr>
            </w:pPr>
            <w:r w:rsidRPr="00920145">
              <w:rPr>
                <w:rFonts w:ascii="Verdana" w:hAnsi="Verdana"/>
                <w:sz w:val="20"/>
                <w:szCs w:val="20"/>
              </w:rPr>
              <w:t>Losowy czas otwarcia</w:t>
            </w:r>
            <w:r w:rsidRPr="00920145">
              <w:rPr>
                <w:rFonts w:ascii="Verdana" w:hAnsi="Verdana"/>
                <w:sz w:val="20"/>
                <w:szCs w:val="20"/>
              </w:rPr>
              <w:br/>
              <w:t>dla fazy aukcji otwarcia</w:t>
            </w:r>
          </w:p>
        </w:tc>
        <w:tc>
          <w:tcPr>
            <w:tcW w:w="4394" w:type="dxa"/>
            <w:tcBorders>
              <w:top w:val="single" w:sz="4" w:space="0" w:color="auto"/>
              <w:left w:val="single" w:sz="4" w:space="0" w:color="auto"/>
              <w:bottom w:val="single" w:sz="4" w:space="0" w:color="auto"/>
              <w:right w:val="single" w:sz="4" w:space="0" w:color="auto"/>
            </w:tcBorders>
          </w:tcPr>
          <w:p w14:paraId="745A2074" w14:textId="107DF81D" w:rsidR="000351EC" w:rsidRPr="00920145" w:rsidDel="000351EC" w:rsidRDefault="00FF1DF0" w:rsidP="000351EC">
            <w:pPr>
              <w:spacing w:after="120" w:line="360" w:lineRule="auto"/>
              <w:ind w:left="83" w:hanging="8"/>
              <w:rPr>
                <w:rFonts w:ascii="Verdana" w:hAnsi="Verdana"/>
                <w:sz w:val="20"/>
                <w:szCs w:val="18"/>
              </w:rPr>
            </w:pPr>
            <w:r w:rsidRPr="00920145">
              <w:rPr>
                <w:rFonts w:ascii="Verdana" w:hAnsi="Verdana"/>
                <w:sz w:val="20"/>
                <w:szCs w:val="20"/>
              </w:rPr>
              <w:t>(</w:t>
            </w:r>
            <w:r w:rsidR="000351EC" w:rsidRPr="00920145">
              <w:rPr>
                <w:rFonts w:ascii="Verdana" w:hAnsi="Verdana"/>
                <w:sz w:val="20"/>
                <w:szCs w:val="20"/>
              </w:rPr>
              <w:t>+</w:t>
            </w:r>
            <w:r w:rsidRPr="00920145">
              <w:rPr>
                <w:rFonts w:ascii="Verdana" w:hAnsi="Verdana"/>
                <w:sz w:val="20"/>
                <w:szCs w:val="20"/>
              </w:rPr>
              <w:t>)</w:t>
            </w:r>
            <w:r w:rsidR="000351EC" w:rsidRPr="00920145">
              <w:rPr>
                <w:rFonts w:ascii="Verdana" w:hAnsi="Verdana"/>
                <w:sz w:val="20"/>
                <w:szCs w:val="20"/>
              </w:rPr>
              <w:t xml:space="preserve"> 0-30 sekund</w:t>
            </w:r>
          </w:p>
        </w:tc>
      </w:tr>
      <w:tr w:rsidR="0061428C" w:rsidRPr="00920145" w14:paraId="0F518581" w14:textId="77777777" w:rsidTr="002D5BBE">
        <w:tc>
          <w:tcPr>
            <w:tcW w:w="3544" w:type="dxa"/>
          </w:tcPr>
          <w:p w14:paraId="13C40012" w14:textId="77777777" w:rsidR="0061428C" w:rsidRPr="00920145" w:rsidRDefault="0061428C" w:rsidP="00A23201">
            <w:pPr>
              <w:spacing w:after="120" w:line="360" w:lineRule="auto"/>
              <w:rPr>
                <w:rFonts w:ascii="Verdana" w:hAnsi="Verdana"/>
                <w:sz w:val="20"/>
                <w:szCs w:val="18"/>
              </w:rPr>
            </w:pPr>
            <w:r w:rsidRPr="00920145">
              <w:rPr>
                <w:rFonts w:ascii="Verdana" w:hAnsi="Verdana"/>
                <w:sz w:val="20"/>
                <w:szCs w:val="18"/>
              </w:rPr>
              <w:t>Wysokość statycznych ograniczeń wahań kursów</w:t>
            </w:r>
          </w:p>
        </w:tc>
        <w:tc>
          <w:tcPr>
            <w:tcW w:w="4394" w:type="dxa"/>
          </w:tcPr>
          <w:p w14:paraId="614363EA" w14:textId="77777777" w:rsidR="0061428C" w:rsidRPr="00920145" w:rsidRDefault="0061428C" w:rsidP="00876816">
            <w:pPr>
              <w:numPr>
                <w:ilvl w:val="0"/>
                <w:numId w:val="50"/>
              </w:numPr>
              <w:tabs>
                <w:tab w:val="left" w:pos="318"/>
              </w:tabs>
              <w:spacing w:after="120" w:line="360" w:lineRule="auto"/>
              <w:ind w:left="318"/>
              <w:jc w:val="both"/>
              <w:rPr>
                <w:rFonts w:ascii="Verdana" w:hAnsi="Verdana"/>
                <w:sz w:val="20"/>
                <w:szCs w:val="18"/>
              </w:rPr>
            </w:pPr>
            <w:r w:rsidRPr="00920145">
              <w:rPr>
                <w:rFonts w:ascii="Verdana" w:hAnsi="Verdana"/>
                <w:sz w:val="20"/>
                <w:szCs w:val="18"/>
              </w:rPr>
              <w:t>30,00% od kursu odniesienia - przy kursie odniesienia 0,0100 - 0,0999 jednostki waluty notowania</w:t>
            </w:r>
          </w:p>
          <w:p w14:paraId="715CFCBE" w14:textId="77777777" w:rsidR="0061428C" w:rsidRPr="00920145" w:rsidRDefault="0061428C" w:rsidP="00876816">
            <w:pPr>
              <w:numPr>
                <w:ilvl w:val="0"/>
                <w:numId w:val="50"/>
              </w:numPr>
              <w:tabs>
                <w:tab w:val="left" w:pos="318"/>
              </w:tabs>
              <w:spacing w:after="120" w:line="360" w:lineRule="auto"/>
              <w:ind w:left="318"/>
              <w:jc w:val="both"/>
              <w:rPr>
                <w:rFonts w:ascii="Verdana" w:hAnsi="Verdana"/>
                <w:sz w:val="20"/>
                <w:szCs w:val="18"/>
              </w:rPr>
            </w:pPr>
            <w:r w:rsidRPr="00920145">
              <w:rPr>
                <w:rFonts w:ascii="Verdana" w:hAnsi="Verdana"/>
                <w:sz w:val="20"/>
                <w:szCs w:val="18"/>
              </w:rPr>
              <w:t xml:space="preserve">15,00% od kursu odniesienia - przy kursie odniesienia 0,1000 - 0,1999 jednostki waluty notowania  </w:t>
            </w:r>
          </w:p>
          <w:p w14:paraId="17590514" w14:textId="77777777" w:rsidR="0061428C" w:rsidRPr="00920145" w:rsidRDefault="0061428C" w:rsidP="00876816">
            <w:pPr>
              <w:numPr>
                <w:ilvl w:val="0"/>
                <w:numId w:val="50"/>
              </w:numPr>
              <w:tabs>
                <w:tab w:val="left" w:pos="318"/>
              </w:tabs>
              <w:spacing w:after="120" w:line="360" w:lineRule="auto"/>
              <w:ind w:left="318"/>
              <w:jc w:val="both"/>
              <w:rPr>
                <w:rFonts w:ascii="Verdana" w:hAnsi="Verdana"/>
                <w:sz w:val="20"/>
                <w:szCs w:val="18"/>
              </w:rPr>
            </w:pPr>
            <w:r w:rsidRPr="00920145">
              <w:rPr>
                <w:rFonts w:ascii="Verdana" w:hAnsi="Verdana"/>
                <w:sz w:val="20"/>
                <w:szCs w:val="18"/>
              </w:rPr>
              <w:t>10,00% od kursu odniesienia - przy kursie odniesienia 0,2000 – 0,2999 jednostki waluty notowania</w:t>
            </w:r>
          </w:p>
          <w:p w14:paraId="4D249413" w14:textId="77777777" w:rsidR="0061428C" w:rsidRPr="00920145" w:rsidRDefault="0061428C" w:rsidP="00876816">
            <w:pPr>
              <w:numPr>
                <w:ilvl w:val="0"/>
                <w:numId w:val="50"/>
              </w:numPr>
              <w:tabs>
                <w:tab w:val="left" w:pos="318"/>
              </w:tabs>
              <w:spacing w:after="120" w:line="360" w:lineRule="auto"/>
              <w:ind w:left="318"/>
              <w:jc w:val="both"/>
              <w:rPr>
                <w:rFonts w:ascii="Verdana" w:hAnsi="Verdana"/>
                <w:sz w:val="20"/>
                <w:szCs w:val="18"/>
              </w:rPr>
            </w:pPr>
            <w:r w:rsidRPr="00920145">
              <w:rPr>
                <w:rFonts w:ascii="Verdana" w:hAnsi="Verdana"/>
                <w:sz w:val="20"/>
                <w:szCs w:val="18"/>
              </w:rPr>
              <w:t xml:space="preserve">100,00% od kursu odniesienia- przy kursie  odniesienia 0,3000 jednostki waluty notowania lub wyższym  </w:t>
            </w:r>
          </w:p>
        </w:tc>
      </w:tr>
      <w:tr w:rsidR="0061428C" w:rsidRPr="00920145" w14:paraId="09226D83" w14:textId="77777777" w:rsidTr="002D5BBE">
        <w:tc>
          <w:tcPr>
            <w:tcW w:w="3544" w:type="dxa"/>
          </w:tcPr>
          <w:p w14:paraId="457B6F38" w14:textId="77777777" w:rsidR="0061428C" w:rsidRPr="00920145" w:rsidRDefault="0061428C" w:rsidP="00A23201">
            <w:pPr>
              <w:spacing w:after="120" w:line="360" w:lineRule="auto"/>
              <w:rPr>
                <w:rFonts w:ascii="Verdana" w:hAnsi="Verdana"/>
                <w:sz w:val="20"/>
                <w:szCs w:val="18"/>
              </w:rPr>
            </w:pPr>
            <w:r w:rsidRPr="00920145">
              <w:rPr>
                <w:rFonts w:ascii="Verdana" w:hAnsi="Verdana"/>
                <w:sz w:val="20"/>
                <w:szCs w:val="18"/>
              </w:rPr>
              <w:t xml:space="preserve">Maksymalne wartości dla limitów cen w zleceniu maklerskim    </w:t>
            </w:r>
          </w:p>
        </w:tc>
        <w:tc>
          <w:tcPr>
            <w:tcW w:w="4394" w:type="dxa"/>
          </w:tcPr>
          <w:p w14:paraId="17DCB542" w14:textId="1EEAF5E1" w:rsidR="0061428C" w:rsidRPr="00920145" w:rsidRDefault="0061428C" w:rsidP="00A23201">
            <w:pPr>
              <w:spacing w:after="120" w:line="360" w:lineRule="auto"/>
              <w:rPr>
                <w:rFonts w:ascii="Verdana" w:hAnsi="Verdana"/>
                <w:sz w:val="20"/>
                <w:szCs w:val="18"/>
              </w:rPr>
            </w:pPr>
            <w:r w:rsidRPr="00920145">
              <w:rPr>
                <w:rFonts w:ascii="Verdana" w:hAnsi="Verdana"/>
                <w:sz w:val="20"/>
                <w:szCs w:val="18"/>
              </w:rPr>
              <w:t>200% względem kursu odniesienia dla statycznych ograniczeń wahań kursu</w:t>
            </w:r>
          </w:p>
        </w:tc>
      </w:tr>
      <w:tr w:rsidR="0061428C" w:rsidRPr="00920145" w14:paraId="4F539ED8" w14:textId="77777777" w:rsidTr="002D5BBE">
        <w:tc>
          <w:tcPr>
            <w:tcW w:w="3544" w:type="dxa"/>
          </w:tcPr>
          <w:p w14:paraId="08CFE77A" w14:textId="77777777" w:rsidR="0061428C" w:rsidRPr="00920145" w:rsidRDefault="0061428C" w:rsidP="00A23201">
            <w:pPr>
              <w:spacing w:after="120" w:line="360" w:lineRule="auto"/>
              <w:rPr>
                <w:rFonts w:ascii="Verdana" w:hAnsi="Verdana"/>
                <w:sz w:val="20"/>
                <w:szCs w:val="18"/>
              </w:rPr>
            </w:pPr>
            <w:r w:rsidRPr="00920145">
              <w:rPr>
                <w:rFonts w:ascii="Verdana" w:hAnsi="Verdana"/>
                <w:sz w:val="20"/>
                <w:szCs w:val="18"/>
              </w:rPr>
              <w:t xml:space="preserve">Maksymalna wartość zlecenia maklerskiego     </w:t>
            </w:r>
          </w:p>
        </w:tc>
        <w:tc>
          <w:tcPr>
            <w:tcW w:w="4394" w:type="dxa"/>
          </w:tcPr>
          <w:p w14:paraId="2AEFDF3B" w14:textId="36E7689E" w:rsidR="0061428C" w:rsidRPr="00920145" w:rsidRDefault="0061428C" w:rsidP="00A23201">
            <w:pPr>
              <w:spacing w:after="120" w:line="360" w:lineRule="auto"/>
              <w:rPr>
                <w:rFonts w:ascii="Verdana" w:hAnsi="Verdana"/>
                <w:sz w:val="20"/>
                <w:szCs w:val="18"/>
              </w:rPr>
            </w:pPr>
            <w:r w:rsidRPr="00920145">
              <w:rPr>
                <w:rFonts w:ascii="Verdana" w:hAnsi="Verdana"/>
                <w:sz w:val="20"/>
                <w:szCs w:val="18"/>
              </w:rPr>
              <w:t xml:space="preserve">10.000.000 jednostek waluty notowania   </w:t>
            </w:r>
          </w:p>
        </w:tc>
      </w:tr>
      <w:tr w:rsidR="0061428C" w:rsidRPr="00920145" w14:paraId="7616D6F9" w14:textId="77777777" w:rsidTr="002D5BBE">
        <w:tc>
          <w:tcPr>
            <w:tcW w:w="3544" w:type="dxa"/>
            <w:tcBorders>
              <w:top w:val="single" w:sz="4" w:space="0" w:color="auto"/>
              <w:left w:val="single" w:sz="4" w:space="0" w:color="auto"/>
              <w:bottom w:val="single" w:sz="4" w:space="0" w:color="auto"/>
              <w:right w:val="single" w:sz="4" w:space="0" w:color="auto"/>
            </w:tcBorders>
          </w:tcPr>
          <w:p w14:paraId="56019816" w14:textId="77777777" w:rsidR="0061428C" w:rsidRPr="00920145" w:rsidRDefault="0061428C" w:rsidP="00A23201">
            <w:pPr>
              <w:spacing w:after="120" w:line="360" w:lineRule="auto"/>
              <w:rPr>
                <w:rFonts w:ascii="Verdana" w:hAnsi="Verdana"/>
                <w:sz w:val="20"/>
                <w:szCs w:val="18"/>
              </w:rPr>
            </w:pPr>
            <w:r w:rsidRPr="00920145">
              <w:rPr>
                <w:rFonts w:ascii="Verdana" w:hAnsi="Verdana"/>
                <w:sz w:val="20"/>
                <w:szCs w:val="18"/>
              </w:rPr>
              <w:lastRenderedPageBreak/>
              <w:t xml:space="preserve">Maksymalny wolumen zlecenia maklerskiego     </w:t>
            </w:r>
          </w:p>
        </w:tc>
        <w:tc>
          <w:tcPr>
            <w:tcW w:w="4394" w:type="dxa"/>
            <w:tcBorders>
              <w:top w:val="single" w:sz="4" w:space="0" w:color="auto"/>
              <w:left w:val="single" w:sz="4" w:space="0" w:color="auto"/>
              <w:bottom w:val="single" w:sz="4" w:space="0" w:color="auto"/>
              <w:right w:val="single" w:sz="4" w:space="0" w:color="auto"/>
            </w:tcBorders>
          </w:tcPr>
          <w:p w14:paraId="1634791C" w14:textId="77777777" w:rsidR="0061428C" w:rsidRPr="00920145" w:rsidRDefault="0061428C" w:rsidP="00A23201">
            <w:pPr>
              <w:spacing w:after="120" w:line="360" w:lineRule="auto"/>
              <w:jc w:val="both"/>
              <w:rPr>
                <w:rFonts w:ascii="Verdana" w:hAnsi="Verdana"/>
                <w:sz w:val="20"/>
                <w:szCs w:val="18"/>
              </w:rPr>
            </w:pPr>
            <w:r w:rsidRPr="00920145">
              <w:rPr>
                <w:rFonts w:ascii="Verdana" w:hAnsi="Verdana"/>
                <w:sz w:val="20"/>
                <w:szCs w:val="18"/>
              </w:rPr>
              <w:t>2% instrumentów finansowych wprowadzonych do obrotu giełdowego i oznaczonych tym samym kodem ISIN, a w przypadku gdy 2% tych instrumentów stanowi mniej niż 1.000.000 instrumentów – nie więcej  niż 1.000.000 instrumentów</w:t>
            </w:r>
          </w:p>
        </w:tc>
      </w:tr>
      <w:tr w:rsidR="0061428C" w:rsidRPr="00920145" w14:paraId="5CAAB6C7" w14:textId="77777777" w:rsidTr="002D5BBE">
        <w:tc>
          <w:tcPr>
            <w:tcW w:w="3544" w:type="dxa"/>
            <w:tcBorders>
              <w:top w:val="single" w:sz="4" w:space="0" w:color="auto"/>
              <w:left w:val="single" w:sz="4" w:space="0" w:color="auto"/>
              <w:bottom w:val="single" w:sz="4" w:space="0" w:color="auto"/>
              <w:right w:val="single" w:sz="4" w:space="0" w:color="auto"/>
            </w:tcBorders>
          </w:tcPr>
          <w:p w14:paraId="65420A50" w14:textId="77777777" w:rsidR="0061428C" w:rsidRPr="00920145" w:rsidRDefault="0061428C" w:rsidP="00A23201">
            <w:pPr>
              <w:spacing w:after="120" w:line="360" w:lineRule="auto"/>
              <w:rPr>
                <w:rFonts w:ascii="Verdana" w:hAnsi="Verdana"/>
                <w:sz w:val="20"/>
                <w:szCs w:val="18"/>
              </w:rPr>
            </w:pPr>
            <w:r w:rsidRPr="00920145">
              <w:rPr>
                <w:rFonts w:ascii="Verdana" w:hAnsi="Verdana"/>
                <w:sz w:val="20"/>
                <w:szCs w:val="18"/>
              </w:rPr>
              <w:t>Równoważenie podstawowe dla statycznych ograniczeń wahań kursów</w:t>
            </w:r>
          </w:p>
        </w:tc>
        <w:tc>
          <w:tcPr>
            <w:tcW w:w="4394" w:type="dxa"/>
            <w:tcBorders>
              <w:top w:val="single" w:sz="4" w:space="0" w:color="auto"/>
              <w:left w:val="single" w:sz="4" w:space="0" w:color="auto"/>
              <w:bottom w:val="single" w:sz="4" w:space="0" w:color="auto"/>
              <w:right w:val="single" w:sz="4" w:space="0" w:color="auto"/>
            </w:tcBorders>
          </w:tcPr>
          <w:p w14:paraId="319282A5" w14:textId="77777777" w:rsidR="0061428C" w:rsidRPr="00920145" w:rsidRDefault="0061428C" w:rsidP="00A23201">
            <w:pPr>
              <w:spacing w:after="120" w:line="360" w:lineRule="auto"/>
              <w:rPr>
                <w:rFonts w:ascii="Verdana" w:hAnsi="Verdana"/>
                <w:sz w:val="20"/>
                <w:szCs w:val="18"/>
              </w:rPr>
            </w:pPr>
            <w:r w:rsidRPr="00920145">
              <w:rPr>
                <w:rFonts w:ascii="Verdana" w:hAnsi="Verdana"/>
                <w:sz w:val="20"/>
                <w:szCs w:val="18"/>
              </w:rPr>
              <w:t>Tak</w:t>
            </w:r>
          </w:p>
        </w:tc>
      </w:tr>
      <w:tr w:rsidR="0061428C" w:rsidRPr="00920145" w14:paraId="1D9B5242" w14:textId="77777777" w:rsidTr="002D5BBE">
        <w:tc>
          <w:tcPr>
            <w:tcW w:w="3544" w:type="dxa"/>
            <w:tcBorders>
              <w:top w:val="single" w:sz="4" w:space="0" w:color="auto"/>
              <w:left w:val="single" w:sz="4" w:space="0" w:color="auto"/>
              <w:bottom w:val="single" w:sz="4" w:space="0" w:color="auto"/>
              <w:right w:val="single" w:sz="4" w:space="0" w:color="auto"/>
            </w:tcBorders>
          </w:tcPr>
          <w:p w14:paraId="1C32CB09" w14:textId="77777777" w:rsidR="0061428C" w:rsidRPr="00920145" w:rsidRDefault="0061428C" w:rsidP="00A23201">
            <w:pPr>
              <w:spacing w:after="120" w:line="360" w:lineRule="auto"/>
              <w:rPr>
                <w:rFonts w:ascii="Verdana" w:hAnsi="Verdana"/>
                <w:sz w:val="20"/>
                <w:szCs w:val="18"/>
              </w:rPr>
            </w:pPr>
            <w:r w:rsidRPr="00920145">
              <w:rPr>
                <w:rFonts w:ascii="Verdana" w:hAnsi="Verdana"/>
                <w:sz w:val="20"/>
                <w:szCs w:val="18"/>
              </w:rPr>
              <w:t>Czas trwania równoważenia podstawowego dla statycznych ograniczeń wahań kursów</w:t>
            </w:r>
          </w:p>
        </w:tc>
        <w:tc>
          <w:tcPr>
            <w:tcW w:w="4394" w:type="dxa"/>
            <w:tcBorders>
              <w:top w:val="single" w:sz="4" w:space="0" w:color="auto"/>
              <w:left w:val="single" w:sz="4" w:space="0" w:color="auto"/>
              <w:bottom w:val="single" w:sz="4" w:space="0" w:color="auto"/>
              <w:right w:val="single" w:sz="4" w:space="0" w:color="auto"/>
            </w:tcBorders>
          </w:tcPr>
          <w:p w14:paraId="63A3CA78" w14:textId="77777777" w:rsidR="0061428C" w:rsidRPr="00920145" w:rsidRDefault="0061428C" w:rsidP="00A23201">
            <w:pPr>
              <w:spacing w:after="120" w:line="360" w:lineRule="auto"/>
              <w:rPr>
                <w:rFonts w:ascii="Verdana" w:hAnsi="Verdana"/>
                <w:sz w:val="20"/>
                <w:szCs w:val="18"/>
              </w:rPr>
            </w:pPr>
            <w:r w:rsidRPr="00920145">
              <w:rPr>
                <w:rFonts w:ascii="Verdana" w:hAnsi="Verdana"/>
                <w:sz w:val="20"/>
                <w:szCs w:val="18"/>
              </w:rPr>
              <w:t>300 sekund</w:t>
            </w:r>
          </w:p>
        </w:tc>
      </w:tr>
      <w:tr w:rsidR="0061428C" w:rsidRPr="00920145" w14:paraId="2EB9315C" w14:textId="77777777" w:rsidTr="002D5BBE">
        <w:tc>
          <w:tcPr>
            <w:tcW w:w="3544" w:type="dxa"/>
            <w:tcBorders>
              <w:top w:val="single" w:sz="4" w:space="0" w:color="auto"/>
              <w:left w:val="single" w:sz="4" w:space="0" w:color="auto"/>
              <w:bottom w:val="single" w:sz="4" w:space="0" w:color="auto"/>
              <w:right w:val="single" w:sz="4" w:space="0" w:color="auto"/>
            </w:tcBorders>
          </w:tcPr>
          <w:p w14:paraId="6AAF80B2" w14:textId="77777777" w:rsidR="0061428C" w:rsidRPr="00920145" w:rsidRDefault="0061428C" w:rsidP="00A23201">
            <w:pPr>
              <w:spacing w:after="120" w:line="360" w:lineRule="auto"/>
              <w:rPr>
                <w:rFonts w:ascii="Verdana" w:hAnsi="Verdana"/>
                <w:sz w:val="20"/>
                <w:szCs w:val="18"/>
              </w:rPr>
            </w:pPr>
            <w:r w:rsidRPr="00920145">
              <w:rPr>
                <w:rFonts w:ascii="Verdana" w:hAnsi="Verdana"/>
                <w:sz w:val="20"/>
                <w:szCs w:val="18"/>
              </w:rPr>
              <w:t>Współczynnik przesunięcia kursu odniesienia dla równoważenia w fazie aukcji otwarcia</w:t>
            </w:r>
          </w:p>
        </w:tc>
        <w:tc>
          <w:tcPr>
            <w:tcW w:w="4394" w:type="dxa"/>
            <w:tcBorders>
              <w:top w:val="single" w:sz="4" w:space="0" w:color="auto"/>
              <w:left w:val="single" w:sz="4" w:space="0" w:color="auto"/>
              <w:bottom w:val="single" w:sz="4" w:space="0" w:color="auto"/>
              <w:right w:val="single" w:sz="4" w:space="0" w:color="auto"/>
            </w:tcBorders>
          </w:tcPr>
          <w:p w14:paraId="69E91AE2" w14:textId="77777777" w:rsidR="0061428C" w:rsidRPr="00920145" w:rsidRDefault="0061428C" w:rsidP="00A23201">
            <w:pPr>
              <w:spacing w:after="120" w:line="360" w:lineRule="auto"/>
              <w:rPr>
                <w:rFonts w:ascii="Verdana" w:hAnsi="Verdana"/>
                <w:sz w:val="20"/>
                <w:szCs w:val="18"/>
              </w:rPr>
            </w:pPr>
            <w:r w:rsidRPr="00920145">
              <w:rPr>
                <w:rFonts w:ascii="Verdana" w:hAnsi="Verdana"/>
                <w:sz w:val="20"/>
                <w:szCs w:val="18"/>
              </w:rPr>
              <w:t>1</w:t>
            </w:r>
          </w:p>
        </w:tc>
      </w:tr>
      <w:tr w:rsidR="0061428C" w:rsidRPr="00920145" w14:paraId="0CB55962" w14:textId="77777777" w:rsidTr="002D5BBE">
        <w:tc>
          <w:tcPr>
            <w:tcW w:w="3544" w:type="dxa"/>
            <w:tcBorders>
              <w:top w:val="single" w:sz="4" w:space="0" w:color="auto"/>
              <w:left w:val="single" w:sz="4" w:space="0" w:color="auto"/>
              <w:bottom w:val="single" w:sz="4" w:space="0" w:color="auto"/>
              <w:right w:val="single" w:sz="4" w:space="0" w:color="auto"/>
            </w:tcBorders>
          </w:tcPr>
          <w:p w14:paraId="11A7676C" w14:textId="77777777" w:rsidR="0061428C" w:rsidRPr="00920145" w:rsidRDefault="0061428C" w:rsidP="00A23201">
            <w:pPr>
              <w:spacing w:after="120" w:line="360" w:lineRule="auto"/>
              <w:rPr>
                <w:rFonts w:ascii="Verdana" w:hAnsi="Verdana"/>
                <w:sz w:val="20"/>
                <w:szCs w:val="18"/>
              </w:rPr>
            </w:pPr>
            <w:r w:rsidRPr="00920145">
              <w:rPr>
                <w:rFonts w:ascii="Verdana" w:hAnsi="Verdana"/>
                <w:sz w:val="20"/>
                <w:szCs w:val="18"/>
              </w:rPr>
              <w:t>Współczynnik przesunięcia kursu odniesienia dla równoważenia w fazach innych niż faza aukcji otwarcia</w:t>
            </w:r>
          </w:p>
        </w:tc>
        <w:tc>
          <w:tcPr>
            <w:tcW w:w="4394" w:type="dxa"/>
            <w:tcBorders>
              <w:top w:val="single" w:sz="4" w:space="0" w:color="auto"/>
              <w:left w:val="single" w:sz="4" w:space="0" w:color="auto"/>
              <w:bottom w:val="single" w:sz="4" w:space="0" w:color="auto"/>
              <w:right w:val="single" w:sz="4" w:space="0" w:color="auto"/>
            </w:tcBorders>
          </w:tcPr>
          <w:p w14:paraId="5E375B45" w14:textId="77777777" w:rsidR="0061428C" w:rsidRPr="00920145" w:rsidRDefault="0061428C" w:rsidP="00A23201">
            <w:pPr>
              <w:spacing w:after="120" w:line="360" w:lineRule="auto"/>
              <w:rPr>
                <w:rFonts w:ascii="Verdana" w:hAnsi="Verdana"/>
                <w:sz w:val="20"/>
                <w:szCs w:val="18"/>
              </w:rPr>
            </w:pPr>
            <w:r w:rsidRPr="00920145">
              <w:rPr>
                <w:rFonts w:ascii="Verdana" w:hAnsi="Verdana"/>
                <w:sz w:val="20"/>
                <w:szCs w:val="18"/>
              </w:rPr>
              <w:t>0,5</w:t>
            </w:r>
          </w:p>
        </w:tc>
      </w:tr>
      <w:tr w:rsidR="0061428C" w:rsidRPr="00920145" w14:paraId="1D374013" w14:textId="77777777" w:rsidTr="002D5BBE">
        <w:tc>
          <w:tcPr>
            <w:tcW w:w="3544" w:type="dxa"/>
            <w:tcBorders>
              <w:top w:val="single" w:sz="4" w:space="0" w:color="auto"/>
              <w:left w:val="single" w:sz="4" w:space="0" w:color="auto"/>
              <w:bottom w:val="single" w:sz="4" w:space="0" w:color="auto"/>
              <w:right w:val="single" w:sz="4" w:space="0" w:color="auto"/>
            </w:tcBorders>
          </w:tcPr>
          <w:p w14:paraId="2432CCFC" w14:textId="77777777" w:rsidR="0061428C" w:rsidRPr="00920145" w:rsidRDefault="0061428C" w:rsidP="00A23201">
            <w:pPr>
              <w:spacing w:after="120" w:line="360" w:lineRule="auto"/>
              <w:rPr>
                <w:rFonts w:ascii="Verdana" w:hAnsi="Verdana"/>
                <w:sz w:val="20"/>
                <w:szCs w:val="18"/>
              </w:rPr>
            </w:pPr>
            <w:r w:rsidRPr="00920145">
              <w:rPr>
                <w:rFonts w:ascii="Verdana" w:hAnsi="Verdana"/>
                <w:sz w:val="20"/>
                <w:szCs w:val="18"/>
              </w:rPr>
              <w:t>Współczynnik maksymalnej liczby zmian netto statycznych ograniczeń wahań kursów</w:t>
            </w:r>
          </w:p>
        </w:tc>
        <w:tc>
          <w:tcPr>
            <w:tcW w:w="4394" w:type="dxa"/>
            <w:tcBorders>
              <w:top w:val="single" w:sz="4" w:space="0" w:color="auto"/>
              <w:left w:val="single" w:sz="4" w:space="0" w:color="auto"/>
              <w:bottom w:val="single" w:sz="4" w:space="0" w:color="auto"/>
              <w:right w:val="single" w:sz="4" w:space="0" w:color="auto"/>
            </w:tcBorders>
          </w:tcPr>
          <w:p w14:paraId="4BEEA4DB" w14:textId="77777777" w:rsidR="0061428C" w:rsidRPr="00920145" w:rsidRDefault="0061428C" w:rsidP="00A23201">
            <w:pPr>
              <w:spacing w:after="120" w:line="360" w:lineRule="auto"/>
              <w:rPr>
                <w:rFonts w:ascii="Verdana" w:hAnsi="Verdana"/>
                <w:sz w:val="20"/>
                <w:szCs w:val="18"/>
              </w:rPr>
            </w:pPr>
            <w:r w:rsidRPr="00920145">
              <w:rPr>
                <w:rFonts w:ascii="Verdana" w:hAnsi="Verdana"/>
                <w:sz w:val="20"/>
                <w:szCs w:val="18"/>
              </w:rPr>
              <w:t>2</w:t>
            </w:r>
          </w:p>
        </w:tc>
      </w:tr>
      <w:tr w:rsidR="0061428C" w:rsidRPr="00920145" w14:paraId="3889FA91" w14:textId="77777777" w:rsidTr="002D5BBE">
        <w:tc>
          <w:tcPr>
            <w:tcW w:w="3544" w:type="dxa"/>
            <w:tcBorders>
              <w:top w:val="single" w:sz="4" w:space="0" w:color="auto"/>
              <w:left w:val="single" w:sz="4" w:space="0" w:color="auto"/>
              <w:bottom w:val="single" w:sz="4" w:space="0" w:color="auto"/>
              <w:right w:val="single" w:sz="4" w:space="0" w:color="auto"/>
            </w:tcBorders>
          </w:tcPr>
          <w:p w14:paraId="6BA1DC8F" w14:textId="77777777" w:rsidR="0061428C" w:rsidRPr="00920145" w:rsidRDefault="0061428C" w:rsidP="00A23201">
            <w:pPr>
              <w:spacing w:after="120" w:line="360" w:lineRule="auto"/>
              <w:rPr>
                <w:rFonts w:ascii="Verdana" w:hAnsi="Verdana"/>
                <w:sz w:val="20"/>
                <w:szCs w:val="18"/>
              </w:rPr>
            </w:pPr>
            <w:r w:rsidRPr="00920145">
              <w:rPr>
                <w:rFonts w:ascii="Verdana" w:hAnsi="Verdana"/>
                <w:sz w:val="20"/>
                <w:szCs w:val="18"/>
              </w:rPr>
              <w:t>Współczynnik rozszerzenia dla równoważenia w fazie aukcji otwarcia</w:t>
            </w:r>
          </w:p>
        </w:tc>
        <w:tc>
          <w:tcPr>
            <w:tcW w:w="4394" w:type="dxa"/>
            <w:tcBorders>
              <w:top w:val="single" w:sz="4" w:space="0" w:color="auto"/>
              <w:left w:val="single" w:sz="4" w:space="0" w:color="auto"/>
              <w:bottom w:val="single" w:sz="4" w:space="0" w:color="auto"/>
              <w:right w:val="single" w:sz="4" w:space="0" w:color="auto"/>
            </w:tcBorders>
          </w:tcPr>
          <w:p w14:paraId="3B975AFA" w14:textId="77777777" w:rsidR="0061428C" w:rsidRPr="00920145" w:rsidRDefault="0061428C" w:rsidP="00A23201">
            <w:pPr>
              <w:spacing w:after="120" w:line="360" w:lineRule="auto"/>
              <w:rPr>
                <w:rFonts w:ascii="Verdana" w:hAnsi="Verdana"/>
                <w:sz w:val="20"/>
                <w:szCs w:val="18"/>
              </w:rPr>
            </w:pPr>
            <w:r w:rsidRPr="00920145">
              <w:rPr>
                <w:rFonts w:ascii="Verdana" w:hAnsi="Verdana"/>
                <w:sz w:val="20"/>
                <w:szCs w:val="18"/>
              </w:rPr>
              <w:t>3,0</w:t>
            </w:r>
          </w:p>
        </w:tc>
      </w:tr>
      <w:tr w:rsidR="0061428C" w:rsidRPr="00920145" w14:paraId="7C0C7B00" w14:textId="77777777" w:rsidTr="002D5BBE">
        <w:tc>
          <w:tcPr>
            <w:tcW w:w="3544" w:type="dxa"/>
            <w:tcBorders>
              <w:top w:val="single" w:sz="4" w:space="0" w:color="auto"/>
              <w:left w:val="single" w:sz="4" w:space="0" w:color="auto"/>
              <w:bottom w:val="single" w:sz="4" w:space="0" w:color="auto"/>
              <w:right w:val="single" w:sz="4" w:space="0" w:color="auto"/>
            </w:tcBorders>
          </w:tcPr>
          <w:p w14:paraId="205E6D09" w14:textId="77777777" w:rsidR="0061428C" w:rsidRPr="00920145" w:rsidRDefault="0061428C" w:rsidP="00A23201">
            <w:pPr>
              <w:spacing w:after="120" w:line="360" w:lineRule="auto"/>
              <w:rPr>
                <w:rFonts w:ascii="Verdana" w:hAnsi="Verdana"/>
                <w:sz w:val="20"/>
                <w:szCs w:val="18"/>
              </w:rPr>
            </w:pPr>
            <w:r w:rsidRPr="00920145">
              <w:rPr>
                <w:rFonts w:ascii="Verdana" w:hAnsi="Verdana"/>
                <w:sz w:val="20"/>
                <w:szCs w:val="18"/>
              </w:rPr>
              <w:t>Współczynnik rozszerzenia dla równoważenia w fazach innych niż faza aukcji otwarcia</w:t>
            </w:r>
          </w:p>
        </w:tc>
        <w:tc>
          <w:tcPr>
            <w:tcW w:w="4394" w:type="dxa"/>
            <w:tcBorders>
              <w:top w:val="single" w:sz="4" w:space="0" w:color="auto"/>
              <w:left w:val="single" w:sz="4" w:space="0" w:color="auto"/>
              <w:bottom w:val="single" w:sz="4" w:space="0" w:color="auto"/>
              <w:right w:val="single" w:sz="4" w:space="0" w:color="auto"/>
            </w:tcBorders>
          </w:tcPr>
          <w:p w14:paraId="6189BC5F" w14:textId="77777777" w:rsidR="0061428C" w:rsidRPr="00920145" w:rsidRDefault="0061428C" w:rsidP="00A23201">
            <w:pPr>
              <w:spacing w:after="120" w:line="360" w:lineRule="auto"/>
              <w:rPr>
                <w:rFonts w:ascii="Verdana" w:hAnsi="Verdana"/>
                <w:sz w:val="20"/>
                <w:szCs w:val="18"/>
              </w:rPr>
            </w:pPr>
            <w:r w:rsidRPr="00920145">
              <w:rPr>
                <w:rFonts w:ascii="Verdana" w:hAnsi="Verdana"/>
                <w:sz w:val="20"/>
                <w:szCs w:val="18"/>
              </w:rPr>
              <w:t>2,0</w:t>
            </w:r>
          </w:p>
        </w:tc>
      </w:tr>
    </w:tbl>
    <w:p w14:paraId="796D1CC3" w14:textId="01F97739" w:rsidR="0061428C" w:rsidRPr="00920145" w:rsidRDefault="0061428C" w:rsidP="00950E6C">
      <w:pPr>
        <w:spacing w:after="240" w:line="360" w:lineRule="auto"/>
        <w:ind w:firstLine="567"/>
        <w:jc w:val="both"/>
        <w:rPr>
          <w:rFonts w:ascii="Verdana" w:hAnsi="Verdana"/>
          <w:sz w:val="20"/>
          <w:szCs w:val="18"/>
        </w:rPr>
      </w:pPr>
    </w:p>
    <w:p w14:paraId="46E82C84" w14:textId="17E6A842" w:rsidR="0061428C" w:rsidRPr="00920145" w:rsidRDefault="00421C05" w:rsidP="008362AE">
      <w:pPr>
        <w:pStyle w:val="Nagwek3"/>
      </w:pPr>
      <w:r w:rsidRPr="00920145">
        <w:t>§ 76 otrzymuje brzmienie:</w:t>
      </w:r>
    </w:p>
    <w:p w14:paraId="06D1A97F" w14:textId="20A8F80C" w:rsidR="00421C05" w:rsidRPr="00920145" w:rsidRDefault="00421C05" w:rsidP="00A23201">
      <w:pPr>
        <w:pStyle w:val="Akapitzlist"/>
        <w:tabs>
          <w:tab w:val="left" w:pos="851"/>
        </w:tabs>
        <w:spacing w:after="120" w:line="360" w:lineRule="auto"/>
        <w:ind w:left="567"/>
        <w:contextualSpacing w:val="0"/>
        <w:jc w:val="both"/>
        <w:rPr>
          <w:rFonts w:ascii="Verdana" w:hAnsi="Verdana"/>
          <w:sz w:val="20"/>
          <w:szCs w:val="18"/>
        </w:rPr>
      </w:pPr>
      <w:r w:rsidRPr="00920145">
        <w:rPr>
          <w:rFonts w:ascii="Verdana" w:hAnsi="Verdana"/>
          <w:sz w:val="20"/>
          <w:szCs w:val="18"/>
        </w:rPr>
        <w:t>„§ 76</w:t>
      </w:r>
    </w:p>
    <w:p w14:paraId="07438269" w14:textId="6BDC396F" w:rsidR="00421C05" w:rsidRPr="00920145" w:rsidRDefault="00421C05" w:rsidP="00A23201">
      <w:pPr>
        <w:spacing w:after="120" w:line="360" w:lineRule="auto"/>
        <w:ind w:left="567"/>
        <w:jc w:val="both"/>
        <w:rPr>
          <w:rFonts w:ascii="Verdana" w:hAnsi="Verdana"/>
          <w:sz w:val="20"/>
          <w:szCs w:val="18"/>
        </w:rPr>
      </w:pPr>
      <w:r w:rsidRPr="00920145">
        <w:rPr>
          <w:rFonts w:ascii="Verdana" w:hAnsi="Verdana"/>
          <w:sz w:val="20"/>
          <w:szCs w:val="18"/>
        </w:rPr>
        <w:t xml:space="preserve">Szczegółowe warunki obrotu dla dłużnych instrumentów finansowych </w:t>
      </w:r>
      <w:r w:rsidR="00E95ACE" w:rsidRPr="00920145">
        <w:rPr>
          <w:rFonts w:ascii="Verdana" w:hAnsi="Verdana"/>
          <w:sz w:val="20"/>
          <w:szCs w:val="18"/>
        </w:rPr>
        <w:br/>
      </w:r>
      <w:r w:rsidRPr="00920145">
        <w:rPr>
          <w:rFonts w:ascii="Verdana" w:hAnsi="Verdana"/>
          <w:sz w:val="20"/>
          <w:szCs w:val="18"/>
        </w:rPr>
        <w:t xml:space="preserve">w systemie notowań ciągłych: </w:t>
      </w:r>
    </w:p>
    <w:tbl>
      <w:tblPr>
        <w:tblW w:w="793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4394"/>
      </w:tblGrid>
      <w:tr w:rsidR="00421C05" w:rsidRPr="00920145" w14:paraId="266059C8" w14:textId="77777777" w:rsidTr="002D5BBE">
        <w:tc>
          <w:tcPr>
            <w:tcW w:w="3544" w:type="dxa"/>
            <w:tcBorders>
              <w:top w:val="single" w:sz="4" w:space="0" w:color="auto"/>
              <w:left w:val="single" w:sz="4" w:space="0" w:color="auto"/>
              <w:bottom w:val="single" w:sz="4" w:space="0" w:color="auto"/>
              <w:right w:val="single" w:sz="4" w:space="0" w:color="auto"/>
            </w:tcBorders>
          </w:tcPr>
          <w:p w14:paraId="4BD0A4AD" w14:textId="77777777" w:rsidR="00421C05" w:rsidRPr="00920145" w:rsidRDefault="00421C05" w:rsidP="00A23201">
            <w:pPr>
              <w:spacing w:after="120" w:line="360" w:lineRule="auto"/>
              <w:rPr>
                <w:rFonts w:ascii="Verdana" w:hAnsi="Verdana"/>
                <w:sz w:val="20"/>
                <w:szCs w:val="18"/>
              </w:rPr>
            </w:pPr>
            <w:r w:rsidRPr="00920145">
              <w:rPr>
                <w:rFonts w:ascii="Verdana" w:hAnsi="Verdana"/>
                <w:sz w:val="20"/>
                <w:szCs w:val="18"/>
              </w:rPr>
              <w:lastRenderedPageBreak/>
              <w:t>Jednostka transakcyjna</w:t>
            </w:r>
          </w:p>
        </w:tc>
        <w:tc>
          <w:tcPr>
            <w:tcW w:w="4394" w:type="dxa"/>
            <w:tcBorders>
              <w:top w:val="single" w:sz="4" w:space="0" w:color="auto"/>
              <w:left w:val="single" w:sz="4" w:space="0" w:color="auto"/>
              <w:bottom w:val="single" w:sz="4" w:space="0" w:color="auto"/>
              <w:right w:val="single" w:sz="4" w:space="0" w:color="auto"/>
            </w:tcBorders>
          </w:tcPr>
          <w:p w14:paraId="1E4A6062" w14:textId="77777777" w:rsidR="00421C05" w:rsidRPr="00920145" w:rsidRDefault="00421C05" w:rsidP="00A23201">
            <w:pPr>
              <w:spacing w:after="120" w:line="360" w:lineRule="auto"/>
              <w:rPr>
                <w:rFonts w:ascii="Verdana" w:hAnsi="Verdana"/>
                <w:sz w:val="20"/>
                <w:szCs w:val="18"/>
              </w:rPr>
            </w:pPr>
            <w:r w:rsidRPr="00920145">
              <w:rPr>
                <w:rFonts w:ascii="Verdana" w:hAnsi="Verdana"/>
                <w:sz w:val="20"/>
                <w:szCs w:val="18"/>
              </w:rPr>
              <w:t>jeden instrument, chyba że Zarząd Giełdy określi inną jednostkę transakcyjną</w:t>
            </w:r>
          </w:p>
        </w:tc>
      </w:tr>
      <w:tr w:rsidR="000351EC" w:rsidRPr="00920145" w14:paraId="3D104E7B" w14:textId="77777777" w:rsidTr="002D5BBE">
        <w:tc>
          <w:tcPr>
            <w:tcW w:w="3544" w:type="dxa"/>
            <w:tcBorders>
              <w:top w:val="single" w:sz="4" w:space="0" w:color="auto"/>
              <w:left w:val="single" w:sz="4" w:space="0" w:color="auto"/>
              <w:bottom w:val="single" w:sz="4" w:space="0" w:color="auto"/>
              <w:right w:val="single" w:sz="4" w:space="0" w:color="auto"/>
            </w:tcBorders>
          </w:tcPr>
          <w:p w14:paraId="57B04B56" w14:textId="17E51A6C" w:rsidR="000351EC" w:rsidRPr="00920145" w:rsidDel="000351EC" w:rsidRDefault="000351EC" w:rsidP="000351EC">
            <w:pPr>
              <w:spacing w:after="120" w:line="360" w:lineRule="auto"/>
              <w:rPr>
                <w:rFonts w:ascii="Verdana" w:hAnsi="Verdana"/>
                <w:sz w:val="20"/>
                <w:szCs w:val="18"/>
              </w:rPr>
            </w:pPr>
            <w:r w:rsidRPr="00920145">
              <w:rPr>
                <w:rFonts w:ascii="Verdana" w:hAnsi="Verdana"/>
                <w:sz w:val="20"/>
                <w:szCs w:val="20"/>
              </w:rPr>
              <w:t>Losowy czas otwarcia</w:t>
            </w:r>
            <w:r w:rsidRPr="00920145">
              <w:rPr>
                <w:rFonts w:ascii="Verdana" w:hAnsi="Verdana"/>
                <w:sz w:val="20"/>
                <w:szCs w:val="20"/>
              </w:rPr>
              <w:br/>
              <w:t>dla fazy aukcji otwarcia</w:t>
            </w:r>
          </w:p>
        </w:tc>
        <w:tc>
          <w:tcPr>
            <w:tcW w:w="4394" w:type="dxa"/>
            <w:tcBorders>
              <w:top w:val="single" w:sz="4" w:space="0" w:color="auto"/>
              <w:left w:val="single" w:sz="4" w:space="0" w:color="auto"/>
              <w:bottom w:val="single" w:sz="4" w:space="0" w:color="auto"/>
              <w:right w:val="single" w:sz="4" w:space="0" w:color="auto"/>
            </w:tcBorders>
          </w:tcPr>
          <w:p w14:paraId="21470826" w14:textId="2093C91C" w:rsidR="000351EC" w:rsidRPr="00920145" w:rsidDel="000351EC" w:rsidRDefault="00FF1DF0" w:rsidP="000351EC">
            <w:pPr>
              <w:spacing w:after="120" w:line="360" w:lineRule="auto"/>
              <w:rPr>
                <w:rFonts w:ascii="Verdana" w:hAnsi="Verdana"/>
                <w:sz w:val="20"/>
                <w:szCs w:val="18"/>
              </w:rPr>
            </w:pPr>
            <w:r w:rsidRPr="00920145">
              <w:rPr>
                <w:rFonts w:ascii="Verdana" w:hAnsi="Verdana"/>
                <w:sz w:val="20"/>
                <w:szCs w:val="20"/>
              </w:rPr>
              <w:t>(</w:t>
            </w:r>
            <w:r w:rsidR="000351EC" w:rsidRPr="00920145">
              <w:rPr>
                <w:rFonts w:ascii="Verdana" w:hAnsi="Verdana"/>
                <w:sz w:val="20"/>
                <w:szCs w:val="20"/>
              </w:rPr>
              <w:t>+</w:t>
            </w:r>
            <w:r w:rsidRPr="00920145">
              <w:rPr>
                <w:rFonts w:ascii="Verdana" w:hAnsi="Verdana"/>
                <w:sz w:val="20"/>
                <w:szCs w:val="20"/>
              </w:rPr>
              <w:t>)</w:t>
            </w:r>
            <w:r w:rsidR="000351EC" w:rsidRPr="00920145">
              <w:rPr>
                <w:rFonts w:ascii="Verdana" w:hAnsi="Verdana"/>
                <w:sz w:val="20"/>
                <w:szCs w:val="20"/>
              </w:rPr>
              <w:t xml:space="preserve"> 0-30 sekund</w:t>
            </w:r>
          </w:p>
        </w:tc>
      </w:tr>
      <w:tr w:rsidR="000351EC" w:rsidRPr="00920145" w14:paraId="599F7258" w14:textId="77777777" w:rsidTr="002D5BBE">
        <w:tc>
          <w:tcPr>
            <w:tcW w:w="3544" w:type="dxa"/>
            <w:tcBorders>
              <w:top w:val="single" w:sz="4" w:space="0" w:color="auto"/>
              <w:left w:val="single" w:sz="4" w:space="0" w:color="auto"/>
              <w:bottom w:val="single" w:sz="4" w:space="0" w:color="auto"/>
              <w:right w:val="single" w:sz="4" w:space="0" w:color="auto"/>
            </w:tcBorders>
          </w:tcPr>
          <w:p w14:paraId="13A02D0D" w14:textId="0E87364A" w:rsidR="000351EC" w:rsidRPr="00920145" w:rsidDel="000351EC" w:rsidRDefault="000351EC" w:rsidP="000351EC">
            <w:pPr>
              <w:spacing w:after="120" w:line="360" w:lineRule="auto"/>
              <w:rPr>
                <w:rFonts w:ascii="Verdana" w:hAnsi="Verdana"/>
                <w:sz w:val="20"/>
                <w:szCs w:val="18"/>
              </w:rPr>
            </w:pPr>
            <w:r w:rsidRPr="00920145">
              <w:rPr>
                <w:rFonts w:ascii="Verdana" w:hAnsi="Verdana"/>
                <w:sz w:val="20"/>
                <w:szCs w:val="20"/>
              </w:rPr>
              <w:t>Losowy czas otwarcia</w:t>
            </w:r>
            <w:r w:rsidRPr="00920145">
              <w:rPr>
                <w:rFonts w:ascii="Verdana" w:hAnsi="Verdana"/>
                <w:sz w:val="20"/>
                <w:szCs w:val="20"/>
              </w:rPr>
              <w:br/>
              <w:t>dla fazy aukcji zamknięcia</w:t>
            </w:r>
          </w:p>
        </w:tc>
        <w:tc>
          <w:tcPr>
            <w:tcW w:w="4394" w:type="dxa"/>
            <w:tcBorders>
              <w:top w:val="single" w:sz="4" w:space="0" w:color="auto"/>
              <w:left w:val="single" w:sz="4" w:space="0" w:color="auto"/>
              <w:bottom w:val="single" w:sz="4" w:space="0" w:color="auto"/>
              <w:right w:val="single" w:sz="4" w:space="0" w:color="auto"/>
            </w:tcBorders>
          </w:tcPr>
          <w:p w14:paraId="02ED032C" w14:textId="26F7AFEE" w:rsidR="000351EC" w:rsidRPr="00920145" w:rsidDel="000351EC" w:rsidRDefault="00FF1DF0" w:rsidP="000351EC">
            <w:pPr>
              <w:spacing w:after="120" w:line="360" w:lineRule="auto"/>
              <w:rPr>
                <w:rFonts w:ascii="Verdana" w:hAnsi="Verdana"/>
                <w:sz w:val="20"/>
                <w:szCs w:val="18"/>
              </w:rPr>
            </w:pPr>
            <w:r w:rsidRPr="00920145">
              <w:rPr>
                <w:rFonts w:ascii="Verdana" w:hAnsi="Verdana"/>
                <w:sz w:val="20"/>
                <w:szCs w:val="20"/>
              </w:rPr>
              <w:t>(</w:t>
            </w:r>
            <w:r w:rsidR="000351EC" w:rsidRPr="00920145">
              <w:rPr>
                <w:rFonts w:ascii="Verdana" w:hAnsi="Verdana"/>
                <w:sz w:val="20"/>
                <w:szCs w:val="20"/>
              </w:rPr>
              <w:t>-</w:t>
            </w:r>
            <w:r w:rsidRPr="00920145">
              <w:rPr>
                <w:rFonts w:ascii="Verdana" w:hAnsi="Verdana"/>
                <w:sz w:val="20"/>
                <w:szCs w:val="20"/>
              </w:rPr>
              <w:t>)</w:t>
            </w:r>
            <w:r w:rsidR="000351EC" w:rsidRPr="00920145">
              <w:rPr>
                <w:rFonts w:ascii="Verdana" w:hAnsi="Verdana"/>
                <w:sz w:val="20"/>
                <w:szCs w:val="20"/>
              </w:rPr>
              <w:t xml:space="preserve"> 0-30 sekund</w:t>
            </w:r>
          </w:p>
        </w:tc>
      </w:tr>
      <w:tr w:rsidR="00421C05" w:rsidRPr="00920145" w14:paraId="6708B80E" w14:textId="77777777" w:rsidTr="002D5BBE">
        <w:tc>
          <w:tcPr>
            <w:tcW w:w="3544" w:type="dxa"/>
          </w:tcPr>
          <w:p w14:paraId="54C706E8" w14:textId="77777777" w:rsidR="00421C05" w:rsidRPr="00920145" w:rsidRDefault="00421C05" w:rsidP="00A23201">
            <w:pPr>
              <w:spacing w:after="120" w:line="360" w:lineRule="auto"/>
              <w:rPr>
                <w:rFonts w:ascii="Verdana" w:hAnsi="Verdana"/>
                <w:sz w:val="20"/>
                <w:szCs w:val="18"/>
              </w:rPr>
            </w:pPr>
            <w:r w:rsidRPr="00920145">
              <w:rPr>
                <w:rFonts w:ascii="Verdana" w:hAnsi="Verdana"/>
                <w:sz w:val="20"/>
                <w:szCs w:val="18"/>
              </w:rPr>
              <w:t>Wysokość statycznych ograniczeń wahań kursów</w:t>
            </w:r>
          </w:p>
        </w:tc>
        <w:tc>
          <w:tcPr>
            <w:tcW w:w="4394" w:type="dxa"/>
          </w:tcPr>
          <w:p w14:paraId="7260CF1D" w14:textId="77777777" w:rsidR="00421C05" w:rsidRPr="00920145" w:rsidRDefault="00421C05" w:rsidP="00F8716B">
            <w:pPr>
              <w:numPr>
                <w:ilvl w:val="0"/>
                <w:numId w:val="51"/>
              </w:numPr>
              <w:spacing w:after="120" w:line="360" w:lineRule="auto"/>
              <w:jc w:val="both"/>
              <w:rPr>
                <w:rFonts w:ascii="Verdana" w:hAnsi="Verdana"/>
                <w:sz w:val="20"/>
                <w:szCs w:val="18"/>
              </w:rPr>
            </w:pPr>
            <w:r w:rsidRPr="00920145">
              <w:rPr>
                <w:rFonts w:ascii="Verdana" w:hAnsi="Verdana"/>
                <w:sz w:val="20"/>
                <w:szCs w:val="18"/>
              </w:rPr>
              <w:t xml:space="preserve">15 punktów procentowych od kursu odniesienia – przy kursie odniesienia niższym lub równym 74,99% </w:t>
            </w:r>
          </w:p>
          <w:p w14:paraId="06F68DC4" w14:textId="77777777" w:rsidR="00421C05" w:rsidRPr="00920145" w:rsidRDefault="00421C05" w:rsidP="00F8716B">
            <w:pPr>
              <w:numPr>
                <w:ilvl w:val="0"/>
                <w:numId w:val="51"/>
              </w:numPr>
              <w:spacing w:after="120" w:line="360" w:lineRule="auto"/>
              <w:jc w:val="both"/>
              <w:rPr>
                <w:rFonts w:ascii="Verdana" w:hAnsi="Verdana"/>
                <w:sz w:val="20"/>
                <w:szCs w:val="18"/>
              </w:rPr>
            </w:pPr>
            <w:r w:rsidRPr="00920145">
              <w:rPr>
                <w:rFonts w:ascii="Verdana" w:hAnsi="Verdana"/>
                <w:sz w:val="20"/>
                <w:szCs w:val="18"/>
              </w:rPr>
              <w:t xml:space="preserve">10 punktów procentowych od kursu odniesienia – przy kursie odniesienia 75% - 89,99% </w:t>
            </w:r>
          </w:p>
          <w:p w14:paraId="3BA93FFE" w14:textId="77777777" w:rsidR="00421C05" w:rsidRPr="00920145" w:rsidRDefault="00421C05" w:rsidP="00F8716B">
            <w:pPr>
              <w:numPr>
                <w:ilvl w:val="0"/>
                <w:numId w:val="51"/>
              </w:numPr>
              <w:spacing w:after="120" w:line="360" w:lineRule="auto"/>
              <w:jc w:val="both"/>
              <w:rPr>
                <w:rFonts w:ascii="Verdana" w:hAnsi="Verdana"/>
                <w:sz w:val="20"/>
                <w:szCs w:val="18"/>
              </w:rPr>
            </w:pPr>
            <w:r w:rsidRPr="00920145">
              <w:rPr>
                <w:rFonts w:ascii="Verdana" w:hAnsi="Verdana"/>
                <w:sz w:val="20"/>
                <w:szCs w:val="18"/>
              </w:rPr>
              <w:t>5 punktów procentowych od kursu odniesienia – przy kursie odniesienia 90% lub wyższym</w:t>
            </w:r>
          </w:p>
        </w:tc>
      </w:tr>
      <w:tr w:rsidR="00421C05" w:rsidRPr="00920145" w14:paraId="0599B425" w14:textId="77777777" w:rsidTr="002D5BBE">
        <w:tc>
          <w:tcPr>
            <w:tcW w:w="3544" w:type="dxa"/>
          </w:tcPr>
          <w:p w14:paraId="5489E78C" w14:textId="77777777" w:rsidR="00421C05" w:rsidRPr="00920145" w:rsidRDefault="00421C05" w:rsidP="00A23201">
            <w:pPr>
              <w:spacing w:after="120" w:line="360" w:lineRule="auto"/>
              <w:rPr>
                <w:rFonts w:ascii="Verdana" w:hAnsi="Verdana"/>
                <w:sz w:val="20"/>
                <w:szCs w:val="18"/>
              </w:rPr>
            </w:pPr>
            <w:r w:rsidRPr="00920145">
              <w:rPr>
                <w:rFonts w:ascii="Verdana" w:hAnsi="Verdana"/>
                <w:sz w:val="20"/>
                <w:szCs w:val="18"/>
              </w:rPr>
              <w:t xml:space="preserve">Wysokość dynamicznych ograniczeń wahań kursów </w:t>
            </w:r>
          </w:p>
        </w:tc>
        <w:tc>
          <w:tcPr>
            <w:tcW w:w="4394" w:type="dxa"/>
          </w:tcPr>
          <w:p w14:paraId="4984C65E" w14:textId="77777777" w:rsidR="00421C05" w:rsidRPr="00920145" w:rsidRDefault="00421C05" w:rsidP="0098651A">
            <w:pPr>
              <w:numPr>
                <w:ilvl w:val="0"/>
                <w:numId w:val="52"/>
              </w:numPr>
              <w:spacing w:after="120" w:line="360" w:lineRule="auto"/>
              <w:jc w:val="both"/>
              <w:rPr>
                <w:rFonts w:ascii="Verdana" w:hAnsi="Verdana"/>
                <w:sz w:val="20"/>
                <w:szCs w:val="18"/>
              </w:rPr>
            </w:pPr>
            <w:r w:rsidRPr="00920145">
              <w:rPr>
                <w:rFonts w:ascii="Verdana" w:hAnsi="Verdana"/>
                <w:sz w:val="20"/>
                <w:szCs w:val="18"/>
              </w:rPr>
              <w:t xml:space="preserve">6 punktów procentowych od kursu odniesienia – przy kursie odniesienia niższym lub równym 74,99% </w:t>
            </w:r>
          </w:p>
          <w:p w14:paraId="05BADC31" w14:textId="03C5AE57" w:rsidR="00421C05" w:rsidRPr="00920145" w:rsidRDefault="00421C05" w:rsidP="0098651A">
            <w:pPr>
              <w:numPr>
                <w:ilvl w:val="0"/>
                <w:numId w:val="52"/>
              </w:numPr>
              <w:spacing w:after="120" w:line="360" w:lineRule="auto"/>
              <w:jc w:val="both"/>
              <w:rPr>
                <w:rFonts w:ascii="Verdana" w:hAnsi="Verdana"/>
                <w:sz w:val="20"/>
                <w:szCs w:val="18"/>
              </w:rPr>
            </w:pPr>
            <w:r w:rsidRPr="00920145">
              <w:rPr>
                <w:rFonts w:ascii="Verdana" w:hAnsi="Verdana"/>
                <w:sz w:val="20"/>
                <w:szCs w:val="18"/>
              </w:rPr>
              <w:t xml:space="preserve">4 punkty procentowe od kursu odniesienia – przy kursie odniesienia 75% - 89,99% </w:t>
            </w:r>
          </w:p>
          <w:p w14:paraId="6C9E07AF" w14:textId="51BDEE83" w:rsidR="00421C05" w:rsidRPr="00920145" w:rsidRDefault="00421C05" w:rsidP="0098651A">
            <w:pPr>
              <w:numPr>
                <w:ilvl w:val="0"/>
                <w:numId w:val="52"/>
              </w:numPr>
              <w:spacing w:after="120" w:line="360" w:lineRule="auto"/>
              <w:jc w:val="both"/>
              <w:rPr>
                <w:rFonts w:ascii="Verdana" w:hAnsi="Verdana"/>
                <w:sz w:val="20"/>
                <w:szCs w:val="18"/>
              </w:rPr>
            </w:pPr>
            <w:r w:rsidRPr="00920145">
              <w:rPr>
                <w:rFonts w:ascii="Verdana" w:hAnsi="Verdana"/>
                <w:sz w:val="20"/>
                <w:szCs w:val="18"/>
              </w:rPr>
              <w:t>2 punkty procentowe od kursu odniesienia – przy kursie odniesienia 90% lub wyższym</w:t>
            </w:r>
          </w:p>
        </w:tc>
      </w:tr>
      <w:tr w:rsidR="00421C05" w:rsidRPr="00920145" w14:paraId="2AD97253" w14:textId="77777777" w:rsidTr="002D5BBE">
        <w:tc>
          <w:tcPr>
            <w:tcW w:w="3544" w:type="dxa"/>
          </w:tcPr>
          <w:p w14:paraId="64E7AA24" w14:textId="77777777" w:rsidR="00421C05" w:rsidRPr="00920145" w:rsidRDefault="00421C05" w:rsidP="00A23201">
            <w:pPr>
              <w:spacing w:after="120" w:line="360" w:lineRule="auto"/>
              <w:rPr>
                <w:rFonts w:ascii="Verdana" w:hAnsi="Verdana"/>
                <w:sz w:val="20"/>
                <w:szCs w:val="18"/>
              </w:rPr>
            </w:pPr>
            <w:r w:rsidRPr="00920145">
              <w:rPr>
                <w:rFonts w:ascii="Verdana" w:hAnsi="Verdana"/>
                <w:sz w:val="20"/>
                <w:szCs w:val="18"/>
              </w:rPr>
              <w:t xml:space="preserve">Maksymalne wartości dla limitów cen w zleceniu maklerskim    </w:t>
            </w:r>
          </w:p>
        </w:tc>
        <w:tc>
          <w:tcPr>
            <w:tcW w:w="4394" w:type="dxa"/>
          </w:tcPr>
          <w:p w14:paraId="3F79485A" w14:textId="3E4B3C94" w:rsidR="00421C05" w:rsidRPr="00920145" w:rsidRDefault="00421C05" w:rsidP="00A23201">
            <w:pPr>
              <w:spacing w:after="120" w:line="360" w:lineRule="auto"/>
              <w:rPr>
                <w:rFonts w:ascii="Verdana" w:hAnsi="Verdana"/>
                <w:sz w:val="20"/>
                <w:szCs w:val="18"/>
              </w:rPr>
            </w:pPr>
            <w:r w:rsidRPr="00920145">
              <w:rPr>
                <w:rFonts w:ascii="Verdana" w:hAnsi="Verdana"/>
                <w:sz w:val="20"/>
                <w:szCs w:val="18"/>
              </w:rPr>
              <w:t>30 punktów procentowych względem kursu odniesienia dla statycznych ograniczeń wahań kursu</w:t>
            </w:r>
          </w:p>
        </w:tc>
      </w:tr>
      <w:tr w:rsidR="00421C05" w:rsidRPr="00920145" w14:paraId="4F33CFBD" w14:textId="77777777" w:rsidTr="002D5BBE">
        <w:trPr>
          <w:trHeight w:val="801"/>
        </w:trPr>
        <w:tc>
          <w:tcPr>
            <w:tcW w:w="3544" w:type="dxa"/>
          </w:tcPr>
          <w:p w14:paraId="73039485" w14:textId="77777777" w:rsidR="00421C05" w:rsidRPr="00920145" w:rsidRDefault="00421C05" w:rsidP="00A23201">
            <w:pPr>
              <w:spacing w:after="120" w:line="360" w:lineRule="auto"/>
              <w:rPr>
                <w:rFonts w:ascii="Verdana" w:hAnsi="Verdana"/>
                <w:sz w:val="20"/>
                <w:szCs w:val="18"/>
              </w:rPr>
            </w:pPr>
            <w:r w:rsidRPr="00920145">
              <w:rPr>
                <w:rFonts w:ascii="Verdana" w:hAnsi="Verdana"/>
                <w:sz w:val="20"/>
                <w:szCs w:val="18"/>
              </w:rPr>
              <w:t xml:space="preserve">Maksymalna wartość zlecenia maklerskiego     </w:t>
            </w:r>
          </w:p>
        </w:tc>
        <w:tc>
          <w:tcPr>
            <w:tcW w:w="4394" w:type="dxa"/>
          </w:tcPr>
          <w:p w14:paraId="6B659F43" w14:textId="77777777" w:rsidR="00421C05" w:rsidRPr="00920145" w:rsidRDefault="00421C05" w:rsidP="00A23201">
            <w:pPr>
              <w:spacing w:after="120" w:line="360" w:lineRule="auto"/>
              <w:rPr>
                <w:rFonts w:ascii="Verdana" w:hAnsi="Verdana"/>
                <w:sz w:val="20"/>
                <w:szCs w:val="18"/>
              </w:rPr>
            </w:pPr>
            <w:r w:rsidRPr="00920145">
              <w:rPr>
                <w:rFonts w:ascii="Verdana" w:hAnsi="Verdana"/>
                <w:sz w:val="20"/>
                <w:szCs w:val="18"/>
              </w:rPr>
              <w:t>50.000.000 jednostek waluty notowania</w:t>
            </w:r>
          </w:p>
          <w:p w14:paraId="530A5A37" w14:textId="7462D03F" w:rsidR="00421C05" w:rsidRPr="00920145" w:rsidRDefault="00421C05" w:rsidP="00A23201">
            <w:pPr>
              <w:spacing w:after="120" w:line="360" w:lineRule="auto"/>
              <w:ind w:left="322"/>
              <w:rPr>
                <w:rFonts w:ascii="Verdana" w:hAnsi="Verdana"/>
                <w:sz w:val="20"/>
                <w:szCs w:val="18"/>
              </w:rPr>
            </w:pPr>
          </w:p>
        </w:tc>
      </w:tr>
      <w:tr w:rsidR="00421C05" w:rsidRPr="00920145" w14:paraId="0ED189E7" w14:textId="77777777" w:rsidTr="002D5BBE">
        <w:trPr>
          <w:trHeight w:val="1197"/>
        </w:trPr>
        <w:tc>
          <w:tcPr>
            <w:tcW w:w="3544" w:type="dxa"/>
          </w:tcPr>
          <w:p w14:paraId="11B564BF" w14:textId="77777777" w:rsidR="00421C05" w:rsidRPr="00920145" w:rsidRDefault="00421C05" w:rsidP="00A23201">
            <w:pPr>
              <w:spacing w:after="120" w:line="360" w:lineRule="auto"/>
              <w:rPr>
                <w:rFonts w:ascii="Verdana" w:hAnsi="Verdana"/>
                <w:sz w:val="20"/>
                <w:szCs w:val="18"/>
              </w:rPr>
            </w:pPr>
            <w:r w:rsidRPr="00920145">
              <w:rPr>
                <w:rFonts w:ascii="Verdana" w:hAnsi="Verdana"/>
                <w:sz w:val="20"/>
                <w:szCs w:val="18"/>
              </w:rPr>
              <w:t xml:space="preserve">Maksymalny  wolumen zlecenia maklerskiego       </w:t>
            </w:r>
          </w:p>
        </w:tc>
        <w:tc>
          <w:tcPr>
            <w:tcW w:w="4394" w:type="dxa"/>
          </w:tcPr>
          <w:p w14:paraId="7EB2075D" w14:textId="7584AEBF" w:rsidR="00421C05" w:rsidRPr="00920145" w:rsidRDefault="00421C05" w:rsidP="0014731F">
            <w:pPr>
              <w:spacing w:after="120" w:line="360" w:lineRule="auto"/>
              <w:jc w:val="both"/>
              <w:rPr>
                <w:rFonts w:ascii="Verdana" w:hAnsi="Verdana"/>
                <w:sz w:val="20"/>
                <w:szCs w:val="18"/>
              </w:rPr>
            </w:pPr>
            <w:r w:rsidRPr="00920145">
              <w:rPr>
                <w:rFonts w:ascii="Verdana" w:hAnsi="Verdana"/>
                <w:sz w:val="20"/>
                <w:szCs w:val="18"/>
              </w:rPr>
              <w:t xml:space="preserve">10% instrumentów finansowych wprowadzonych do obrotu giełdowego i oznaczonych tym samym kodem ISIN </w:t>
            </w:r>
          </w:p>
        </w:tc>
      </w:tr>
      <w:tr w:rsidR="00421C05" w:rsidRPr="00920145" w14:paraId="6FC076AC" w14:textId="77777777" w:rsidTr="002D5BBE">
        <w:tc>
          <w:tcPr>
            <w:tcW w:w="3544" w:type="dxa"/>
            <w:tcBorders>
              <w:top w:val="single" w:sz="4" w:space="0" w:color="auto"/>
              <w:left w:val="single" w:sz="4" w:space="0" w:color="auto"/>
              <w:bottom w:val="single" w:sz="4" w:space="0" w:color="auto"/>
              <w:right w:val="single" w:sz="4" w:space="0" w:color="auto"/>
            </w:tcBorders>
          </w:tcPr>
          <w:p w14:paraId="17A41400" w14:textId="77777777" w:rsidR="00421C05" w:rsidRPr="00920145" w:rsidRDefault="00421C05" w:rsidP="00A23201">
            <w:pPr>
              <w:spacing w:after="120" w:line="360" w:lineRule="auto"/>
              <w:rPr>
                <w:rFonts w:ascii="Verdana" w:hAnsi="Verdana"/>
                <w:sz w:val="20"/>
                <w:szCs w:val="18"/>
              </w:rPr>
            </w:pPr>
            <w:r w:rsidRPr="00920145">
              <w:rPr>
                <w:rFonts w:ascii="Verdana" w:hAnsi="Verdana"/>
                <w:sz w:val="20"/>
                <w:szCs w:val="18"/>
              </w:rPr>
              <w:lastRenderedPageBreak/>
              <w:t>Równoważenie podstawowe dla statycznych ograniczeń wahań kursów</w:t>
            </w:r>
          </w:p>
        </w:tc>
        <w:tc>
          <w:tcPr>
            <w:tcW w:w="4394" w:type="dxa"/>
            <w:tcBorders>
              <w:top w:val="single" w:sz="4" w:space="0" w:color="auto"/>
              <w:left w:val="single" w:sz="4" w:space="0" w:color="auto"/>
              <w:bottom w:val="single" w:sz="4" w:space="0" w:color="auto"/>
              <w:right w:val="single" w:sz="4" w:space="0" w:color="auto"/>
            </w:tcBorders>
          </w:tcPr>
          <w:p w14:paraId="0C9FF681" w14:textId="77777777" w:rsidR="00421C05" w:rsidRPr="00920145" w:rsidRDefault="00421C05" w:rsidP="00A23201">
            <w:pPr>
              <w:spacing w:after="120" w:line="360" w:lineRule="auto"/>
              <w:rPr>
                <w:rFonts w:ascii="Verdana" w:hAnsi="Verdana"/>
                <w:sz w:val="20"/>
                <w:szCs w:val="18"/>
              </w:rPr>
            </w:pPr>
            <w:r w:rsidRPr="00920145">
              <w:rPr>
                <w:rFonts w:ascii="Verdana" w:hAnsi="Verdana"/>
                <w:sz w:val="20"/>
                <w:szCs w:val="18"/>
              </w:rPr>
              <w:t>Tak</w:t>
            </w:r>
          </w:p>
        </w:tc>
      </w:tr>
      <w:tr w:rsidR="00421C05" w:rsidRPr="00920145" w14:paraId="11947F81" w14:textId="77777777" w:rsidTr="002D5BBE">
        <w:tc>
          <w:tcPr>
            <w:tcW w:w="3544" w:type="dxa"/>
            <w:tcBorders>
              <w:top w:val="single" w:sz="4" w:space="0" w:color="auto"/>
              <w:left w:val="single" w:sz="4" w:space="0" w:color="auto"/>
              <w:bottom w:val="single" w:sz="4" w:space="0" w:color="auto"/>
              <w:right w:val="single" w:sz="4" w:space="0" w:color="auto"/>
            </w:tcBorders>
          </w:tcPr>
          <w:p w14:paraId="45958D16" w14:textId="77777777" w:rsidR="00421C05" w:rsidRPr="00920145" w:rsidRDefault="00421C05" w:rsidP="00A23201">
            <w:pPr>
              <w:spacing w:after="120" w:line="360" w:lineRule="auto"/>
              <w:rPr>
                <w:rFonts w:ascii="Verdana" w:hAnsi="Verdana"/>
                <w:sz w:val="20"/>
                <w:szCs w:val="18"/>
              </w:rPr>
            </w:pPr>
            <w:r w:rsidRPr="00920145">
              <w:rPr>
                <w:rFonts w:ascii="Verdana" w:hAnsi="Verdana"/>
                <w:sz w:val="20"/>
                <w:szCs w:val="18"/>
              </w:rPr>
              <w:t>Czas trwania równoważenia podstawowego dla statycznych ograniczeń wahań kursów</w:t>
            </w:r>
          </w:p>
        </w:tc>
        <w:tc>
          <w:tcPr>
            <w:tcW w:w="4394" w:type="dxa"/>
            <w:tcBorders>
              <w:top w:val="single" w:sz="4" w:space="0" w:color="auto"/>
              <w:left w:val="single" w:sz="4" w:space="0" w:color="auto"/>
              <w:bottom w:val="single" w:sz="4" w:space="0" w:color="auto"/>
              <w:right w:val="single" w:sz="4" w:space="0" w:color="auto"/>
            </w:tcBorders>
          </w:tcPr>
          <w:p w14:paraId="15524E5A" w14:textId="77777777" w:rsidR="00421C05" w:rsidRPr="00920145" w:rsidRDefault="00421C05" w:rsidP="00A23201">
            <w:pPr>
              <w:spacing w:after="120" w:line="360" w:lineRule="auto"/>
              <w:rPr>
                <w:rFonts w:ascii="Verdana" w:hAnsi="Verdana"/>
                <w:sz w:val="20"/>
                <w:szCs w:val="18"/>
              </w:rPr>
            </w:pPr>
            <w:r w:rsidRPr="00920145">
              <w:rPr>
                <w:rFonts w:ascii="Verdana" w:hAnsi="Verdana"/>
                <w:sz w:val="20"/>
                <w:szCs w:val="18"/>
              </w:rPr>
              <w:t>300 sekund</w:t>
            </w:r>
          </w:p>
        </w:tc>
      </w:tr>
      <w:tr w:rsidR="00421C05" w:rsidRPr="00920145" w14:paraId="37A2586A" w14:textId="77777777" w:rsidTr="002D5BBE">
        <w:tc>
          <w:tcPr>
            <w:tcW w:w="3544" w:type="dxa"/>
            <w:tcBorders>
              <w:top w:val="single" w:sz="4" w:space="0" w:color="auto"/>
              <w:left w:val="single" w:sz="4" w:space="0" w:color="auto"/>
              <w:bottom w:val="single" w:sz="4" w:space="0" w:color="auto"/>
              <w:right w:val="single" w:sz="4" w:space="0" w:color="auto"/>
            </w:tcBorders>
          </w:tcPr>
          <w:p w14:paraId="08EC432B" w14:textId="77777777" w:rsidR="00421C05" w:rsidRPr="00920145" w:rsidRDefault="00421C05" w:rsidP="00A23201">
            <w:pPr>
              <w:spacing w:after="120" w:line="360" w:lineRule="auto"/>
              <w:rPr>
                <w:rFonts w:ascii="Verdana" w:hAnsi="Verdana"/>
                <w:sz w:val="20"/>
                <w:szCs w:val="18"/>
              </w:rPr>
            </w:pPr>
            <w:r w:rsidRPr="00920145">
              <w:rPr>
                <w:rFonts w:ascii="Verdana" w:hAnsi="Verdana"/>
                <w:sz w:val="20"/>
                <w:szCs w:val="18"/>
              </w:rPr>
              <w:t>Współczynnik przesunięcia kursu odniesienia dla równoważenia w fazie aukcji otwarcia</w:t>
            </w:r>
          </w:p>
        </w:tc>
        <w:tc>
          <w:tcPr>
            <w:tcW w:w="4394" w:type="dxa"/>
            <w:tcBorders>
              <w:top w:val="single" w:sz="4" w:space="0" w:color="auto"/>
              <w:left w:val="single" w:sz="4" w:space="0" w:color="auto"/>
              <w:bottom w:val="single" w:sz="4" w:space="0" w:color="auto"/>
              <w:right w:val="single" w:sz="4" w:space="0" w:color="auto"/>
            </w:tcBorders>
          </w:tcPr>
          <w:p w14:paraId="6AD99126" w14:textId="77777777" w:rsidR="00421C05" w:rsidRPr="00920145" w:rsidRDefault="00421C05" w:rsidP="00A23201">
            <w:pPr>
              <w:spacing w:after="120" w:line="360" w:lineRule="auto"/>
              <w:rPr>
                <w:rFonts w:ascii="Verdana" w:hAnsi="Verdana"/>
                <w:sz w:val="20"/>
                <w:szCs w:val="18"/>
              </w:rPr>
            </w:pPr>
            <w:r w:rsidRPr="00920145">
              <w:rPr>
                <w:rFonts w:ascii="Verdana" w:hAnsi="Verdana"/>
                <w:sz w:val="20"/>
                <w:szCs w:val="18"/>
              </w:rPr>
              <w:t>1</w:t>
            </w:r>
          </w:p>
        </w:tc>
      </w:tr>
      <w:tr w:rsidR="00421C05" w:rsidRPr="00920145" w14:paraId="79437EAF" w14:textId="77777777" w:rsidTr="002D5BBE">
        <w:tc>
          <w:tcPr>
            <w:tcW w:w="3544" w:type="dxa"/>
            <w:tcBorders>
              <w:top w:val="single" w:sz="4" w:space="0" w:color="auto"/>
              <w:left w:val="single" w:sz="4" w:space="0" w:color="auto"/>
              <w:bottom w:val="single" w:sz="4" w:space="0" w:color="auto"/>
              <w:right w:val="single" w:sz="4" w:space="0" w:color="auto"/>
            </w:tcBorders>
          </w:tcPr>
          <w:p w14:paraId="6A26ACDA" w14:textId="77777777" w:rsidR="00421C05" w:rsidRPr="00920145" w:rsidRDefault="00421C05" w:rsidP="00A23201">
            <w:pPr>
              <w:spacing w:after="120" w:line="360" w:lineRule="auto"/>
              <w:rPr>
                <w:rFonts w:ascii="Verdana" w:hAnsi="Verdana"/>
                <w:sz w:val="20"/>
                <w:szCs w:val="18"/>
              </w:rPr>
            </w:pPr>
            <w:r w:rsidRPr="00920145">
              <w:rPr>
                <w:rFonts w:ascii="Verdana" w:hAnsi="Verdana"/>
                <w:sz w:val="20"/>
                <w:szCs w:val="18"/>
              </w:rPr>
              <w:t>Współczynnik przesunięcia kursu odniesienia dla równoważenia w fazach innych niż faza  aukcji otwarcia</w:t>
            </w:r>
          </w:p>
        </w:tc>
        <w:tc>
          <w:tcPr>
            <w:tcW w:w="4394" w:type="dxa"/>
            <w:tcBorders>
              <w:top w:val="single" w:sz="4" w:space="0" w:color="auto"/>
              <w:left w:val="single" w:sz="4" w:space="0" w:color="auto"/>
              <w:bottom w:val="single" w:sz="4" w:space="0" w:color="auto"/>
              <w:right w:val="single" w:sz="4" w:space="0" w:color="auto"/>
            </w:tcBorders>
          </w:tcPr>
          <w:p w14:paraId="68C218EF" w14:textId="77777777" w:rsidR="00421C05" w:rsidRPr="00920145" w:rsidRDefault="00421C05" w:rsidP="00A23201">
            <w:pPr>
              <w:spacing w:after="120" w:line="360" w:lineRule="auto"/>
              <w:rPr>
                <w:rFonts w:ascii="Verdana" w:hAnsi="Verdana"/>
                <w:sz w:val="20"/>
                <w:szCs w:val="18"/>
              </w:rPr>
            </w:pPr>
            <w:r w:rsidRPr="00920145">
              <w:rPr>
                <w:rFonts w:ascii="Verdana" w:hAnsi="Verdana"/>
                <w:sz w:val="20"/>
                <w:szCs w:val="18"/>
              </w:rPr>
              <w:t>0,5</w:t>
            </w:r>
          </w:p>
        </w:tc>
      </w:tr>
      <w:tr w:rsidR="00421C05" w:rsidRPr="00920145" w14:paraId="752E24C1" w14:textId="77777777" w:rsidTr="002D5BBE">
        <w:tc>
          <w:tcPr>
            <w:tcW w:w="3544" w:type="dxa"/>
            <w:tcBorders>
              <w:top w:val="single" w:sz="4" w:space="0" w:color="auto"/>
              <w:left w:val="single" w:sz="4" w:space="0" w:color="auto"/>
              <w:bottom w:val="single" w:sz="4" w:space="0" w:color="auto"/>
              <w:right w:val="single" w:sz="4" w:space="0" w:color="auto"/>
            </w:tcBorders>
          </w:tcPr>
          <w:p w14:paraId="2D5FF510" w14:textId="77777777" w:rsidR="00421C05" w:rsidRPr="00920145" w:rsidRDefault="00421C05" w:rsidP="00A23201">
            <w:pPr>
              <w:spacing w:after="120" w:line="360" w:lineRule="auto"/>
              <w:rPr>
                <w:rFonts w:ascii="Verdana" w:hAnsi="Verdana"/>
                <w:sz w:val="20"/>
                <w:szCs w:val="18"/>
              </w:rPr>
            </w:pPr>
            <w:r w:rsidRPr="00920145">
              <w:rPr>
                <w:rFonts w:ascii="Verdana" w:hAnsi="Verdana"/>
                <w:sz w:val="20"/>
                <w:szCs w:val="18"/>
              </w:rPr>
              <w:t>Współczynnik maksymalnej liczby zmian netto statycznych ograniczeń wahań kursów</w:t>
            </w:r>
          </w:p>
        </w:tc>
        <w:tc>
          <w:tcPr>
            <w:tcW w:w="4394" w:type="dxa"/>
            <w:tcBorders>
              <w:top w:val="single" w:sz="4" w:space="0" w:color="auto"/>
              <w:left w:val="single" w:sz="4" w:space="0" w:color="auto"/>
              <w:bottom w:val="single" w:sz="4" w:space="0" w:color="auto"/>
              <w:right w:val="single" w:sz="4" w:space="0" w:color="auto"/>
            </w:tcBorders>
          </w:tcPr>
          <w:p w14:paraId="55493975" w14:textId="77777777" w:rsidR="00421C05" w:rsidRPr="00920145" w:rsidRDefault="00421C05" w:rsidP="00A23201">
            <w:pPr>
              <w:spacing w:after="120" w:line="360" w:lineRule="auto"/>
              <w:rPr>
                <w:rFonts w:ascii="Verdana" w:hAnsi="Verdana"/>
                <w:sz w:val="20"/>
                <w:szCs w:val="18"/>
              </w:rPr>
            </w:pPr>
            <w:r w:rsidRPr="00920145">
              <w:rPr>
                <w:rFonts w:ascii="Verdana" w:hAnsi="Verdana"/>
                <w:sz w:val="20"/>
                <w:szCs w:val="18"/>
              </w:rPr>
              <w:t>2</w:t>
            </w:r>
          </w:p>
        </w:tc>
      </w:tr>
      <w:tr w:rsidR="00421C05" w:rsidRPr="00920145" w14:paraId="4E37647C" w14:textId="77777777" w:rsidTr="002D5BBE">
        <w:tc>
          <w:tcPr>
            <w:tcW w:w="3544" w:type="dxa"/>
            <w:tcBorders>
              <w:top w:val="single" w:sz="4" w:space="0" w:color="auto"/>
              <w:left w:val="single" w:sz="4" w:space="0" w:color="auto"/>
              <w:bottom w:val="single" w:sz="4" w:space="0" w:color="auto"/>
              <w:right w:val="single" w:sz="4" w:space="0" w:color="auto"/>
            </w:tcBorders>
          </w:tcPr>
          <w:p w14:paraId="0644E57F" w14:textId="77777777" w:rsidR="00421C05" w:rsidRPr="00920145" w:rsidRDefault="00421C05" w:rsidP="00A23201">
            <w:pPr>
              <w:spacing w:after="120" w:line="360" w:lineRule="auto"/>
              <w:rPr>
                <w:rFonts w:ascii="Verdana" w:hAnsi="Verdana"/>
                <w:sz w:val="20"/>
                <w:szCs w:val="18"/>
              </w:rPr>
            </w:pPr>
            <w:r w:rsidRPr="00920145">
              <w:rPr>
                <w:rFonts w:ascii="Verdana" w:hAnsi="Verdana"/>
                <w:sz w:val="20"/>
                <w:szCs w:val="18"/>
              </w:rPr>
              <w:t>Czas trwania równoważenia podstawowego dla dynamicznych ograniczeń wahań kursów</w:t>
            </w:r>
          </w:p>
        </w:tc>
        <w:tc>
          <w:tcPr>
            <w:tcW w:w="4394" w:type="dxa"/>
            <w:tcBorders>
              <w:top w:val="single" w:sz="4" w:space="0" w:color="auto"/>
              <w:left w:val="single" w:sz="4" w:space="0" w:color="auto"/>
              <w:bottom w:val="single" w:sz="4" w:space="0" w:color="auto"/>
              <w:right w:val="single" w:sz="4" w:space="0" w:color="auto"/>
            </w:tcBorders>
          </w:tcPr>
          <w:p w14:paraId="1C24E379" w14:textId="77777777" w:rsidR="00421C05" w:rsidRPr="00920145" w:rsidRDefault="00421C05" w:rsidP="00A23201">
            <w:pPr>
              <w:spacing w:after="120" w:line="360" w:lineRule="auto"/>
              <w:rPr>
                <w:rFonts w:ascii="Verdana" w:hAnsi="Verdana"/>
                <w:sz w:val="20"/>
                <w:szCs w:val="18"/>
              </w:rPr>
            </w:pPr>
            <w:r w:rsidRPr="00920145">
              <w:rPr>
                <w:rFonts w:ascii="Verdana" w:hAnsi="Verdana"/>
                <w:sz w:val="20"/>
                <w:szCs w:val="18"/>
              </w:rPr>
              <w:t>60 sekund</w:t>
            </w:r>
          </w:p>
        </w:tc>
      </w:tr>
      <w:tr w:rsidR="00421C05" w:rsidRPr="00920145" w14:paraId="672602DB" w14:textId="77777777" w:rsidTr="002D5BBE">
        <w:tc>
          <w:tcPr>
            <w:tcW w:w="3544" w:type="dxa"/>
            <w:tcBorders>
              <w:top w:val="single" w:sz="4" w:space="0" w:color="auto"/>
              <w:left w:val="single" w:sz="4" w:space="0" w:color="auto"/>
              <w:bottom w:val="single" w:sz="4" w:space="0" w:color="auto"/>
              <w:right w:val="single" w:sz="4" w:space="0" w:color="auto"/>
            </w:tcBorders>
          </w:tcPr>
          <w:p w14:paraId="3E16C67C" w14:textId="77777777" w:rsidR="00421C05" w:rsidRPr="00920145" w:rsidRDefault="00421C05" w:rsidP="00A23201">
            <w:pPr>
              <w:spacing w:after="120" w:line="360" w:lineRule="auto"/>
              <w:rPr>
                <w:rFonts w:ascii="Verdana" w:hAnsi="Verdana"/>
                <w:sz w:val="20"/>
                <w:szCs w:val="18"/>
              </w:rPr>
            </w:pPr>
            <w:r w:rsidRPr="00920145">
              <w:rPr>
                <w:rFonts w:ascii="Verdana" w:hAnsi="Verdana"/>
                <w:sz w:val="20"/>
                <w:szCs w:val="18"/>
              </w:rPr>
              <w:t>Współczynnik rozszerzenia dla równoważenia w fazie aukcji otwarcia</w:t>
            </w:r>
          </w:p>
        </w:tc>
        <w:tc>
          <w:tcPr>
            <w:tcW w:w="4394" w:type="dxa"/>
            <w:tcBorders>
              <w:top w:val="single" w:sz="4" w:space="0" w:color="auto"/>
              <w:left w:val="single" w:sz="4" w:space="0" w:color="auto"/>
              <w:bottom w:val="single" w:sz="4" w:space="0" w:color="auto"/>
              <w:right w:val="single" w:sz="4" w:space="0" w:color="auto"/>
            </w:tcBorders>
          </w:tcPr>
          <w:p w14:paraId="0AC949EF" w14:textId="77777777" w:rsidR="00421C05" w:rsidRPr="00920145" w:rsidRDefault="00421C05" w:rsidP="00A23201">
            <w:pPr>
              <w:spacing w:after="120" w:line="360" w:lineRule="auto"/>
              <w:rPr>
                <w:rFonts w:ascii="Verdana" w:hAnsi="Verdana"/>
                <w:sz w:val="20"/>
                <w:szCs w:val="18"/>
              </w:rPr>
            </w:pPr>
            <w:r w:rsidRPr="00920145">
              <w:rPr>
                <w:rFonts w:ascii="Verdana" w:hAnsi="Verdana"/>
                <w:sz w:val="20"/>
                <w:szCs w:val="18"/>
              </w:rPr>
              <w:t>3,0</w:t>
            </w:r>
          </w:p>
        </w:tc>
      </w:tr>
      <w:tr w:rsidR="00421C05" w:rsidRPr="00920145" w14:paraId="3C03A0AB" w14:textId="77777777" w:rsidTr="002D5BBE">
        <w:tc>
          <w:tcPr>
            <w:tcW w:w="3544" w:type="dxa"/>
            <w:tcBorders>
              <w:top w:val="single" w:sz="4" w:space="0" w:color="auto"/>
              <w:left w:val="single" w:sz="4" w:space="0" w:color="auto"/>
              <w:bottom w:val="single" w:sz="4" w:space="0" w:color="auto"/>
              <w:right w:val="single" w:sz="4" w:space="0" w:color="auto"/>
            </w:tcBorders>
          </w:tcPr>
          <w:p w14:paraId="38486BC4" w14:textId="77777777" w:rsidR="00421C05" w:rsidRPr="00920145" w:rsidRDefault="00421C05" w:rsidP="00A23201">
            <w:pPr>
              <w:spacing w:after="120" w:line="360" w:lineRule="auto"/>
              <w:rPr>
                <w:rFonts w:ascii="Verdana" w:hAnsi="Verdana"/>
                <w:sz w:val="20"/>
                <w:szCs w:val="18"/>
              </w:rPr>
            </w:pPr>
            <w:r w:rsidRPr="00920145">
              <w:rPr>
                <w:rFonts w:ascii="Verdana" w:hAnsi="Verdana"/>
                <w:sz w:val="20"/>
                <w:szCs w:val="18"/>
              </w:rPr>
              <w:t>Współczynnik rozszerzenia dla równoważenia w fazach innych niż faza aukcji otwarcia</w:t>
            </w:r>
          </w:p>
        </w:tc>
        <w:tc>
          <w:tcPr>
            <w:tcW w:w="4394" w:type="dxa"/>
            <w:tcBorders>
              <w:top w:val="single" w:sz="4" w:space="0" w:color="auto"/>
              <w:left w:val="single" w:sz="4" w:space="0" w:color="auto"/>
              <w:bottom w:val="single" w:sz="4" w:space="0" w:color="auto"/>
              <w:right w:val="single" w:sz="4" w:space="0" w:color="auto"/>
            </w:tcBorders>
          </w:tcPr>
          <w:p w14:paraId="4D5B20BC" w14:textId="77777777" w:rsidR="00421C05" w:rsidRPr="00920145" w:rsidRDefault="00421C05" w:rsidP="00A23201">
            <w:pPr>
              <w:spacing w:after="120" w:line="360" w:lineRule="auto"/>
              <w:rPr>
                <w:rFonts w:ascii="Verdana" w:hAnsi="Verdana"/>
                <w:sz w:val="20"/>
                <w:szCs w:val="18"/>
              </w:rPr>
            </w:pPr>
            <w:r w:rsidRPr="00920145">
              <w:rPr>
                <w:rFonts w:ascii="Verdana" w:hAnsi="Verdana"/>
                <w:sz w:val="20"/>
                <w:szCs w:val="18"/>
              </w:rPr>
              <w:t>2,0</w:t>
            </w:r>
          </w:p>
        </w:tc>
      </w:tr>
      <w:tr w:rsidR="00421C05" w:rsidRPr="00920145" w14:paraId="7E20F37A" w14:textId="77777777" w:rsidTr="002D5BBE">
        <w:tc>
          <w:tcPr>
            <w:tcW w:w="3544" w:type="dxa"/>
            <w:tcBorders>
              <w:top w:val="single" w:sz="4" w:space="0" w:color="auto"/>
              <w:left w:val="single" w:sz="4" w:space="0" w:color="auto"/>
              <w:bottom w:val="single" w:sz="4" w:space="0" w:color="auto"/>
              <w:right w:val="single" w:sz="4" w:space="0" w:color="auto"/>
            </w:tcBorders>
          </w:tcPr>
          <w:p w14:paraId="723787D3" w14:textId="77777777" w:rsidR="00421C05" w:rsidRPr="00920145" w:rsidRDefault="00421C05" w:rsidP="00A23201">
            <w:pPr>
              <w:spacing w:after="120" w:line="360" w:lineRule="auto"/>
              <w:rPr>
                <w:rFonts w:ascii="Verdana" w:hAnsi="Verdana"/>
                <w:sz w:val="20"/>
                <w:szCs w:val="18"/>
              </w:rPr>
            </w:pPr>
            <w:r w:rsidRPr="00920145">
              <w:rPr>
                <w:rFonts w:ascii="Verdana" w:hAnsi="Verdana"/>
                <w:sz w:val="20"/>
                <w:szCs w:val="18"/>
              </w:rPr>
              <w:t>Współczynnik maksymalnej liczby zmian netto dynamicznych ograniczeń wahań kursów</w:t>
            </w:r>
          </w:p>
        </w:tc>
        <w:tc>
          <w:tcPr>
            <w:tcW w:w="4394" w:type="dxa"/>
            <w:tcBorders>
              <w:top w:val="single" w:sz="4" w:space="0" w:color="auto"/>
              <w:left w:val="single" w:sz="4" w:space="0" w:color="auto"/>
              <w:bottom w:val="single" w:sz="4" w:space="0" w:color="auto"/>
              <w:right w:val="single" w:sz="4" w:space="0" w:color="auto"/>
            </w:tcBorders>
          </w:tcPr>
          <w:p w14:paraId="5762A356" w14:textId="77777777" w:rsidR="00421C05" w:rsidRPr="00920145" w:rsidRDefault="00421C05" w:rsidP="00A23201">
            <w:pPr>
              <w:spacing w:after="120" w:line="360" w:lineRule="auto"/>
              <w:rPr>
                <w:rFonts w:ascii="Verdana" w:hAnsi="Verdana"/>
                <w:sz w:val="20"/>
                <w:szCs w:val="18"/>
              </w:rPr>
            </w:pPr>
            <w:r w:rsidRPr="00920145">
              <w:rPr>
                <w:rFonts w:ascii="Verdana" w:hAnsi="Verdana"/>
                <w:sz w:val="20"/>
                <w:szCs w:val="18"/>
              </w:rPr>
              <w:t>20</w:t>
            </w:r>
          </w:p>
        </w:tc>
      </w:tr>
    </w:tbl>
    <w:p w14:paraId="51981EF1" w14:textId="5947E8DC" w:rsidR="00E279C5" w:rsidRPr="00920145" w:rsidRDefault="00E279C5" w:rsidP="008362AE">
      <w:pPr>
        <w:pStyle w:val="Nagwek3"/>
        <w:numPr>
          <w:ilvl w:val="0"/>
          <w:numId w:val="0"/>
        </w:numPr>
        <w:ind w:left="737"/>
      </w:pPr>
    </w:p>
    <w:p w14:paraId="36BD20F4" w14:textId="755EAA3B" w:rsidR="00FF1DF0" w:rsidRPr="00920145" w:rsidRDefault="00FF1DF0" w:rsidP="00FF1DF0">
      <w:pPr>
        <w:rPr>
          <w:lang w:eastAsia="pl-PL"/>
        </w:rPr>
      </w:pPr>
    </w:p>
    <w:p w14:paraId="4BB58FE5" w14:textId="77777777" w:rsidR="00FF1DF0" w:rsidRPr="00920145" w:rsidRDefault="00FF1DF0" w:rsidP="00FF1DF0">
      <w:pPr>
        <w:rPr>
          <w:lang w:eastAsia="pl-PL"/>
        </w:rPr>
      </w:pPr>
    </w:p>
    <w:p w14:paraId="7DD2FF0B" w14:textId="01025589" w:rsidR="0061428C" w:rsidRPr="00920145" w:rsidRDefault="007D4D65" w:rsidP="008362AE">
      <w:pPr>
        <w:pStyle w:val="Nagwek3"/>
      </w:pPr>
      <w:r w:rsidRPr="00920145">
        <w:lastRenderedPageBreak/>
        <w:t>§ 77 otrzymuje brzmienie:</w:t>
      </w:r>
    </w:p>
    <w:p w14:paraId="497490FA" w14:textId="46CC71C4" w:rsidR="007D4D65" w:rsidRPr="00920145" w:rsidRDefault="007D4D65" w:rsidP="00A23201">
      <w:pPr>
        <w:pStyle w:val="Akapitzlist"/>
        <w:tabs>
          <w:tab w:val="left" w:pos="851"/>
        </w:tabs>
        <w:spacing w:after="120" w:line="360" w:lineRule="auto"/>
        <w:ind w:left="567"/>
        <w:contextualSpacing w:val="0"/>
        <w:jc w:val="both"/>
        <w:rPr>
          <w:rFonts w:ascii="Verdana" w:hAnsi="Verdana"/>
          <w:sz w:val="20"/>
          <w:szCs w:val="20"/>
        </w:rPr>
      </w:pPr>
      <w:r w:rsidRPr="00920145">
        <w:rPr>
          <w:rFonts w:ascii="Verdana" w:hAnsi="Verdana"/>
          <w:sz w:val="20"/>
          <w:szCs w:val="20"/>
        </w:rPr>
        <w:t>„§ 77</w:t>
      </w:r>
    </w:p>
    <w:p w14:paraId="2E84EE0A" w14:textId="58857EF5" w:rsidR="007D4D65" w:rsidRPr="00920145" w:rsidRDefault="007D4D65" w:rsidP="00A23201">
      <w:pPr>
        <w:tabs>
          <w:tab w:val="left" w:pos="142"/>
        </w:tabs>
        <w:spacing w:after="120" w:line="360" w:lineRule="auto"/>
        <w:ind w:left="567"/>
        <w:jc w:val="both"/>
        <w:rPr>
          <w:rFonts w:ascii="Verdana" w:hAnsi="Verdana"/>
          <w:sz w:val="20"/>
          <w:szCs w:val="18"/>
        </w:rPr>
      </w:pPr>
      <w:r w:rsidRPr="00920145">
        <w:rPr>
          <w:rFonts w:ascii="Verdana" w:hAnsi="Verdana"/>
          <w:sz w:val="20"/>
          <w:szCs w:val="18"/>
        </w:rPr>
        <w:t xml:space="preserve">Szczegółowe warunki obrotu dla dłużnych instrumentów finansowych </w:t>
      </w:r>
      <w:r w:rsidR="0014731F" w:rsidRPr="00920145">
        <w:rPr>
          <w:rFonts w:ascii="Verdana" w:hAnsi="Verdana"/>
          <w:sz w:val="20"/>
          <w:szCs w:val="18"/>
        </w:rPr>
        <w:br/>
      </w:r>
      <w:r w:rsidRPr="00920145">
        <w:rPr>
          <w:rFonts w:ascii="Verdana" w:hAnsi="Verdana"/>
          <w:sz w:val="20"/>
          <w:szCs w:val="18"/>
        </w:rPr>
        <w:t xml:space="preserve">w systemie kursu jednolitego: </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4530"/>
      </w:tblGrid>
      <w:tr w:rsidR="007D4D65" w:rsidRPr="00920145" w14:paraId="3CF27C32" w14:textId="77777777" w:rsidTr="002D5BBE">
        <w:tc>
          <w:tcPr>
            <w:tcW w:w="3402" w:type="dxa"/>
            <w:tcBorders>
              <w:top w:val="single" w:sz="4" w:space="0" w:color="auto"/>
              <w:left w:val="single" w:sz="4" w:space="0" w:color="auto"/>
              <w:bottom w:val="single" w:sz="4" w:space="0" w:color="auto"/>
              <w:right w:val="single" w:sz="4" w:space="0" w:color="auto"/>
            </w:tcBorders>
          </w:tcPr>
          <w:p w14:paraId="68A7C28B" w14:textId="77777777" w:rsidR="007D4D65" w:rsidRPr="00920145" w:rsidRDefault="007D4D65" w:rsidP="00A23201">
            <w:pPr>
              <w:spacing w:after="120" w:line="360" w:lineRule="auto"/>
              <w:rPr>
                <w:rFonts w:ascii="Verdana" w:hAnsi="Verdana"/>
                <w:sz w:val="20"/>
                <w:szCs w:val="18"/>
              </w:rPr>
            </w:pPr>
            <w:r w:rsidRPr="00920145">
              <w:rPr>
                <w:rFonts w:ascii="Verdana" w:hAnsi="Verdana"/>
                <w:sz w:val="20"/>
                <w:szCs w:val="18"/>
              </w:rPr>
              <w:t>Jednostka transakcyjna</w:t>
            </w:r>
          </w:p>
        </w:tc>
        <w:tc>
          <w:tcPr>
            <w:tcW w:w="4530" w:type="dxa"/>
            <w:tcBorders>
              <w:top w:val="single" w:sz="4" w:space="0" w:color="auto"/>
              <w:left w:val="single" w:sz="4" w:space="0" w:color="auto"/>
              <w:bottom w:val="single" w:sz="4" w:space="0" w:color="auto"/>
              <w:right w:val="single" w:sz="4" w:space="0" w:color="auto"/>
            </w:tcBorders>
          </w:tcPr>
          <w:p w14:paraId="06DF3B4C" w14:textId="77777777" w:rsidR="007D4D65" w:rsidRPr="00920145" w:rsidRDefault="007D4D65" w:rsidP="00A23201">
            <w:pPr>
              <w:spacing w:after="120" w:line="360" w:lineRule="auto"/>
              <w:rPr>
                <w:rFonts w:ascii="Verdana" w:hAnsi="Verdana"/>
                <w:sz w:val="20"/>
                <w:szCs w:val="18"/>
              </w:rPr>
            </w:pPr>
            <w:r w:rsidRPr="00920145">
              <w:rPr>
                <w:rFonts w:ascii="Verdana" w:hAnsi="Verdana"/>
                <w:sz w:val="20"/>
                <w:szCs w:val="18"/>
              </w:rPr>
              <w:t>jeden instrument, chyba że Zarząd Giełdy określi inną jednostkę transakcyjną</w:t>
            </w:r>
          </w:p>
        </w:tc>
      </w:tr>
      <w:tr w:rsidR="000351EC" w:rsidRPr="00920145" w14:paraId="4EBA3D5D" w14:textId="77777777" w:rsidTr="002D5BBE">
        <w:tc>
          <w:tcPr>
            <w:tcW w:w="3402" w:type="dxa"/>
            <w:tcBorders>
              <w:top w:val="single" w:sz="4" w:space="0" w:color="auto"/>
              <w:left w:val="single" w:sz="4" w:space="0" w:color="auto"/>
              <w:bottom w:val="single" w:sz="4" w:space="0" w:color="auto"/>
              <w:right w:val="single" w:sz="4" w:space="0" w:color="auto"/>
            </w:tcBorders>
          </w:tcPr>
          <w:p w14:paraId="002EDE48" w14:textId="55C15532" w:rsidR="000351EC" w:rsidRPr="00920145" w:rsidDel="000351EC" w:rsidRDefault="000351EC" w:rsidP="000351EC">
            <w:pPr>
              <w:spacing w:after="120" w:line="360" w:lineRule="auto"/>
              <w:rPr>
                <w:rFonts w:ascii="Verdana" w:hAnsi="Verdana"/>
                <w:sz w:val="20"/>
                <w:szCs w:val="18"/>
              </w:rPr>
            </w:pPr>
            <w:r w:rsidRPr="00920145">
              <w:rPr>
                <w:rFonts w:ascii="Verdana" w:hAnsi="Verdana"/>
                <w:sz w:val="20"/>
                <w:szCs w:val="20"/>
              </w:rPr>
              <w:t>Losowy czas otwarcia</w:t>
            </w:r>
            <w:r w:rsidRPr="00920145">
              <w:rPr>
                <w:rFonts w:ascii="Verdana" w:hAnsi="Verdana"/>
                <w:sz w:val="20"/>
                <w:szCs w:val="20"/>
              </w:rPr>
              <w:br/>
              <w:t>dla fazy aukcji otwarcia</w:t>
            </w:r>
          </w:p>
        </w:tc>
        <w:tc>
          <w:tcPr>
            <w:tcW w:w="4530" w:type="dxa"/>
            <w:tcBorders>
              <w:top w:val="single" w:sz="4" w:space="0" w:color="auto"/>
              <w:left w:val="single" w:sz="4" w:space="0" w:color="auto"/>
              <w:bottom w:val="single" w:sz="4" w:space="0" w:color="auto"/>
              <w:right w:val="single" w:sz="4" w:space="0" w:color="auto"/>
            </w:tcBorders>
          </w:tcPr>
          <w:p w14:paraId="21121B9E" w14:textId="15AB68AE" w:rsidR="000351EC" w:rsidRPr="00920145" w:rsidDel="000351EC" w:rsidRDefault="00FF1DF0" w:rsidP="000351EC">
            <w:pPr>
              <w:spacing w:after="120" w:line="360" w:lineRule="auto"/>
              <w:rPr>
                <w:rFonts w:ascii="Verdana" w:hAnsi="Verdana"/>
                <w:sz w:val="20"/>
                <w:szCs w:val="18"/>
              </w:rPr>
            </w:pPr>
            <w:r w:rsidRPr="00920145">
              <w:rPr>
                <w:rFonts w:ascii="Verdana" w:hAnsi="Verdana"/>
                <w:sz w:val="20"/>
                <w:szCs w:val="20"/>
              </w:rPr>
              <w:t>(</w:t>
            </w:r>
            <w:r w:rsidR="000351EC" w:rsidRPr="00920145">
              <w:rPr>
                <w:rFonts w:ascii="Verdana" w:hAnsi="Verdana"/>
                <w:sz w:val="20"/>
                <w:szCs w:val="20"/>
              </w:rPr>
              <w:t>+</w:t>
            </w:r>
            <w:r w:rsidRPr="00920145">
              <w:rPr>
                <w:rFonts w:ascii="Verdana" w:hAnsi="Verdana"/>
                <w:sz w:val="20"/>
                <w:szCs w:val="20"/>
              </w:rPr>
              <w:t>)</w:t>
            </w:r>
            <w:r w:rsidR="000351EC" w:rsidRPr="00920145">
              <w:rPr>
                <w:rFonts w:ascii="Verdana" w:hAnsi="Verdana"/>
                <w:sz w:val="20"/>
                <w:szCs w:val="20"/>
              </w:rPr>
              <w:t xml:space="preserve"> 0-30 sekund</w:t>
            </w:r>
          </w:p>
        </w:tc>
      </w:tr>
      <w:tr w:rsidR="007D4D65" w:rsidRPr="00920145" w14:paraId="1B732AF3" w14:textId="77777777" w:rsidTr="002D5BBE">
        <w:tc>
          <w:tcPr>
            <w:tcW w:w="3402" w:type="dxa"/>
          </w:tcPr>
          <w:p w14:paraId="691793F3" w14:textId="77777777" w:rsidR="007D4D65" w:rsidRPr="00920145" w:rsidRDefault="007D4D65" w:rsidP="00A23201">
            <w:pPr>
              <w:spacing w:after="120" w:line="360" w:lineRule="auto"/>
              <w:rPr>
                <w:rFonts w:ascii="Verdana" w:hAnsi="Verdana"/>
                <w:sz w:val="20"/>
                <w:szCs w:val="18"/>
              </w:rPr>
            </w:pPr>
            <w:r w:rsidRPr="00920145">
              <w:rPr>
                <w:rFonts w:ascii="Verdana" w:hAnsi="Verdana"/>
                <w:sz w:val="20"/>
                <w:szCs w:val="18"/>
              </w:rPr>
              <w:t>Wysokość statycznych ograniczeń wahań kursów</w:t>
            </w:r>
          </w:p>
        </w:tc>
        <w:tc>
          <w:tcPr>
            <w:tcW w:w="4530" w:type="dxa"/>
          </w:tcPr>
          <w:p w14:paraId="4893BFB9" w14:textId="77777777" w:rsidR="007D4D65" w:rsidRPr="00920145" w:rsidRDefault="007D4D65" w:rsidP="0098651A">
            <w:pPr>
              <w:numPr>
                <w:ilvl w:val="0"/>
                <w:numId w:val="53"/>
              </w:numPr>
              <w:spacing w:after="120" w:line="360" w:lineRule="auto"/>
              <w:jc w:val="both"/>
              <w:rPr>
                <w:rFonts w:ascii="Verdana" w:hAnsi="Verdana"/>
                <w:sz w:val="20"/>
                <w:szCs w:val="18"/>
              </w:rPr>
            </w:pPr>
            <w:r w:rsidRPr="00920145">
              <w:rPr>
                <w:rFonts w:ascii="Verdana" w:hAnsi="Verdana"/>
                <w:sz w:val="20"/>
                <w:szCs w:val="18"/>
              </w:rPr>
              <w:t xml:space="preserve">15 punktów procentowych od kursu odniesienia – przy kursie odniesienia niższym lub równym 74,99% </w:t>
            </w:r>
          </w:p>
          <w:p w14:paraId="672EEC01" w14:textId="77777777" w:rsidR="007D4D65" w:rsidRPr="00920145" w:rsidRDefault="007D4D65" w:rsidP="0098651A">
            <w:pPr>
              <w:numPr>
                <w:ilvl w:val="0"/>
                <w:numId w:val="53"/>
              </w:numPr>
              <w:spacing w:after="120" w:line="360" w:lineRule="auto"/>
              <w:jc w:val="both"/>
              <w:rPr>
                <w:rFonts w:ascii="Verdana" w:hAnsi="Verdana"/>
                <w:sz w:val="20"/>
                <w:szCs w:val="18"/>
              </w:rPr>
            </w:pPr>
            <w:r w:rsidRPr="00920145">
              <w:rPr>
                <w:rFonts w:ascii="Verdana" w:hAnsi="Verdana"/>
                <w:sz w:val="20"/>
                <w:szCs w:val="18"/>
              </w:rPr>
              <w:t xml:space="preserve">10 punktów procentowych od kursu odniesienia – przy kursie odniesienia </w:t>
            </w:r>
            <w:r w:rsidRPr="00920145">
              <w:rPr>
                <w:rFonts w:ascii="Verdana" w:hAnsi="Verdana"/>
                <w:sz w:val="20"/>
                <w:szCs w:val="18"/>
              </w:rPr>
              <w:br/>
              <w:t xml:space="preserve">75% - 89,99% </w:t>
            </w:r>
          </w:p>
          <w:p w14:paraId="0E20CD5D" w14:textId="77777777" w:rsidR="007D4D65" w:rsidRPr="00920145" w:rsidRDefault="007D4D65" w:rsidP="0098651A">
            <w:pPr>
              <w:numPr>
                <w:ilvl w:val="0"/>
                <w:numId w:val="53"/>
              </w:numPr>
              <w:spacing w:after="120" w:line="360" w:lineRule="auto"/>
              <w:jc w:val="both"/>
              <w:rPr>
                <w:rFonts w:ascii="Verdana" w:hAnsi="Verdana"/>
                <w:sz w:val="20"/>
                <w:szCs w:val="18"/>
              </w:rPr>
            </w:pPr>
            <w:r w:rsidRPr="00920145">
              <w:rPr>
                <w:rFonts w:ascii="Verdana" w:hAnsi="Verdana"/>
                <w:sz w:val="20"/>
                <w:szCs w:val="18"/>
              </w:rPr>
              <w:t>5 punktów procentowych od kursu odniesienia – przy kursie odniesienia 90% lub wyższym</w:t>
            </w:r>
          </w:p>
        </w:tc>
      </w:tr>
      <w:tr w:rsidR="007D4D65" w:rsidRPr="00920145" w14:paraId="5EB23AB8" w14:textId="77777777" w:rsidTr="002D5BBE">
        <w:tc>
          <w:tcPr>
            <w:tcW w:w="3402" w:type="dxa"/>
          </w:tcPr>
          <w:p w14:paraId="2C436EAA" w14:textId="77777777" w:rsidR="007D4D65" w:rsidRPr="00920145" w:rsidRDefault="007D4D65" w:rsidP="00A23201">
            <w:pPr>
              <w:spacing w:after="120" w:line="360" w:lineRule="auto"/>
              <w:rPr>
                <w:rFonts w:ascii="Verdana" w:hAnsi="Verdana"/>
                <w:sz w:val="20"/>
                <w:szCs w:val="18"/>
              </w:rPr>
            </w:pPr>
            <w:r w:rsidRPr="00920145">
              <w:rPr>
                <w:rFonts w:ascii="Verdana" w:hAnsi="Verdana"/>
                <w:sz w:val="20"/>
                <w:szCs w:val="18"/>
              </w:rPr>
              <w:t xml:space="preserve">Maksymalne wartości dla limitów cen w zleceniu maklerskim    </w:t>
            </w:r>
          </w:p>
        </w:tc>
        <w:tc>
          <w:tcPr>
            <w:tcW w:w="4530" w:type="dxa"/>
          </w:tcPr>
          <w:p w14:paraId="432788A7" w14:textId="77777777" w:rsidR="007D4D65" w:rsidRPr="00920145" w:rsidRDefault="007D4D65" w:rsidP="00A23201">
            <w:pPr>
              <w:spacing w:after="120" w:line="360" w:lineRule="auto"/>
              <w:rPr>
                <w:rFonts w:ascii="Verdana" w:hAnsi="Verdana"/>
                <w:sz w:val="20"/>
                <w:szCs w:val="18"/>
              </w:rPr>
            </w:pPr>
            <w:r w:rsidRPr="00920145">
              <w:rPr>
                <w:rFonts w:ascii="Verdana" w:hAnsi="Verdana"/>
                <w:sz w:val="20"/>
                <w:szCs w:val="18"/>
              </w:rPr>
              <w:t>30 punktów procentowych względem kursu odniesienia dla statycznych ograniczeń wahań kursu</w:t>
            </w:r>
          </w:p>
        </w:tc>
      </w:tr>
      <w:tr w:rsidR="007D4D65" w:rsidRPr="00920145" w14:paraId="1611F0BA" w14:textId="77777777" w:rsidTr="002D5BBE">
        <w:trPr>
          <w:trHeight w:val="943"/>
        </w:trPr>
        <w:tc>
          <w:tcPr>
            <w:tcW w:w="3402" w:type="dxa"/>
          </w:tcPr>
          <w:p w14:paraId="76838CB1" w14:textId="77777777" w:rsidR="007D4D65" w:rsidRPr="00920145" w:rsidRDefault="007D4D65" w:rsidP="00A23201">
            <w:pPr>
              <w:spacing w:after="120" w:line="360" w:lineRule="auto"/>
              <w:rPr>
                <w:rFonts w:ascii="Verdana" w:hAnsi="Verdana"/>
                <w:sz w:val="20"/>
                <w:szCs w:val="18"/>
              </w:rPr>
            </w:pPr>
            <w:r w:rsidRPr="00920145">
              <w:rPr>
                <w:rFonts w:ascii="Verdana" w:hAnsi="Verdana"/>
                <w:sz w:val="20"/>
                <w:szCs w:val="18"/>
              </w:rPr>
              <w:t xml:space="preserve">Maksymalna wartość zlecenia maklerskiego     </w:t>
            </w:r>
          </w:p>
        </w:tc>
        <w:tc>
          <w:tcPr>
            <w:tcW w:w="4530" w:type="dxa"/>
          </w:tcPr>
          <w:p w14:paraId="2FB95910" w14:textId="77777777" w:rsidR="007D4D65" w:rsidRPr="00920145" w:rsidRDefault="007D4D65" w:rsidP="00A23201">
            <w:pPr>
              <w:spacing w:after="120" w:line="360" w:lineRule="auto"/>
              <w:rPr>
                <w:rFonts w:ascii="Verdana" w:hAnsi="Verdana"/>
                <w:sz w:val="20"/>
                <w:szCs w:val="18"/>
              </w:rPr>
            </w:pPr>
            <w:r w:rsidRPr="00920145">
              <w:rPr>
                <w:rFonts w:ascii="Verdana" w:hAnsi="Verdana"/>
                <w:sz w:val="20"/>
                <w:szCs w:val="18"/>
              </w:rPr>
              <w:t>50.000.000 jednostek waluty notowania</w:t>
            </w:r>
          </w:p>
          <w:p w14:paraId="24CAE077" w14:textId="77777777" w:rsidR="007D4D65" w:rsidRPr="00920145" w:rsidRDefault="007D4D65" w:rsidP="00A23201">
            <w:pPr>
              <w:spacing w:after="120" w:line="360" w:lineRule="auto"/>
              <w:rPr>
                <w:rFonts w:ascii="Verdana" w:hAnsi="Verdana"/>
                <w:sz w:val="20"/>
                <w:szCs w:val="18"/>
              </w:rPr>
            </w:pPr>
          </w:p>
        </w:tc>
      </w:tr>
      <w:tr w:rsidR="007D4D65" w:rsidRPr="00920145" w14:paraId="559947B6" w14:textId="77777777" w:rsidTr="002D5BBE">
        <w:tc>
          <w:tcPr>
            <w:tcW w:w="3402" w:type="dxa"/>
          </w:tcPr>
          <w:p w14:paraId="494CCB96" w14:textId="77777777" w:rsidR="007D4D65" w:rsidRPr="00920145" w:rsidRDefault="007D4D65" w:rsidP="00A23201">
            <w:pPr>
              <w:spacing w:after="120" w:line="360" w:lineRule="auto"/>
              <w:rPr>
                <w:rFonts w:ascii="Verdana" w:hAnsi="Verdana"/>
                <w:sz w:val="20"/>
                <w:szCs w:val="18"/>
              </w:rPr>
            </w:pPr>
            <w:r w:rsidRPr="00920145">
              <w:rPr>
                <w:rFonts w:ascii="Verdana" w:hAnsi="Verdana"/>
                <w:sz w:val="20"/>
                <w:szCs w:val="18"/>
              </w:rPr>
              <w:t xml:space="preserve">Maksymalny wolumen zlecenia maklerskiego       </w:t>
            </w:r>
          </w:p>
        </w:tc>
        <w:tc>
          <w:tcPr>
            <w:tcW w:w="4530" w:type="dxa"/>
          </w:tcPr>
          <w:p w14:paraId="07EE21F4" w14:textId="76393BD8" w:rsidR="007D4D65" w:rsidRPr="00920145" w:rsidRDefault="007D4D65" w:rsidP="0014731F">
            <w:pPr>
              <w:spacing w:after="120" w:line="360" w:lineRule="auto"/>
              <w:jc w:val="both"/>
              <w:rPr>
                <w:rFonts w:ascii="Verdana" w:hAnsi="Verdana"/>
                <w:sz w:val="20"/>
                <w:szCs w:val="18"/>
              </w:rPr>
            </w:pPr>
            <w:r w:rsidRPr="00920145">
              <w:rPr>
                <w:rFonts w:ascii="Verdana" w:hAnsi="Verdana"/>
                <w:sz w:val="20"/>
                <w:szCs w:val="18"/>
              </w:rPr>
              <w:t xml:space="preserve">10% instrumentów finansowych wprowadzonych do obrotu giełdowego i oznaczonych tym samym kodem ISIN </w:t>
            </w:r>
          </w:p>
        </w:tc>
      </w:tr>
      <w:tr w:rsidR="007D4D65" w:rsidRPr="00920145" w:rsidDel="007A11FE" w14:paraId="7300831A" w14:textId="77777777" w:rsidTr="002D5BBE">
        <w:tc>
          <w:tcPr>
            <w:tcW w:w="3402" w:type="dxa"/>
          </w:tcPr>
          <w:p w14:paraId="7460E230" w14:textId="77777777" w:rsidR="007D4D65" w:rsidRPr="00920145" w:rsidRDefault="007D4D65" w:rsidP="00A23201">
            <w:pPr>
              <w:spacing w:after="120" w:line="360" w:lineRule="auto"/>
              <w:rPr>
                <w:rFonts w:ascii="Verdana" w:hAnsi="Verdana"/>
                <w:sz w:val="20"/>
                <w:szCs w:val="18"/>
              </w:rPr>
            </w:pPr>
            <w:r w:rsidRPr="00920145">
              <w:rPr>
                <w:rFonts w:ascii="Verdana" w:hAnsi="Verdana"/>
                <w:sz w:val="20"/>
                <w:szCs w:val="18"/>
              </w:rPr>
              <w:t>Równoważenie podstawowe dla statycznych ograniczeń wahań kursów</w:t>
            </w:r>
          </w:p>
        </w:tc>
        <w:tc>
          <w:tcPr>
            <w:tcW w:w="4530" w:type="dxa"/>
          </w:tcPr>
          <w:p w14:paraId="43D239CF" w14:textId="77777777" w:rsidR="007D4D65" w:rsidRPr="00920145" w:rsidDel="007A11FE" w:rsidRDefault="007D4D65" w:rsidP="00A23201">
            <w:pPr>
              <w:spacing w:after="120" w:line="360" w:lineRule="auto"/>
              <w:rPr>
                <w:rFonts w:ascii="Verdana" w:hAnsi="Verdana"/>
                <w:sz w:val="20"/>
                <w:szCs w:val="18"/>
              </w:rPr>
            </w:pPr>
            <w:r w:rsidRPr="00920145">
              <w:rPr>
                <w:rFonts w:ascii="Verdana" w:hAnsi="Verdana"/>
                <w:sz w:val="20"/>
                <w:szCs w:val="18"/>
              </w:rPr>
              <w:t>Tak</w:t>
            </w:r>
          </w:p>
        </w:tc>
      </w:tr>
      <w:tr w:rsidR="007D4D65" w:rsidRPr="00920145" w14:paraId="1BB7220C" w14:textId="77777777" w:rsidTr="002D5BBE">
        <w:tc>
          <w:tcPr>
            <w:tcW w:w="3402" w:type="dxa"/>
          </w:tcPr>
          <w:p w14:paraId="75B27288" w14:textId="77777777" w:rsidR="007D4D65" w:rsidRPr="00920145" w:rsidRDefault="007D4D65" w:rsidP="00A23201">
            <w:pPr>
              <w:spacing w:after="120" w:line="360" w:lineRule="auto"/>
              <w:rPr>
                <w:rFonts w:ascii="Verdana" w:hAnsi="Verdana"/>
                <w:sz w:val="20"/>
                <w:szCs w:val="18"/>
              </w:rPr>
            </w:pPr>
            <w:r w:rsidRPr="00920145">
              <w:rPr>
                <w:rFonts w:ascii="Verdana" w:hAnsi="Verdana"/>
                <w:sz w:val="20"/>
                <w:szCs w:val="18"/>
              </w:rPr>
              <w:t>Czas trwania równoważenia podstawowego dla statycznych ograniczeń wahań kursów</w:t>
            </w:r>
          </w:p>
        </w:tc>
        <w:tc>
          <w:tcPr>
            <w:tcW w:w="4530" w:type="dxa"/>
          </w:tcPr>
          <w:p w14:paraId="59E0AF6F" w14:textId="77777777" w:rsidR="007D4D65" w:rsidRPr="00920145" w:rsidRDefault="007D4D65" w:rsidP="00A23201">
            <w:pPr>
              <w:spacing w:after="120" w:line="360" w:lineRule="auto"/>
              <w:rPr>
                <w:rFonts w:ascii="Verdana" w:hAnsi="Verdana"/>
                <w:sz w:val="20"/>
                <w:szCs w:val="18"/>
              </w:rPr>
            </w:pPr>
            <w:r w:rsidRPr="00920145">
              <w:rPr>
                <w:rFonts w:ascii="Verdana" w:hAnsi="Verdana"/>
                <w:sz w:val="20"/>
                <w:szCs w:val="18"/>
              </w:rPr>
              <w:t>300 sekund</w:t>
            </w:r>
          </w:p>
        </w:tc>
      </w:tr>
      <w:tr w:rsidR="007D4D65" w:rsidRPr="00920145" w14:paraId="1B564A85" w14:textId="77777777" w:rsidTr="002D5BBE">
        <w:tc>
          <w:tcPr>
            <w:tcW w:w="3402" w:type="dxa"/>
          </w:tcPr>
          <w:p w14:paraId="5BA1EF57" w14:textId="77777777" w:rsidR="007D4D65" w:rsidRPr="00920145" w:rsidRDefault="007D4D65" w:rsidP="00A23201">
            <w:pPr>
              <w:spacing w:after="120" w:line="360" w:lineRule="auto"/>
              <w:rPr>
                <w:rFonts w:ascii="Verdana" w:hAnsi="Verdana"/>
                <w:sz w:val="20"/>
                <w:szCs w:val="18"/>
              </w:rPr>
            </w:pPr>
            <w:r w:rsidRPr="00920145">
              <w:rPr>
                <w:rFonts w:ascii="Verdana" w:hAnsi="Verdana"/>
                <w:sz w:val="20"/>
                <w:szCs w:val="18"/>
              </w:rPr>
              <w:t xml:space="preserve">Współczynnik przesunięcia kursu odniesienia dla </w:t>
            </w:r>
            <w:r w:rsidRPr="00920145">
              <w:rPr>
                <w:rFonts w:ascii="Verdana" w:hAnsi="Verdana"/>
                <w:sz w:val="20"/>
                <w:szCs w:val="18"/>
              </w:rPr>
              <w:lastRenderedPageBreak/>
              <w:t>równoważenia w fazie aukcji otwarcia</w:t>
            </w:r>
          </w:p>
        </w:tc>
        <w:tc>
          <w:tcPr>
            <w:tcW w:w="4530" w:type="dxa"/>
          </w:tcPr>
          <w:p w14:paraId="6E67B34C" w14:textId="77777777" w:rsidR="007D4D65" w:rsidRPr="00920145" w:rsidRDefault="007D4D65" w:rsidP="00A23201">
            <w:pPr>
              <w:spacing w:after="120" w:line="360" w:lineRule="auto"/>
              <w:rPr>
                <w:rFonts w:ascii="Verdana" w:hAnsi="Verdana"/>
                <w:sz w:val="20"/>
                <w:szCs w:val="18"/>
              </w:rPr>
            </w:pPr>
            <w:r w:rsidRPr="00920145">
              <w:rPr>
                <w:rFonts w:ascii="Verdana" w:hAnsi="Verdana"/>
                <w:sz w:val="20"/>
                <w:szCs w:val="18"/>
              </w:rPr>
              <w:lastRenderedPageBreak/>
              <w:t>1</w:t>
            </w:r>
          </w:p>
        </w:tc>
      </w:tr>
      <w:tr w:rsidR="007D4D65" w:rsidRPr="00920145" w14:paraId="1E44CA46" w14:textId="77777777" w:rsidTr="002D5BBE">
        <w:tc>
          <w:tcPr>
            <w:tcW w:w="3402" w:type="dxa"/>
          </w:tcPr>
          <w:p w14:paraId="587596F9" w14:textId="77777777" w:rsidR="007D4D65" w:rsidRPr="00920145" w:rsidRDefault="007D4D65" w:rsidP="00A23201">
            <w:pPr>
              <w:spacing w:after="120" w:line="360" w:lineRule="auto"/>
              <w:rPr>
                <w:rFonts w:ascii="Verdana" w:hAnsi="Verdana"/>
                <w:sz w:val="20"/>
                <w:szCs w:val="18"/>
              </w:rPr>
            </w:pPr>
            <w:r w:rsidRPr="00920145">
              <w:rPr>
                <w:rFonts w:ascii="Verdana" w:hAnsi="Verdana"/>
                <w:sz w:val="20"/>
                <w:szCs w:val="18"/>
              </w:rPr>
              <w:t>Współczynnik przesunięcia kursu odniesienia dla równoważenia w fazach innych niż faza aukcji otwarcia</w:t>
            </w:r>
          </w:p>
        </w:tc>
        <w:tc>
          <w:tcPr>
            <w:tcW w:w="4530" w:type="dxa"/>
          </w:tcPr>
          <w:p w14:paraId="322DB350" w14:textId="77777777" w:rsidR="007D4D65" w:rsidRPr="00920145" w:rsidRDefault="007D4D65" w:rsidP="00A23201">
            <w:pPr>
              <w:spacing w:after="120" w:line="360" w:lineRule="auto"/>
              <w:rPr>
                <w:rFonts w:ascii="Verdana" w:hAnsi="Verdana"/>
                <w:sz w:val="20"/>
                <w:szCs w:val="18"/>
              </w:rPr>
            </w:pPr>
            <w:r w:rsidRPr="00920145">
              <w:rPr>
                <w:rFonts w:ascii="Verdana" w:hAnsi="Verdana"/>
                <w:sz w:val="20"/>
                <w:szCs w:val="18"/>
              </w:rPr>
              <w:t>0,5</w:t>
            </w:r>
          </w:p>
        </w:tc>
      </w:tr>
      <w:tr w:rsidR="007D4D65" w:rsidRPr="00920145" w14:paraId="142CF3FD" w14:textId="77777777" w:rsidTr="002D5BBE">
        <w:tc>
          <w:tcPr>
            <w:tcW w:w="3402" w:type="dxa"/>
          </w:tcPr>
          <w:p w14:paraId="50109A79" w14:textId="77777777" w:rsidR="007D4D65" w:rsidRPr="00920145" w:rsidRDefault="007D4D65" w:rsidP="00A23201">
            <w:pPr>
              <w:spacing w:after="120" w:line="360" w:lineRule="auto"/>
              <w:rPr>
                <w:rFonts w:ascii="Verdana" w:hAnsi="Verdana"/>
                <w:sz w:val="20"/>
                <w:szCs w:val="18"/>
              </w:rPr>
            </w:pPr>
            <w:r w:rsidRPr="00920145">
              <w:rPr>
                <w:rFonts w:ascii="Verdana" w:hAnsi="Verdana"/>
                <w:sz w:val="20"/>
                <w:szCs w:val="18"/>
              </w:rPr>
              <w:t>Współczynnik maksymalnej liczby zmian netto statycznych ograniczeń wahań kursów</w:t>
            </w:r>
          </w:p>
        </w:tc>
        <w:tc>
          <w:tcPr>
            <w:tcW w:w="4530" w:type="dxa"/>
          </w:tcPr>
          <w:p w14:paraId="2802F2E5" w14:textId="77777777" w:rsidR="007D4D65" w:rsidRPr="00920145" w:rsidRDefault="007D4D65" w:rsidP="00A23201">
            <w:pPr>
              <w:spacing w:after="120" w:line="360" w:lineRule="auto"/>
              <w:rPr>
                <w:rFonts w:ascii="Verdana" w:hAnsi="Verdana"/>
                <w:sz w:val="20"/>
                <w:szCs w:val="18"/>
              </w:rPr>
            </w:pPr>
            <w:r w:rsidRPr="00920145">
              <w:rPr>
                <w:rFonts w:ascii="Verdana" w:hAnsi="Verdana"/>
                <w:sz w:val="20"/>
                <w:szCs w:val="18"/>
              </w:rPr>
              <w:t>2</w:t>
            </w:r>
          </w:p>
        </w:tc>
      </w:tr>
      <w:tr w:rsidR="007D4D65" w:rsidRPr="00920145" w14:paraId="7A9EBB55" w14:textId="77777777" w:rsidTr="002D5BBE">
        <w:tc>
          <w:tcPr>
            <w:tcW w:w="3402" w:type="dxa"/>
          </w:tcPr>
          <w:p w14:paraId="1B98FE9D" w14:textId="77777777" w:rsidR="007D4D65" w:rsidRPr="00920145" w:rsidRDefault="007D4D65" w:rsidP="00A23201">
            <w:pPr>
              <w:spacing w:after="120" w:line="360" w:lineRule="auto"/>
              <w:rPr>
                <w:rFonts w:ascii="Verdana" w:hAnsi="Verdana"/>
                <w:sz w:val="20"/>
                <w:szCs w:val="18"/>
              </w:rPr>
            </w:pPr>
            <w:r w:rsidRPr="00920145">
              <w:rPr>
                <w:rFonts w:ascii="Verdana" w:hAnsi="Verdana"/>
                <w:sz w:val="20"/>
                <w:szCs w:val="18"/>
              </w:rPr>
              <w:t>Współczynnik rozszerzenia dla równoważenia w fazie aukcji otwarcia</w:t>
            </w:r>
          </w:p>
        </w:tc>
        <w:tc>
          <w:tcPr>
            <w:tcW w:w="4530" w:type="dxa"/>
          </w:tcPr>
          <w:p w14:paraId="576C8E5F" w14:textId="77777777" w:rsidR="007D4D65" w:rsidRPr="00920145" w:rsidRDefault="007D4D65" w:rsidP="00A23201">
            <w:pPr>
              <w:spacing w:after="120" w:line="360" w:lineRule="auto"/>
              <w:rPr>
                <w:rFonts w:ascii="Verdana" w:hAnsi="Verdana"/>
                <w:sz w:val="20"/>
                <w:szCs w:val="18"/>
              </w:rPr>
            </w:pPr>
            <w:r w:rsidRPr="00920145">
              <w:rPr>
                <w:rFonts w:ascii="Verdana" w:hAnsi="Verdana"/>
                <w:sz w:val="20"/>
                <w:szCs w:val="18"/>
              </w:rPr>
              <w:t>3,0</w:t>
            </w:r>
          </w:p>
        </w:tc>
      </w:tr>
      <w:tr w:rsidR="007D4D65" w:rsidRPr="00920145" w14:paraId="0BBF51A8" w14:textId="77777777" w:rsidTr="002D5BBE">
        <w:tc>
          <w:tcPr>
            <w:tcW w:w="3402" w:type="dxa"/>
          </w:tcPr>
          <w:p w14:paraId="3685B081" w14:textId="77777777" w:rsidR="007D4D65" w:rsidRPr="00920145" w:rsidRDefault="007D4D65" w:rsidP="00A23201">
            <w:pPr>
              <w:spacing w:after="120" w:line="360" w:lineRule="auto"/>
              <w:rPr>
                <w:rFonts w:ascii="Verdana" w:hAnsi="Verdana"/>
                <w:sz w:val="20"/>
                <w:szCs w:val="18"/>
              </w:rPr>
            </w:pPr>
            <w:r w:rsidRPr="00920145">
              <w:rPr>
                <w:rFonts w:ascii="Verdana" w:hAnsi="Verdana"/>
                <w:sz w:val="20"/>
                <w:szCs w:val="18"/>
              </w:rPr>
              <w:t>Współczynnik rozszerzenia dla równoważenia w fazach innych niż faza aukcji otwarcia</w:t>
            </w:r>
          </w:p>
        </w:tc>
        <w:tc>
          <w:tcPr>
            <w:tcW w:w="4530" w:type="dxa"/>
          </w:tcPr>
          <w:p w14:paraId="41D10BD2" w14:textId="77777777" w:rsidR="007D4D65" w:rsidRPr="00920145" w:rsidRDefault="007D4D65" w:rsidP="00A23201">
            <w:pPr>
              <w:spacing w:after="120" w:line="360" w:lineRule="auto"/>
              <w:rPr>
                <w:rFonts w:ascii="Verdana" w:hAnsi="Verdana"/>
                <w:sz w:val="20"/>
                <w:szCs w:val="18"/>
              </w:rPr>
            </w:pPr>
            <w:r w:rsidRPr="00920145">
              <w:rPr>
                <w:rFonts w:ascii="Verdana" w:hAnsi="Verdana"/>
                <w:sz w:val="20"/>
                <w:szCs w:val="18"/>
              </w:rPr>
              <w:t>2,0</w:t>
            </w:r>
          </w:p>
        </w:tc>
      </w:tr>
    </w:tbl>
    <w:p w14:paraId="6E9374E0" w14:textId="77777777" w:rsidR="007D4D65" w:rsidRPr="00920145" w:rsidRDefault="007D4D65" w:rsidP="00A23201">
      <w:pPr>
        <w:tabs>
          <w:tab w:val="left" w:pos="142"/>
        </w:tabs>
        <w:spacing w:after="120" w:line="360" w:lineRule="auto"/>
        <w:ind w:left="567"/>
        <w:jc w:val="both"/>
        <w:rPr>
          <w:rFonts w:ascii="Verdana" w:hAnsi="Verdana"/>
          <w:sz w:val="20"/>
          <w:szCs w:val="18"/>
        </w:rPr>
      </w:pPr>
    </w:p>
    <w:p w14:paraId="2C353B67" w14:textId="6B3A33E5" w:rsidR="007D4D65" w:rsidRPr="00920145" w:rsidRDefault="00C15C16" w:rsidP="008362AE">
      <w:pPr>
        <w:pStyle w:val="Nagwek3"/>
      </w:pPr>
      <w:r w:rsidRPr="00920145">
        <w:t>§ 78 otrzymuje brzmienie:</w:t>
      </w:r>
    </w:p>
    <w:p w14:paraId="32E5B674" w14:textId="2F41C229" w:rsidR="00C15C16" w:rsidRPr="00920145" w:rsidRDefault="00C15C16" w:rsidP="00A23201">
      <w:pPr>
        <w:pStyle w:val="Akapitzlist"/>
        <w:tabs>
          <w:tab w:val="left" w:pos="851"/>
        </w:tabs>
        <w:spacing w:after="120" w:line="360" w:lineRule="auto"/>
        <w:ind w:left="567"/>
        <w:contextualSpacing w:val="0"/>
        <w:jc w:val="both"/>
        <w:rPr>
          <w:rFonts w:ascii="Verdana" w:hAnsi="Verdana"/>
          <w:sz w:val="20"/>
          <w:szCs w:val="20"/>
        </w:rPr>
      </w:pPr>
      <w:r w:rsidRPr="00920145">
        <w:rPr>
          <w:rFonts w:ascii="Verdana" w:hAnsi="Verdana"/>
          <w:sz w:val="20"/>
          <w:szCs w:val="20"/>
        </w:rPr>
        <w:t xml:space="preserve">„§ 78 </w:t>
      </w:r>
    </w:p>
    <w:p w14:paraId="29F5F20C" w14:textId="6CBE1EBB" w:rsidR="00633DC7" w:rsidRPr="00920145" w:rsidRDefault="00633DC7" w:rsidP="00C37C52">
      <w:pPr>
        <w:tabs>
          <w:tab w:val="left" w:pos="567"/>
        </w:tabs>
        <w:spacing w:after="120" w:line="360" w:lineRule="auto"/>
        <w:ind w:left="567"/>
        <w:jc w:val="both"/>
        <w:rPr>
          <w:rFonts w:ascii="Verdana" w:hAnsi="Verdana"/>
          <w:sz w:val="20"/>
          <w:szCs w:val="18"/>
        </w:rPr>
      </w:pPr>
      <w:r w:rsidRPr="00920145">
        <w:rPr>
          <w:rFonts w:ascii="Verdana" w:hAnsi="Verdana"/>
          <w:sz w:val="20"/>
          <w:szCs w:val="18"/>
        </w:rPr>
        <w:t xml:space="preserve">Szczegółowe warunki obrotu dla certyfikatów inwestycyjnych w systemie notowań ciągłych: </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4530"/>
      </w:tblGrid>
      <w:tr w:rsidR="00633DC7" w:rsidRPr="00920145" w14:paraId="27D5F049" w14:textId="77777777" w:rsidTr="002D5BBE">
        <w:tc>
          <w:tcPr>
            <w:tcW w:w="3402" w:type="dxa"/>
            <w:tcBorders>
              <w:top w:val="single" w:sz="4" w:space="0" w:color="auto"/>
              <w:left w:val="single" w:sz="4" w:space="0" w:color="auto"/>
              <w:bottom w:val="single" w:sz="4" w:space="0" w:color="auto"/>
              <w:right w:val="single" w:sz="4" w:space="0" w:color="auto"/>
            </w:tcBorders>
          </w:tcPr>
          <w:p w14:paraId="6A30965F" w14:textId="77777777" w:rsidR="00633DC7" w:rsidRPr="00920145" w:rsidRDefault="00633DC7" w:rsidP="00A23201">
            <w:pPr>
              <w:spacing w:after="120" w:line="360" w:lineRule="auto"/>
              <w:rPr>
                <w:rFonts w:ascii="Verdana" w:hAnsi="Verdana"/>
                <w:sz w:val="20"/>
                <w:szCs w:val="18"/>
              </w:rPr>
            </w:pPr>
            <w:r w:rsidRPr="00920145">
              <w:rPr>
                <w:rFonts w:ascii="Verdana" w:hAnsi="Verdana"/>
                <w:sz w:val="20"/>
                <w:szCs w:val="18"/>
              </w:rPr>
              <w:t>Jednostka transakcyjna</w:t>
            </w:r>
          </w:p>
        </w:tc>
        <w:tc>
          <w:tcPr>
            <w:tcW w:w="4530" w:type="dxa"/>
            <w:tcBorders>
              <w:top w:val="single" w:sz="4" w:space="0" w:color="auto"/>
              <w:left w:val="single" w:sz="4" w:space="0" w:color="auto"/>
              <w:bottom w:val="single" w:sz="4" w:space="0" w:color="auto"/>
              <w:right w:val="single" w:sz="4" w:space="0" w:color="auto"/>
            </w:tcBorders>
          </w:tcPr>
          <w:p w14:paraId="6505BAA3" w14:textId="77777777" w:rsidR="00633DC7" w:rsidRPr="00920145" w:rsidRDefault="00633DC7" w:rsidP="00A23201">
            <w:pPr>
              <w:spacing w:after="120" w:line="360" w:lineRule="auto"/>
              <w:rPr>
                <w:rFonts w:ascii="Verdana" w:hAnsi="Verdana"/>
                <w:sz w:val="20"/>
                <w:szCs w:val="18"/>
              </w:rPr>
            </w:pPr>
            <w:r w:rsidRPr="00920145">
              <w:rPr>
                <w:rFonts w:ascii="Verdana" w:hAnsi="Verdana"/>
                <w:sz w:val="20"/>
                <w:szCs w:val="18"/>
              </w:rPr>
              <w:t>jeden instrument, chyba że Zarząd Giełdy określi inną jednostkę transakcyjną</w:t>
            </w:r>
          </w:p>
        </w:tc>
      </w:tr>
      <w:tr w:rsidR="000351EC" w:rsidRPr="00920145" w14:paraId="3113EC0C" w14:textId="77777777" w:rsidTr="002D5BBE">
        <w:tc>
          <w:tcPr>
            <w:tcW w:w="3402" w:type="dxa"/>
            <w:tcBorders>
              <w:top w:val="single" w:sz="4" w:space="0" w:color="auto"/>
              <w:left w:val="single" w:sz="4" w:space="0" w:color="auto"/>
              <w:bottom w:val="single" w:sz="4" w:space="0" w:color="auto"/>
              <w:right w:val="single" w:sz="4" w:space="0" w:color="auto"/>
            </w:tcBorders>
          </w:tcPr>
          <w:p w14:paraId="237D53B4" w14:textId="3D01D9BF" w:rsidR="000351EC" w:rsidRPr="00920145" w:rsidDel="000351EC" w:rsidRDefault="000351EC" w:rsidP="000351EC">
            <w:pPr>
              <w:spacing w:after="120" w:line="360" w:lineRule="auto"/>
              <w:rPr>
                <w:rFonts w:ascii="Verdana" w:hAnsi="Verdana"/>
                <w:sz w:val="20"/>
                <w:szCs w:val="18"/>
              </w:rPr>
            </w:pPr>
            <w:r w:rsidRPr="00920145">
              <w:rPr>
                <w:rFonts w:ascii="Verdana" w:hAnsi="Verdana"/>
                <w:sz w:val="20"/>
                <w:szCs w:val="20"/>
              </w:rPr>
              <w:t>Losowy czas otwarcia</w:t>
            </w:r>
            <w:r w:rsidRPr="00920145">
              <w:rPr>
                <w:rFonts w:ascii="Verdana" w:hAnsi="Verdana"/>
                <w:sz w:val="20"/>
                <w:szCs w:val="20"/>
              </w:rPr>
              <w:br/>
              <w:t>dla fazy aukcji otwarcia</w:t>
            </w:r>
          </w:p>
        </w:tc>
        <w:tc>
          <w:tcPr>
            <w:tcW w:w="4530" w:type="dxa"/>
            <w:tcBorders>
              <w:top w:val="single" w:sz="4" w:space="0" w:color="auto"/>
              <w:left w:val="single" w:sz="4" w:space="0" w:color="auto"/>
              <w:bottom w:val="single" w:sz="4" w:space="0" w:color="auto"/>
              <w:right w:val="single" w:sz="4" w:space="0" w:color="auto"/>
            </w:tcBorders>
          </w:tcPr>
          <w:p w14:paraId="1A00F06B" w14:textId="20D16880" w:rsidR="000351EC" w:rsidRPr="00920145" w:rsidDel="000351EC" w:rsidRDefault="00FF1DF0" w:rsidP="000351EC">
            <w:pPr>
              <w:spacing w:after="120" w:line="360" w:lineRule="auto"/>
              <w:rPr>
                <w:rFonts w:ascii="Verdana" w:hAnsi="Verdana"/>
                <w:sz w:val="20"/>
                <w:szCs w:val="18"/>
              </w:rPr>
            </w:pPr>
            <w:r w:rsidRPr="00920145">
              <w:rPr>
                <w:rFonts w:ascii="Verdana" w:hAnsi="Verdana"/>
                <w:sz w:val="20"/>
                <w:szCs w:val="20"/>
              </w:rPr>
              <w:t>(</w:t>
            </w:r>
            <w:r w:rsidR="000351EC" w:rsidRPr="00920145">
              <w:rPr>
                <w:rFonts w:ascii="Verdana" w:hAnsi="Verdana"/>
                <w:sz w:val="20"/>
                <w:szCs w:val="20"/>
              </w:rPr>
              <w:t>+</w:t>
            </w:r>
            <w:r w:rsidRPr="00920145">
              <w:rPr>
                <w:rFonts w:ascii="Verdana" w:hAnsi="Verdana"/>
                <w:sz w:val="20"/>
                <w:szCs w:val="20"/>
              </w:rPr>
              <w:t>)</w:t>
            </w:r>
            <w:r w:rsidR="000351EC" w:rsidRPr="00920145">
              <w:rPr>
                <w:rFonts w:ascii="Verdana" w:hAnsi="Verdana"/>
                <w:sz w:val="20"/>
                <w:szCs w:val="20"/>
              </w:rPr>
              <w:t xml:space="preserve"> 0-30 sekund</w:t>
            </w:r>
          </w:p>
        </w:tc>
      </w:tr>
      <w:tr w:rsidR="000351EC" w:rsidRPr="00920145" w14:paraId="222D4BED" w14:textId="77777777" w:rsidTr="002D5BBE">
        <w:tc>
          <w:tcPr>
            <w:tcW w:w="3402" w:type="dxa"/>
            <w:tcBorders>
              <w:top w:val="single" w:sz="4" w:space="0" w:color="auto"/>
              <w:left w:val="single" w:sz="4" w:space="0" w:color="auto"/>
              <w:bottom w:val="single" w:sz="4" w:space="0" w:color="auto"/>
              <w:right w:val="single" w:sz="4" w:space="0" w:color="auto"/>
            </w:tcBorders>
          </w:tcPr>
          <w:p w14:paraId="3BAC2A86" w14:textId="497D52FF" w:rsidR="000351EC" w:rsidRPr="00920145" w:rsidDel="000351EC" w:rsidRDefault="000351EC" w:rsidP="000351EC">
            <w:pPr>
              <w:spacing w:after="120" w:line="360" w:lineRule="auto"/>
              <w:rPr>
                <w:rFonts w:ascii="Verdana" w:hAnsi="Verdana"/>
                <w:sz w:val="20"/>
                <w:szCs w:val="18"/>
              </w:rPr>
            </w:pPr>
            <w:r w:rsidRPr="00920145">
              <w:rPr>
                <w:rFonts w:ascii="Verdana" w:hAnsi="Verdana"/>
                <w:sz w:val="20"/>
                <w:szCs w:val="20"/>
              </w:rPr>
              <w:t>Losowy czas otwarcia</w:t>
            </w:r>
            <w:r w:rsidRPr="00920145">
              <w:rPr>
                <w:rFonts w:ascii="Verdana" w:hAnsi="Verdana"/>
                <w:sz w:val="20"/>
                <w:szCs w:val="20"/>
              </w:rPr>
              <w:br/>
              <w:t>dla fazy aukcji zamknięcia</w:t>
            </w:r>
          </w:p>
        </w:tc>
        <w:tc>
          <w:tcPr>
            <w:tcW w:w="4530" w:type="dxa"/>
            <w:tcBorders>
              <w:top w:val="single" w:sz="4" w:space="0" w:color="auto"/>
              <w:left w:val="single" w:sz="4" w:space="0" w:color="auto"/>
              <w:bottom w:val="single" w:sz="4" w:space="0" w:color="auto"/>
              <w:right w:val="single" w:sz="4" w:space="0" w:color="auto"/>
            </w:tcBorders>
          </w:tcPr>
          <w:p w14:paraId="56E82055" w14:textId="01A1DF8B" w:rsidR="000351EC" w:rsidRPr="00920145" w:rsidDel="000351EC" w:rsidRDefault="00FF1DF0" w:rsidP="000351EC">
            <w:pPr>
              <w:spacing w:after="120" w:line="360" w:lineRule="auto"/>
              <w:rPr>
                <w:rFonts w:ascii="Verdana" w:hAnsi="Verdana"/>
                <w:sz w:val="20"/>
                <w:szCs w:val="18"/>
              </w:rPr>
            </w:pPr>
            <w:r w:rsidRPr="00920145">
              <w:rPr>
                <w:rFonts w:ascii="Verdana" w:hAnsi="Verdana"/>
                <w:sz w:val="20"/>
                <w:szCs w:val="20"/>
              </w:rPr>
              <w:t>(</w:t>
            </w:r>
            <w:r w:rsidR="000351EC" w:rsidRPr="00920145">
              <w:rPr>
                <w:rFonts w:ascii="Verdana" w:hAnsi="Verdana"/>
                <w:sz w:val="20"/>
                <w:szCs w:val="20"/>
              </w:rPr>
              <w:t>-</w:t>
            </w:r>
            <w:r w:rsidRPr="00920145">
              <w:rPr>
                <w:rFonts w:ascii="Verdana" w:hAnsi="Verdana"/>
                <w:sz w:val="20"/>
                <w:szCs w:val="20"/>
              </w:rPr>
              <w:t>)</w:t>
            </w:r>
            <w:r w:rsidR="000351EC" w:rsidRPr="00920145">
              <w:rPr>
                <w:rFonts w:ascii="Verdana" w:hAnsi="Verdana"/>
                <w:sz w:val="20"/>
                <w:szCs w:val="20"/>
              </w:rPr>
              <w:t xml:space="preserve"> 0-30 sekund</w:t>
            </w:r>
          </w:p>
        </w:tc>
      </w:tr>
      <w:tr w:rsidR="00633DC7" w:rsidRPr="00920145" w14:paraId="13085B8F" w14:textId="77777777" w:rsidTr="002D5BBE">
        <w:tc>
          <w:tcPr>
            <w:tcW w:w="3402" w:type="dxa"/>
          </w:tcPr>
          <w:p w14:paraId="2FC3F184" w14:textId="77777777" w:rsidR="00633DC7" w:rsidRPr="00920145" w:rsidRDefault="00633DC7" w:rsidP="00A23201">
            <w:pPr>
              <w:spacing w:after="120" w:line="360" w:lineRule="auto"/>
              <w:rPr>
                <w:rFonts w:ascii="Verdana" w:hAnsi="Verdana"/>
                <w:sz w:val="20"/>
                <w:szCs w:val="18"/>
              </w:rPr>
            </w:pPr>
            <w:r w:rsidRPr="00920145">
              <w:rPr>
                <w:rFonts w:ascii="Verdana" w:hAnsi="Verdana"/>
                <w:sz w:val="20"/>
                <w:szCs w:val="18"/>
              </w:rPr>
              <w:t>Wysokość statycznych ograniczeń wahań kursów</w:t>
            </w:r>
          </w:p>
        </w:tc>
        <w:tc>
          <w:tcPr>
            <w:tcW w:w="4530" w:type="dxa"/>
          </w:tcPr>
          <w:p w14:paraId="0B1533F7" w14:textId="77777777" w:rsidR="00633DC7" w:rsidRPr="00920145" w:rsidRDefault="00633DC7" w:rsidP="0098651A">
            <w:pPr>
              <w:numPr>
                <w:ilvl w:val="0"/>
                <w:numId w:val="55"/>
              </w:numPr>
              <w:spacing w:after="120" w:line="360" w:lineRule="auto"/>
              <w:jc w:val="both"/>
              <w:rPr>
                <w:rFonts w:ascii="Verdana" w:hAnsi="Verdana"/>
                <w:sz w:val="20"/>
                <w:szCs w:val="18"/>
              </w:rPr>
            </w:pPr>
            <w:r w:rsidRPr="00920145">
              <w:rPr>
                <w:rFonts w:ascii="Verdana" w:hAnsi="Verdana"/>
                <w:sz w:val="20"/>
                <w:szCs w:val="18"/>
              </w:rPr>
              <w:t xml:space="preserve">0,02 jednostki waluty notowania od kursu odniesienia - przy kursie odniesienia 0,01  - 0,19 jednostki waluty notowania                                     </w:t>
            </w:r>
          </w:p>
          <w:p w14:paraId="47774A7F" w14:textId="77777777" w:rsidR="00633DC7" w:rsidRPr="00920145" w:rsidRDefault="00633DC7" w:rsidP="0098651A">
            <w:pPr>
              <w:numPr>
                <w:ilvl w:val="0"/>
                <w:numId w:val="55"/>
              </w:numPr>
              <w:spacing w:after="120" w:line="360" w:lineRule="auto"/>
              <w:jc w:val="both"/>
              <w:rPr>
                <w:rFonts w:ascii="Verdana" w:hAnsi="Verdana"/>
                <w:sz w:val="20"/>
                <w:szCs w:val="18"/>
              </w:rPr>
            </w:pPr>
            <w:r w:rsidRPr="00920145">
              <w:rPr>
                <w:rFonts w:ascii="Verdana" w:hAnsi="Verdana"/>
                <w:sz w:val="20"/>
                <w:szCs w:val="18"/>
              </w:rPr>
              <w:t xml:space="preserve">0,03 jednostki waluty notowania od kursu odniesienia - przy kursie </w:t>
            </w:r>
            <w:r w:rsidRPr="00920145">
              <w:rPr>
                <w:rFonts w:ascii="Verdana" w:hAnsi="Verdana"/>
                <w:sz w:val="20"/>
                <w:szCs w:val="18"/>
              </w:rPr>
              <w:lastRenderedPageBreak/>
              <w:t xml:space="preserve">odniesienia 0,20  - 0,29 jednostki waluty notowania                                       </w:t>
            </w:r>
          </w:p>
          <w:p w14:paraId="4671B3B7" w14:textId="77777777" w:rsidR="00633DC7" w:rsidRPr="00920145" w:rsidRDefault="00633DC7" w:rsidP="00F8716B">
            <w:pPr>
              <w:numPr>
                <w:ilvl w:val="0"/>
                <w:numId w:val="55"/>
              </w:numPr>
              <w:spacing w:after="120" w:line="360" w:lineRule="auto"/>
              <w:jc w:val="both"/>
              <w:rPr>
                <w:rFonts w:ascii="Verdana" w:hAnsi="Verdana"/>
                <w:sz w:val="20"/>
                <w:szCs w:val="18"/>
              </w:rPr>
            </w:pPr>
            <w:r w:rsidRPr="00920145">
              <w:rPr>
                <w:rFonts w:ascii="Verdana" w:hAnsi="Verdana"/>
                <w:sz w:val="20"/>
                <w:szCs w:val="18"/>
              </w:rPr>
              <w:t xml:space="preserve">10,00% od kursu odniesienia - przy kursie odniesienia 0,30 jednostki waluty notowania   lub wyższym                                              </w:t>
            </w:r>
          </w:p>
        </w:tc>
      </w:tr>
      <w:tr w:rsidR="00633DC7" w:rsidRPr="00920145" w14:paraId="6FD744C0" w14:textId="77777777" w:rsidTr="002D5BBE">
        <w:tc>
          <w:tcPr>
            <w:tcW w:w="3402" w:type="dxa"/>
          </w:tcPr>
          <w:p w14:paraId="42AD3BE4" w14:textId="77777777" w:rsidR="00633DC7" w:rsidRPr="00920145" w:rsidRDefault="00633DC7" w:rsidP="00A23201">
            <w:pPr>
              <w:spacing w:after="120" w:line="360" w:lineRule="auto"/>
              <w:rPr>
                <w:rFonts w:ascii="Verdana" w:hAnsi="Verdana"/>
                <w:sz w:val="20"/>
                <w:szCs w:val="18"/>
              </w:rPr>
            </w:pPr>
            <w:r w:rsidRPr="00920145">
              <w:rPr>
                <w:rFonts w:ascii="Verdana" w:hAnsi="Verdana"/>
                <w:sz w:val="20"/>
                <w:szCs w:val="18"/>
              </w:rPr>
              <w:lastRenderedPageBreak/>
              <w:t>Wysokość dynamicznych ograniczeń wahań kursów</w:t>
            </w:r>
          </w:p>
        </w:tc>
        <w:tc>
          <w:tcPr>
            <w:tcW w:w="4530" w:type="dxa"/>
          </w:tcPr>
          <w:p w14:paraId="0ADF637C" w14:textId="77777777" w:rsidR="00633DC7" w:rsidRPr="00920145" w:rsidRDefault="00633DC7" w:rsidP="0098651A">
            <w:pPr>
              <w:numPr>
                <w:ilvl w:val="0"/>
                <w:numId w:val="54"/>
              </w:numPr>
              <w:spacing w:after="120" w:line="360" w:lineRule="auto"/>
              <w:jc w:val="both"/>
              <w:rPr>
                <w:rFonts w:ascii="Verdana" w:hAnsi="Verdana"/>
                <w:sz w:val="20"/>
                <w:szCs w:val="18"/>
              </w:rPr>
            </w:pPr>
            <w:r w:rsidRPr="00920145">
              <w:rPr>
                <w:rFonts w:ascii="Verdana" w:hAnsi="Verdana"/>
                <w:sz w:val="20"/>
                <w:szCs w:val="18"/>
              </w:rPr>
              <w:t xml:space="preserve">0,01 jednostki waluty notowania od kursu odniesienia - przy kursie odniesienia 0,01  - 0,14 jednostki waluty notowania    </w:t>
            </w:r>
          </w:p>
          <w:p w14:paraId="36F854BA" w14:textId="77777777" w:rsidR="00633DC7" w:rsidRPr="00920145" w:rsidRDefault="00633DC7" w:rsidP="0098651A">
            <w:pPr>
              <w:numPr>
                <w:ilvl w:val="0"/>
                <w:numId w:val="54"/>
              </w:numPr>
              <w:spacing w:after="120" w:line="360" w:lineRule="auto"/>
              <w:jc w:val="both"/>
              <w:rPr>
                <w:rFonts w:ascii="Verdana" w:hAnsi="Verdana"/>
                <w:sz w:val="20"/>
                <w:szCs w:val="18"/>
              </w:rPr>
            </w:pPr>
            <w:r w:rsidRPr="00920145">
              <w:rPr>
                <w:rFonts w:ascii="Verdana" w:hAnsi="Verdana"/>
                <w:sz w:val="20"/>
                <w:szCs w:val="18"/>
              </w:rPr>
              <w:t xml:space="preserve">6,50% od kursu odniesienia - przy kursie odniesienia 0,15 jednostki waluty notowania   lub wyższym                                            </w:t>
            </w:r>
          </w:p>
        </w:tc>
      </w:tr>
      <w:tr w:rsidR="00633DC7" w:rsidRPr="00920145" w14:paraId="7AC752FC" w14:textId="77777777" w:rsidTr="002D5BBE">
        <w:tc>
          <w:tcPr>
            <w:tcW w:w="3402" w:type="dxa"/>
          </w:tcPr>
          <w:p w14:paraId="5A9C7B69" w14:textId="77777777" w:rsidR="00633DC7" w:rsidRPr="00920145" w:rsidRDefault="00633DC7" w:rsidP="00A23201">
            <w:pPr>
              <w:spacing w:after="120" w:line="360" w:lineRule="auto"/>
              <w:rPr>
                <w:rFonts w:ascii="Verdana" w:hAnsi="Verdana"/>
                <w:sz w:val="20"/>
                <w:szCs w:val="18"/>
              </w:rPr>
            </w:pPr>
            <w:r w:rsidRPr="00920145">
              <w:rPr>
                <w:rFonts w:ascii="Verdana" w:hAnsi="Verdana"/>
                <w:sz w:val="20"/>
                <w:szCs w:val="18"/>
              </w:rPr>
              <w:t xml:space="preserve">Maksymalne wartości dla limitów cen w zleceniu maklerskim    </w:t>
            </w:r>
          </w:p>
        </w:tc>
        <w:tc>
          <w:tcPr>
            <w:tcW w:w="4530" w:type="dxa"/>
          </w:tcPr>
          <w:p w14:paraId="24FC3699" w14:textId="3A7D0C28" w:rsidR="00633DC7" w:rsidRPr="00920145" w:rsidRDefault="00633DC7" w:rsidP="00A23201">
            <w:pPr>
              <w:spacing w:after="120" w:line="360" w:lineRule="auto"/>
              <w:rPr>
                <w:rFonts w:ascii="Verdana" w:hAnsi="Verdana"/>
                <w:sz w:val="20"/>
                <w:szCs w:val="18"/>
              </w:rPr>
            </w:pPr>
            <w:r w:rsidRPr="00920145">
              <w:rPr>
                <w:rFonts w:ascii="Verdana" w:hAnsi="Verdana"/>
                <w:sz w:val="20"/>
                <w:szCs w:val="18"/>
              </w:rPr>
              <w:t>50% względem kursu odniesienia dla statycznych ograniczeń wahań kursu</w:t>
            </w:r>
          </w:p>
        </w:tc>
      </w:tr>
      <w:tr w:rsidR="00633DC7" w:rsidRPr="00920145" w14:paraId="7FFD84D3" w14:textId="77777777" w:rsidTr="002D5BBE">
        <w:tc>
          <w:tcPr>
            <w:tcW w:w="3402" w:type="dxa"/>
          </w:tcPr>
          <w:p w14:paraId="4BC791B8" w14:textId="77777777" w:rsidR="00633DC7" w:rsidRPr="00920145" w:rsidRDefault="00633DC7" w:rsidP="00A23201">
            <w:pPr>
              <w:spacing w:after="120" w:line="360" w:lineRule="auto"/>
              <w:rPr>
                <w:rFonts w:ascii="Verdana" w:hAnsi="Verdana"/>
                <w:sz w:val="20"/>
                <w:szCs w:val="18"/>
              </w:rPr>
            </w:pPr>
            <w:r w:rsidRPr="00920145">
              <w:rPr>
                <w:rFonts w:ascii="Verdana" w:hAnsi="Verdana"/>
                <w:sz w:val="20"/>
                <w:szCs w:val="18"/>
              </w:rPr>
              <w:t xml:space="preserve">Maksymalna wartość zlecenia maklerskiego      </w:t>
            </w:r>
          </w:p>
        </w:tc>
        <w:tc>
          <w:tcPr>
            <w:tcW w:w="4530" w:type="dxa"/>
          </w:tcPr>
          <w:p w14:paraId="422E2991" w14:textId="6A482B27" w:rsidR="00633DC7" w:rsidRPr="00920145" w:rsidRDefault="00633DC7" w:rsidP="00A23201">
            <w:pPr>
              <w:spacing w:after="120" w:line="360" w:lineRule="auto"/>
              <w:rPr>
                <w:rFonts w:ascii="Verdana" w:hAnsi="Verdana"/>
                <w:sz w:val="20"/>
                <w:szCs w:val="18"/>
              </w:rPr>
            </w:pPr>
            <w:r w:rsidRPr="00920145">
              <w:rPr>
                <w:rFonts w:ascii="Verdana" w:hAnsi="Verdana"/>
                <w:sz w:val="20"/>
                <w:szCs w:val="18"/>
              </w:rPr>
              <w:t xml:space="preserve">10.000.000 jednostek waluty notowania  </w:t>
            </w:r>
          </w:p>
        </w:tc>
      </w:tr>
      <w:tr w:rsidR="00633DC7" w:rsidRPr="00920145" w14:paraId="26E1E9AB" w14:textId="77777777" w:rsidTr="002D5BBE">
        <w:tc>
          <w:tcPr>
            <w:tcW w:w="3402" w:type="dxa"/>
            <w:tcBorders>
              <w:top w:val="single" w:sz="4" w:space="0" w:color="auto"/>
              <w:left w:val="single" w:sz="4" w:space="0" w:color="auto"/>
              <w:bottom w:val="single" w:sz="4" w:space="0" w:color="auto"/>
              <w:right w:val="single" w:sz="4" w:space="0" w:color="auto"/>
            </w:tcBorders>
          </w:tcPr>
          <w:p w14:paraId="3BDD9B19" w14:textId="77777777" w:rsidR="00633DC7" w:rsidRPr="00920145" w:rsidRDefault="00633DC7" w:rsidP="00A23201">
            <w:pPr>
              <w:spacing w:after="120" w:line="360" w:lineRule="auto"/>
              <w:rPr>
                <w:rFonts w:ascii="Verdana" w:hAnsi="Verdana"/>
                <w:sz w:val="20"/>
                <w:szCs w:val="18"/>
              </w:rPr>
            </w:pPr>
            <w:r w:rsidRPr="00920145">
              <w:rPr>
                <w:rFonts w:ascii="Verdana" w:hAnsi="Verdana"/>
                <w:sz w:val="20"/>
                <w:szCs w:val="18"/>
              </w:rPr>
              <w:t xml:space="preserve">Maksymalny wolumen zlecenia maklerskiego     </w:t>
            </w:r>
          </w:p>
        </w:tc>
        <w:tc>
          <w:tcPr>
            <w:tcW w:w="4530" w:type="dxa"/>
            <w:tcBorders>
              <w:top w:val="single" w:sz="4" w:space="0" w:color="auto"/>
              <w:left w:val="single" w:sz="4" w:space="0" w:color="auto"/>
              <w:bottom w:val="single" w:sz="4" w:space="0" w:color="auto"/>
              <w:right w:val="single" w:sz="4" w:space="0" w:color="auto"/>
            </w:tcBorders>
          </w:tcPr>
          <w:p w14:paraId="3F93DF14" w14:textId="491E03F8" w:rsidR="00633DC7" w:rsidRPr="00920145" w:rsidRDefault="00633DC7" w:rsidP="00A23201">
            <w:pPr>
              <w:spacing w:after="120" w:line="360" w:lineRule="auto"/>
              <w:jc w:val="both"/>
              <w:rPr>
                <w:rFonts w:ascii="Verdana" w:hAnsi="Verdana"/>
                <w:sz w:val="20"/>
                <w:szCs w:val="18"/>
              </w:rPr>
            </w:pPr>
            <w:r w:rsidRPr="00920145">
              <w:rPr>
                <w:rFonts w:ascii="Verdana" w:hAnsi="Verdana"/>
                <w:sz w:val="20"/>
                <w:szCs w:val="18"/>
              </w:rPr>
              <w:t xml:space="preserve">2% instrumentów finansowych wprowadzonych do obrotu giełdowego </w:t>
            </w:r>
            <w:r w:rsidR="004F298F" w:rsidRPr="00920145">
              <w:rPr>
                <w:rFonts w:ascii="Verdana" w:hAnsi="Verdana"/>
                <w:sz w:val="20"/>
                <w:szCs w:val="18"/>
              </w:rPr>
              <w:br/>
            </w:r>
            <w:r w:rsidRPr="00920145">
              <w:rPr>
                <w:rFonts w:ascii="Verdana" w:hAnsi="Verdana"/>
                <w:sz w:val="20"/>
                <w:szCs w:val="18"/>
              </w:rPr>
              <w:t xml:space="preserve">i oznaczonych tym samym kodem ISIN, </w:t>
            </w:r>
            <w:r w:rsidR="004F298F" w:rsidRPr="00920145">
              <w:rPr>
                <w:rFonts w:ascii="Verdana" w:hAnsi="Verdana"/>
                <w:sz w:val="20"/>
                <w:szCs w:val="18"/>
              </w:rPr>
              <w:br/>
            </w:r>
            <w:r w:rsidRPr="00920145">
              <w:rPr>
                <w:rFonts w:ascii="Verdana" w:hAnsi="Verdana"/>
                <w:sz w:val="20"/>
                <w:szCs w:val="18"/>
              </w:rPr>
              <w:t>a w przypadku gdy 2% tych instrumentów stanowi mniej niż 1.000.000 instrumentów – nie więcej  niż 1.000.000 instrumentów</w:t>
            </w:r>
          </w:p>
        </w:tc>
      </w:tr>
      <w:tr w:rsidR="00633DC7" w:rsidRPr="00920145" w14:paraId="0FC154D5" w14:textId="77777777" w:rsidTr="002D5BBE">
        <w:tc>
          <w:tcPr>
            <w:tcW w:w="3402" w:type="dxa"/>
            <w:tcBorders>
              <w:top w:val="single" w:sz="4" w:space="0" w:color="auto"/>
              <w:left w:val="single" w:sz="4" w:space="0" w:color="auto"/>
              <w:bottom w:val="single" w:sz="4" w:space="0" w:color="auto"/>
              <w:right w:val="single" w:sz="4" w:space="0" w:color="auto"/>
            </w:tcBorders>
          </w:tcPr>
          <w:p w14:paraId="43CE1213" w14:textId="77777777" w:rsidR="00633DC7" w:rsidRPr="00920145" w:rsidRDefault="00633DC7" w:rsidP="00A23201">
            <w:pPr>
              <w:spacing w:after="120" w:line="360" w:lineRule="auto"/>
              <w:rPr>
                <w:rFonts w:ascii="Verdana" w:hAnsi="Verdana"/>
                <w:sz w:val="20"/>
                <w:szCs w:val="18"/>
              </w:rPr>
            </w:pPr>
            <w:r w:rsidRPr="00920145">
              <w:rPr>
                <w:rFonts w:ascii="Verdana" w:hAnsi="Verdana"/>
                <w:sz w:val="20"/>
                <w:szCs w:val="18"/>
              </w:rPr>
              <w:t>Równoważenie podstawowe dla statycznych ograniczeń wahań kursów</w:t>
            </w:r>
          </w:p>
        </w:tc>
        <w:tc>
          <w:tcPr>
            <w:tcW w:w="4530" w:type="dxa"/>
            <w:tcBorders>
              <w:top w:val="single" w:sz="4" w:space="0" w:color="auto"/>
              <w:left w:val="single" w:sz="4" w:space="0" w:color="auto"/>
              <w:bottom w:val="single" w:sz="4" w:space="0" w:color="auto"/>
              <w:right w:val="single" w:sz="4" w:space="0" w:color="auto"/>
            </w:tcBorders>
          </w:tcPr>
          <w:p w14:paraId="53982B48" w14:textId="77777777" w:rsidR="00633DC7" w:rsidRPr="00920145" w:rsidRDefault="00633DC7" w:rsidP="00A23201">
            <w:pPr>
              <w:spacing w:after="120" w:line="360" w:lineRule="auto"/>
              <w:rPr>
                <w:rFonts w:ascii="Verdana" w:hAnsi="Verdana"/>
                <w:sz w:val="20"/>
                <w:szCs w:val="18"/>
              </w:rPr>
            </w:pPr>
            <w:r w:rsidRPr="00920145">
              <w:rPr>
                <w:rFonts w:ascii="Verdana" w:hAnsi="Verdana"/>
                <w:sz w:val="20"/>
                <w:szCs w:val="18"/>
              </w:rPr>
              <w:t>Tak</w:t>
            </w:r>
          </w:p>
        </w:tc>
      </w:tr>
      <w:tr w:rsidR="00633DC7" w:rsidRPr="00920145" w14:paraId="5E6A52D6" w14:textId="77777777" w:rsidTr="002D5BBE">
        <w:tc>
          <w:tcPr>
            <w:tcW w:w="3402" w:type="dxa"/>
            <w:tcBorders>
              <w:top w:val="single" w:sz="4" w:space="0" w:color="auto"/>
              <w:left w:val="single" w:sz="4" w:space="0" w:color="auto"/>
              <w:bottom w:val="single" w:sz="4" w:space="0" w:color="auto"/>
              <w:right w:val="single" w:sz="4" w:space="0" w:color="auto"/>
            </w:tcBorders>
          </w:tcPr>
          <w:p w14:paraId="06E02388" w14:textId="77777777" w:rsidR="00633DC7" w:rsidRPr="00920145" w:rsidRDefault="00633DC7" w:rsidP="00A23201">
            <w:pPr>
              <w:spacing w:after="120" w:line="360" w:lineRule="auto"/>
              <w:rPr>
                <w:rFonts w:ascii="Verdana" w:hAnsi="Verdana"/>
                <w:sz w:val="20"/>
                <w:szCs w:val="18"/>
              </w:rPr>
            </w:pPr>
            <w:r w:rsidRPr="00920145">
              <w:rPr>
                <w:rFonts w:ascii="Verdana" w:hAnsi="Verdana"/>
                <w:sz w:val="20"/>
                <w:szCs w:val="18"/>
              </w:rPr>
              <w:t>Czas trwania równoważenia podstawowego dla statycznych ograniczeń wahań kursów</w:t>
            </w:r>
          </w:p>
        </w:tc>
        <w:tc>
          <w:tcPr>
            <w:tcW w:w="4530" w:type="dxa"/>
            <w:tcBorders>
              <w:top w:val="single" w:sz="4" w:space="0" w:color="auto"/>
              <w:left w:val="single" w:sz="4" w:space="0" w:color="auto"/>
              <w:bottom w:val="single" w:sz="4" w:space="0" w:color="auto"/>
              <w:right w:val="single" w:sz="4" w:space="0" w:color="auto"/>
            </w:tcBorders>
          </w:tcPr>
          <w:p w14:paraId="5FBFDC11" w14:textId="77777777" w:rsidR="00633DC7" w:rsidRPr="00920145" w:rsidRDefault="00633DC7" w:rsidP="00A23201">
            <w:pPr>
              <w:spacing w:after="120" w:line="360" w:lineRule="auto"/>
              <w:rPr>
                <w:rFonts w:ascii="Verdana" w:hAnsi="Verdana"/>
                <w:sz w:val="20"/>
                <w:szCs w:val="18"/>
              </w:rPr>
            </w:pPr>
            <w:r w:rsidRPr="00920145">
              <w:rPr>
                <w:rFonts w:ascii="Verdana" w:hAnsi="Verdana"/>
                <w:sz w:val="20"/>
                <w:szCs w:val="18"/>
              </w:rPr>
              <w:t>300 sekund</w:t>
            </w:r>
          </w:p>
        </w:tc>
      </w:tr>
      <w:tr w:rsidR="00633DC7" w:rsidRPr="00920145" w14:paraId="2BE767E9" w14:textId="77777777" w:rsidTr="002D5BBE">
        <w:tc>
          <w:tcPr>
            <w:tcW w:w="3402" w:type="dxa"/>
            <w:tcBorders>
              <w:top w:val="single" w:sz="4" w:space="0" w:color="auto"/>
              <w:left w:val="single" w:sz="4" w:space="0" w:color="auto"/>
              <w:bottom w:val="single" w:sz="4" w:space="0" w:color="auto"/>
              <w:right w:val="single" w:sz="4" w:space="0" w:color="auto"/>
            </w:tcBorders>
          </w:tcPr>
          <w:p w14:paraId="2FF8D3B4" w14:textId="77777777" w:rsidR="00633DC7" w:rsidRPr="00920145" w:rsidRDefault="00633DC7" w:rsidP="00A23201">
            <w:pPr>
              <w:spacing w:after="120" w:line="360" w:lineRule="auto"/>
              <w:rPr>
                <w:rFonts w:ascii="Verdana" w:hAnsi="Verdana"/>
                <w:sz w:val="20"/>
                <w:szCs w:val="18"/>
              </w:rPr>
            </w:pPr>
            <w:r w:rsidRPr="00920145">
              <w:rPr>
                <w:rFonts w:ascii="Verdana" w:hAnsi="Verdana"/>
                <w:sz w:val="20"/>
                <w:szCs w:val="18"/>
              </w:rPr>
              <w:t>Współczynnik przesunięcia kursu odniesienia dla równoważenia w fazie aukcji otwarcia</w:t>
            </w:r>
          </w:p>
        </w:tc>
        <w:tc>
          <w:tcPr>
            <w:tcW w:w="4530" w:type="dxa"/>
            <w:tcBorders>
              <w:top w:val="single" w:sz="4" w:space="0" w:color="auto"/>
              <w:left w:val="single" w:sz="4" w:space="0" w:color="auto"/>
              <w:bottom w:val="single" w:sz="4" w:space="0" w:color="auto"/>
              <w:right w:val="single" w:sz="4" w:space="0" w:color="auto"/>
            </w:tcBorders>
          </w:tcPr>
          <w:p w14:paraId="77DE72CF" w14:textId="77777777" w:rsidR="00633DC7" w:rsidRPr="00920145" w:rsidRDefault="00633DC7" w:rsidP="00A23201">
            <w:pPr>
              <w:spacing w:after="120" w:line="360" w:lineRule="auto"/>
              <w:rPr>
                <w:rFonts w:ascii="Verdana" w:hAnsi="Verdana"/>
                <w:sz w:val="20"/>
                <w:szCs w:val="18"/>
              </w:rPr>
            </w:pPr>
            <w:r w:rsidRPr="00920145">
              <w:rPr>
                <w:rFonts w:ascii="Verdana" w:hAnsi="Verdana"/>
                <w:sz w:val="20"/>
                <w:szCs w:val="18"/>
              </w:rPr>
              <w:t>1</w:t>
            </w:r>
          </w:p>
        </w:tc>
      </w:tr>
      <w:tr w:rsidR="00633DC7" w:rsidRPr="00920145" w14:paraId="4B16F63A" w14:textId="77777777" w:rsidTr="002D5BBE">
        <w:tc>
          <w:tcPr>
            <w:tcW w:w="3402" w:type="dxa"/>
            <w:tcBorders>
              <w:top w:val="single" w:sz="4" w:space="0" w:color="auto"/>
              <w:left w:val="single" w:sz="4" w:space="0" w:color="auto"/>
              <w:bottom w:val="single" w:sz="4" w:space="0" w:color="auto"/>
              <w:right w:val="single" w:sz="4" w:space="0" w:color="auto"/>
            </w:tcBorders>
          </w:tcPr>
          <w:p w14:paraId="678A2118" w14:textId="77777777" w:rsidR="00633DC7" w:rsidRPr="00920145" w:rsidRDefault="00633DC7" w:rsidP="00A23201">
            <w:pPr>
              <w:spacing w:after="120" w:line="360" w:lineRule="auto"/>
              <w:rPr>
                <w:rFonts w:ascii="Verdana" w:hAnsi="Verdana"/>
                <w:sz w:val="20"/>
                <w:szCs w:val="18"/>
              </w:rPr>
            </w:pPr>
            <w:r w:rsidRPr="00920145">
              <w:rPr>
                <w:rFonts w:ascii="Verdana" w:hAnsi="Verdana"/>
                <w:sz w:val="20"/>
                <w:szCs w:val="18"/>
              </w:rPr>
              <w:lastRenderedPageBreak/>
              <w:t>Współczynnik przesunięcia kursu odniesienia dla równoważenia w fazach innych niż faza aukcji otwarcia</w:t>
            </w:r>
          </w:p>
        </w:tc>
        <w:tc>
          <w:tcPr>
            <w:tcW w:w="4530" w:type="dxa"/>
            <w:tcBorders>
              <w:top w:val="single" w:sz="4" w:space="0" w:color="auto"/>
              <w:left w:val="single" w:sz="4" w:space="0" w:color="auto"/>
              <w:bottom w:val="single" w:sz="4" w:space="0" w:color="auto"/>
              <w:right w:val="single" w:sz="4" w:space="0" w:color="auto"/>
            </w:tcBorders>
          </w:tcPr>
          <w:p w14:paraId="3924928D" w14:textId="77777777" w:rsidR="00633DC7" w:rsidRPr="00920145" w:rsidRDefault="00633DC7" w:rsidP="00A23201">
            <w:pPr>
              <w:spacing w:after="120" w:line="360" w:lineRule="auto"/>
              <w:rPr>
                <w:rFonts w:ascii="Verdana" w:hAnsi="Verdana"/>
                <w:sz w:val="20"/>
                <w:szCs w:val="18"/>
              </w:rPr>
            </w:pPr>
            <w:r w:rsidRPr="00920145">
              <w:rPr>
                <w:rFonts w:ascii="Verdana" w:hAnsi="Verdana"/>
                <w:sz w:val="20"/>
                <w:szCs w:val="18"/>
              </w:rPr>
              <w:t>0,5</w:t>
            </w:r>
          </w:p>
        </w:tc>
      </w:tr>
      <w:tr w:rsidR="00633DC7" w:rsidRPr="00920145" w14:paraId="28BECCC4" w14:textId="77777777" w:rsidTr="002D5BBE">
        <w:tc>
          <w:tcPr>
            <w:tcW w:w="3402" w:type="dxa"/>
            <w:tcBorders>
              <w:top w:val="single" w:sz="4" w:space="0" w:color="auto"/>
              <w:left w:val="single" w:sz="4" w:space="0" w:color="auto"/>
              <w:bottom w:val="single" w:sz="4" w:space="0" w:color="auto"/>
              <w:right w:val="single" w:sz="4" w:space="0" w:color="auto"/>
            </w:tcBorders>
          </w:tcPr>
          <w:p w14:paraId="4AF0E217" w14:textId="77777777" w:rsidR="00633DC7" w:rsidRPr="00920145" w:rsidRDefault="00633DC7" w:rsidP="00A23201">
            <w:pPr>
              <w:spacing w:after="120" w:line="360" w:lineRule="auto"/>
              <w:rPr>
                <w:rFonts w:ascii="Verdana" w:hAnsi="Verdana"/>
                <w:sz w:val="20"/>
                <w:szCs w:val="18"/>
              </w:rPr>
            </w:pPr>
            <w:r w:rsidRPr="00920145">
              <w:rPr>
                <w:rFonts w:ascii="Verdana" w:hAnsi="Verdana"/>
                <w:sz w:val="20"/>
                <w:szCs w:val="18"/>
              </w:rPr>
              <w:t>Współczynnik maksymalnej liczby zmian netto statycznych ograniczeń wahań kursów</w:t>
            </w:r>
          </w:p>
        </w:tc>
        <w:tc>
          <w:tcPr>
            <w:tcW w:w="4530" w:type="dxa"/>
            <w:tcBorders>
              <w:top w:val="single" w:sz="4" w:space="0" w:color="auto"/>
              <w:left w:val="single" w:sz="4" w:space="0" w:color="auto"/>
              <w:bottom w:val="single" w:sz="4" w:space="0" w:color="auto"/>
              <w:right w:val="single" w:sz="4" w:space="0" w:color="auto"/>
            </w:tcBorders>
          </w:tcPr>
          <w:p w14:paraId="161E7017" w14:textId="77777777" w:rsidR="00633DC7" w:rsidRPr="00920145" w:rsidRDefault="00633DC7" w:rsidP="00A23201">
            <w:pPr>
              <w:spacing w:after="120" w:line="360" w:lineRule="auto"/>
              <w:rPr>
                <w:rFonts w:ascii="Verdana" w:hAnsi="Verdana"/>
                <w:sz w:val="20"/>
                <w:szCs w:val="18"/>
              </w:rPr>
            </w:pPr>
            <w:r w:rsidRPr="00920145">
              <w:rPr>
                <w:rFonts w:ascii="Verdana" w:hAnsi="Verdana"/>
                <w:sz w:val="20"/>
                <w:szCs w:val="18"/>
              </w:rPr>
              <w:t>2</w:t>
            </w:r>
          </w:p>
        </w:tc>
      </w:tr>
      <w:tr w:rsidR="00633DC7" w:rsidRPr="00920145" w14:paraId="6472E839" w14:textId="77777777" w:rsidTr="002D5BBE">
        <w:tc>
          <w:tcPr>
            <w:tcW w:w="3402" w:type="dxa"/>
            <w:tcBorders>
              <w:top w:val="single" w:sz="4" w:space="0" w:color="auto"/>
              <w:left w:val="single" w:sz="4" w:space="0" w:color="auto"/>
              <w:bottom w:val="single" w:sz="4" w:space="0" w:color="auto"/>
              <w:right w:val="single" w:sz="4" w:space="0" w:color="auto"/>
            </w:tcBorders>
          </w:tcPr>
          <w:p w14:paraId="3AC24DB3" w14:textId="77777777" w:rsidR="00633DC7" w:rsidRPr="00920145" w:rsidRDefault="00633DC7" w:rsidP="00A23201">
            <w:pPr>
              <w:spacing w:after="120" w:line="360" w:lineRule="auto"/>
              <w:rPr>
                <w:rFonts w:ascii="Verdana" w:hAnsi="Verdana"/>
                <w:sz w:val="20"/>
                <w:szCs w:val="18"/>
              </w:rPr>
            </w:pPr>
            <w:r w:rsidRPr="00920145">
              <w:rPr>
                <w:rFonts w:ascii="Verdana" w:hAnsi="Verdana"/>
                <w:sz w:val="20"/>
                <w:szCs w:val="18"/>
              </w:rPr>
              <w:t>Czas trwania równoważenia podstawowego dla dynamicznych ograniczeń wahań kursów</w:t>
            </w:r>
          </w:p>
        </w:tc>
        <w:tc>
          <w:tcPr>
            <w:tcW w:w="4530" w:type="dxa"/>
            <w:tcBorders>
              <w:top w:val="single" w:sz="4" w:space="0" w:color="auto"/>
              <w:left w:val="single" w:sz="4" w:space="0" w:color="auto"/>
              <w:bottom w:val="single" w:sz="4" w:space="0" w:color="auto"/>
              <w:right w:val="single" w:sz="4" w:space="0" w:color="auto"/>
            </w:tcBorders>
          </w:tcPr>
          <w:p w14:paraId="4B2BA557" w14:textId="77777777" w:rsidR="00633DC7" w:rsidRPr="00920145" w:rsidRDefault="00633DC7" w:rsidP="00A23201">
            <w:pPr>
              <w:spacing w:after="120" w:line="360" w:lineRule="auto"/>
              <w:rPr>
                <w:rFonts w:ascii="Verdana" w:hAnsi="Verdana"/>
                <w:sz w:val="20"/>
                <w:szCs w:val="18"/>
              </w:rPr>
            </w:pPr>
            <w:r w:rsidRPr="00920145">
              <w:rPr>
                <w:rFonts w:ascii="Verdana" w:hAnsi="Verdana"/>
                <w:sz w:val="20"/>
                <w:szCs w:val="18"/>
              </w:rPr>
              <w:t>60 sekund</w:t>
            </w:r>
          </w:p>
        </w:tc>
      </w:tr>
      <w:tr w:rsidR="00633DC7" w:rsidRPr="00920145" w14:paraId="5B0D275B" w14:textId="77777777" w:rsidTr="002D5BBE">
        <w:tc>
          <w:tcPr>
            <w:tcW w:w="3402" w:type="dxa"/>
            <w:tcBorders>
              <w:top w:val="single" w:sz="4" w:space="0" w:color="auto"/>
              <w:left w:val="single" w:sz="4" w:space="0" w:color="auto"/>
              <w:bottom w:val="single" w:sz="4" w:space="0" w:color="auto"/>
              <w:right w:val="single" w:sz="4" w:space="0" w:color="auto"/>
            </w:tcBorders>
          </w:tcPr>
          <w:p w14:paraId="2743C8F2" w14:textId="77777777" w:rsidR="00633DC7" w:rsidRPr="00920145" w:rsidRDefault="00633DC7" w:rsidP="00A23201">
            <w:pPr>
              <w:spacing w:after="120" w:line="360" w:lineRule="auto"/>
              <w:rPr>
                <w:rFonts w:ascii="Verdana" w:hAnsi="Verdana"/>
                <w:sz w:val="20"/>
                <w:szCs w:val="18"/>
              </w:rPr>
            </w:pPr>
            <w:r w:rsidRPr="00920145">
              <w:rPr>
                <w:rFonts w:ascii="Verdana" w:hAnsi="Verdana"/>
                <w:sz w:val="20"/>
                <w:szCs w:val="18"/>
              </w:rPr>
              <w:t>Współczynnik rozszerzenia dla równoważenia w fazie aukcji otwarcia</w:t>
            </w:r>
          </w:p>
        </w:tc>
        <w:tc>
          <w:tcPr>
            <w:tcW w:w="4530" w:type="dxa"/>
            <w:tcBorders>
              <w:top w:val="single" w:sz="4" w:space="0" w:color="auto"/>
              <w:left w:val="single" w:sz="4" w:space="0" w:color="auto"/>
              <w:bottom w:val="single" w:sz="4" w:space="0" w:color="auto"/>
              <w:right w:val="single" w:sz="4" w:space="0" w:color="auto"/>
            </w:tcBorders>
          </w:tcPr>
          <w:p w14:paraId="6E80B784" w14:textId="77777777" w:rsidR="00633DC7" w:rsidRPr="00920145" w:rsidRDefault="00633DC7" w:rsidP="00A23201">
            <w:pPr>
              <w:spacing w:after="120" w:line="360" w:lineRule="auto"/>
              <w:rPr>
                <w:rFonts w:ascii="Verdana" w:hAnsi="Verdana"/>
                <w:sz w:val="20"/>
                <w:szCs w:val="18"/>
              </w:rPr>
            </w:pPr>
            <w:r w:rsidRPr="00920145">
              <w:rPr>
                <w:rFonts w:ascii="Verdana" w:hAnsi="Verdana"/>
                <w:sz w:val="20"/>
                <w:szCs w:val="18"/>
              </w:rPr>
              <w:t>3,0</w:t>
            </w:r>
          </w:p>
        </w:tc>
      </w:tr>
      <w:tr w:rsidR="00633DC7" w:rsidRPr="00920145" w14:paraId="6C469027" w14:textId="77777777" w:rsidTr="002D5BBE">
        <w:tc>
          <w:tcPr>
            <w:tcW w:w="3402" w:type="dxa"/>
            <w:tcBorders>
              <w:top w:val="single" w:sz="4" w:space="0" w:color="auto"/>
              <w:left w:val="single" w:sz="4" w:space="0" w:color="auto"/>
              <w:bottom w:val="single" w:sz="4" w:space="0" w:color="auto"/>
              <w:right w:val="single" w:sz="4" w:space="0" w:color="auto"/>
            </w:tcBorders>
          </w:tcPr>
          <w:p w14:paraId="22ABB72F" w14:textId="77777777" w:rsidR="00633DC7" w:rsidRPr="00920145" w:rsidRDefault="00633DC7" w:rsidP="00A23201">
            <w:pPr>
              <w:spacing w:after="120" w:line="360" w:lineRule="auto"/>
              <w:rPr>
                <w:rFonts w:ascii="Verdana" w:hAnsi="Verdana"/>
                <w:sz w:val="20"/>
                <w:szCs w:val="18"/>
              </w:rPr>
            </w:pPr>
            <w:r w:rsidRPr="00920145">
              <w:rPr>
                <w:rFonts w:ascii="Verdana" w:hAnsi="Verdana"/>
                <w:sz w:val="20"/>
                <w:szCs w:val="18"/>
              </w:rPr>
              <w:t>Współczynnik rozszerzenia dla równoważenia w fazach innych niż faza aukcji otwarcia</w:t>
            </w:r>
          </w:p>
        </w:tc>
        <w:tc>
          <w:tcPr>
            <w:tcW w:w="4530" w:type="dxa"/>
            <w:tcBorders>
              <w:top w:val="single" w:sz="4" w:space="0" w:color="auto"/>
              <w:left w:val="single" w:sz="4" w:space="0" w:color="auto"/>
              <w:bottom w:val="single" w:sz="4" w:space="0" w:color="auto"/>
              <w:right w:val="single" w:sz="4" w:space="0" w:color="auto"/>
            </w:tcBorders>
          </w:tcPr>
          <w:p w14:paraId="309F59D8" w14:textId="77777777" w:rsidR="00633DC7" w:rsidRPr="00920145" w:rsidRDefault="00633DC7" w:rsidP="00A23201">
            <w:pPr>
              <w:spacing w:after="120" w:line="360" w:lineRule="auto"/>
              <w:rPr>
                <w:rFonts w:ascii="Verdana" w:hAnsi="Verdana"/>
                <w:sz w:val="20"/>
                <w:szCs w:val="18"/>
              </w:rPr>
            </w:pPr>
            <w:r w:rsidRPr="00920145">
              <w:rPr>
                <w:rFonts w:ascii="Verdana" w:hAnsi="Verdana"/>
                <w:sz w:val="20"/>
                <w:szCs w:val="18"/>
              </w:rPr>
              <w:t>2,0</w:t>
            </w:r>
          </w:p>
        </w:tc>
      </w:tr>
      <w:tr w:rsidR="00633DC7" w:rsidRPr="00920145" w14:paraId="3B649DD9" w14:textId="77777777" w:rsidTr="002D5BBE">
        <w:tc>
          <w:tcPr>
            <w:tcW w:w="3402" w:type="dxa"/>
            <w:tcBorders>
              <w:top w:val="single" w:sz="4" w:space="0" w:color="auto"/>
              <w:left w:val="single" w:sz="4" w:space="0" w:color="auto"/>
              <w:bottom w:val="single" w:sz="4" w:space="0" w:color="auto"/>
              <w:right w:val="single" w:sz="4" w:space="0" w:color="auto"/>
            </w:tcBorders>
          </w:tcPr>
          <w:p w14:paraId="6A151C74" w14:textId="77777777" w:rsidR="00633DC7" w:rsidRPr="00920145" w:rsidRDefault="00633DC7" w:rsidP="00A23201">
            <w:pPr>
              <w:spacing w:after="120" w:line="360" w:lineRule="auto"/>
              <w:rPr>
                <w:rFonts w:ascii="Verdana" w:hAnsi="Verdana"/>
                <w:sz w:val="20"/>
                <w:szCs w:val="18"/>
              </w:rPr>
            </w:pPr>
            <w:r w:rsidRPr="00920145">
              <w:rPr>
                <w:rFonts w:ascii="Verdana" w:hAnsi="Verdana"/>
                <w:sz w:val="20"/>
                <w:szCs w:val="18"/>
              </w:rPr>
              <w:t>Współczynnik maksymalnej liczby zmian netto dynamicznych ograniczeń wahań kursów</w:t>
            </w:r>
          </w:p>
        </w:tc>
        <w:tc>
          <w:tcPr>
            <w:tcW w:w="4530" w:type="dxa"/>
            <w:tcBorders>
              <w:top w:val="single" w:sz="4" w:space="0" w:color="auto"/>
              <w:left w:val="single" w:sz="4" w:space="0" w:color="auto"/>
              <w:bottom w:val="single" w:sz="4" w:space="0" w:color="auto"/>
              <w:right w:val="single" w:sz="4" w:space="0" w:color="auto"/>
            </w:tcBorders>
          </w:tcPr>
          <w:p w14:paraId="46F18ABF" w14:textId="77777777" w:rsidR="00633DC7" w:rsidRPr="00920145" w:rsidRDefault="00633DC7" w:rsidP="00A23201">
            <w:pPr>
              <w:spacing w:after="120" w:line="360" w:lineRule="auto"/>
              <w:rPr>
                <w:rFonts w:ascii="Verdana" w:hAnsi="Verdana"/>
                <w:sz w:val="20"/>
                <w:szCs w:val="18"/>
              </w:rPr>
            </w:pPr>
            <w:r w:rsidRPr="00920145">
              <w:rPr>
                <w:rFonts w:ascii="Verdana" w:hAnsi="Verdana"/>
                <w:sz w:val="20"/>
                <w:szCs w:val="18"/>
              </w:rPr>
              <w:t>20</w:t>
            </w:r>
          </w:p>
        </w:tc>
      </w:tr>
    </w:tbl>
    <w:p w14:paraId="1E086D38" w14:textId="77777777" w:rsidR="00633DC7" w:rsidRPr="00920145" w:rsidRDefault="00633DC7" w:rsidP="008362AE">
      <w:pPr>
        <w:pStyle w:val="Nagwek3"/>
        <w:numPr>
          <w:ilvl w:val="0"/>
          <w:numId w:val="0"/>
        </w:numPr>
        <w:ind w:left="720"/>
      </w:pPr>
    </w:p>
    <w:p w14:paraId="54ADCDF0" w14:textId="49AAF1F0" w:rsidR="00633DC7" w:rsidRPr="00920145" w:rsidRDefault="00935AF8" w:rsidP="008362AE">
      <w:pPr>
        <w:pStyle w:val="Nagwek3"/>
      </w:pPr>
      <w:r w:rsidRPr="00920145">
        <w:t>§ 79 otrzymuje brzmienie:</w:t>
      </w:r>
    </w:p>
    <w:p w14:paraId="3E105D6D" w14:textId="0C33A073" w:rsidR="00935AF8" w:rsidRPr="00920145" w:rsidRDefault="00935AF8" w:rsidP="00A23201">
      <w:pPr>
        <w:pStyle w:val="Akapitzlist"/>
        <w:tabs>
          <w:tab w:val="left" w:pos="851"/>
        </w:tabs>
        <w:spacing w:after="120" w:line="360" w:lineRule="auto"/>
        <w:ind w:left="567"/>
        <w:contextualSpacing w:val="0"/>
        <w:jc w:val="both"/>
        <w:rPr>
          <w:rFonts w:ascii="Verdana" w:hAnsi="Verdana"/>
          <w:sz w:val="20"/>
          <w:szCs w:val="18"/>
        </w:rPr>
      </w:pPr>
      <w:r w:rsidRPr="00920145">
        <w:rPr>
          <w:rFonts w:ascii="Verdana" w:hAnsi="Verdana"/>
          <w:sz w:val="20"/>
          <w:szCs w:val="18"/>
        </w:rPr>
        <w:t>„§ 79</w:t>
      </w:r>
    </w:p>
    <w:p w14:paraId="74FE11A6" w14:textId="711F3D3C" w:rsidR="00346A40" w:rsidRPr="00920145" w:rsidRDefault="00346A40" w:rsidP="00A23201">
      <w:pPr>
        <w:spacing w:after="120" w:line="360" w:lineRule="auto"/>
        <w:ind w:left="567"/>
        <w:jc w:val="both"/>
        <w:rPr>
          <w:rFonts w:ascii="Verdana" w:hAnsi="Verdana"/>
          <w:sz w:val="20"/>
          <w:szCs w:val="18"/>
        </w:rPr>
      </w:pPr>
      <w:r w:rsidRPr="00920145">
        <w:rPr>
          <w:rFonts w:ascii="Verdana" w:hAnsi="Verdana"/>
          <w:sz w:val="20"/>
          <w:szCs w:val="18"/>
        </w:rPr>
        <w:t xml:space="preserve">Szczegółowe warunki obrotu ETF-ami w systemie notowań ciągłych: </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4530"/>
      </w:tblGrid>
      <w:tr w:rsidR="00346A40" w:rsidRPr="00920145" w14:paraId="698F5A69" w14:textId="77777777" w:rsidTr="002D5BBE">
        <w:tc>
          <w:tcPr>
            <w:tcW w:w="3402" w:type="dxa"/>
            <w:tcBorders>
              <w:top w:val="single" w:sz="4" w:space="0" w:color="auto"/>
              <w:left w:val="single" w:sz="4" w:space="0" w:color="auto"/>
              <w:bottom w:val="single" w:sz="4" w:space="0" w:color="auto"/>
              <w:right w:val="single" w:sz="4" w:space="0" w:color="auto"/>
            </w:tcBorders>
          </w:tcPr>
          <w:p w14:paraId="3FCAD968" w14:textId="77777777" w:rsidR="00346A40" w:rsidRPr="00920145" w:rsidRDefault="00346A40" w:rsidP="00A23201">
            <w:pPr>
              <w:spacing w:after="120" w:line="360" w:lineRule="auto"/>
              <w:rPr>
                <w:rFonts w:ascii="Verdana" w:hAnsi="Verdana"/>
                <w:sz w:val="20"/>
                <w:szCs w:val="20"/>
              </w:rPr>
            </w:pPr>
            <w:r w:rsidRPr="00920145">
              <w:rPr>
                <w:rFonts w:ascii="Verdana" w:hAnsi="Verdana"/>
                <w:sz w:val="20"/>
                <w:szCs w:val="20"/>
              </w:rPr>
              <w:t>Jednostka transakcyjna</w:t>
            </w:r>
          </w:p>
        </w:tc>
        <w:tc>
          <w:tcPr>
            <w:tcW w:w="4530" w:type="dxa"/>
            <w:tcBorders>
              <w:top w:val="single" w:sz="4" w:space="0" w:color="auto"/>
              <w:left w:val="single" w:sz="4" w:space="0" w:color="auto"/>
              <w:bottom w:val="single" w:sz="4" w:space="0" w:color="auto"/>
              <w:right w:val="single" w:sz="4" w:space="0" w:color="auto"/>
            </w:tcBorders>
          </w:tcPr>
          <w:p w14:paraId="64033183" w14:textId="77777777" w:rsidR="00346A40" w:rsidRPr="00920145" w:rsidRDefault="00346A40" w:rsidP="00A23201">
            <w:pPr>
              <w:spacing w:after="120" w:line="360" w:lineRule="auto"/>
              <w:rPr>
                <w:rFonts w:ascii="Verdana" w:hAnsi="Verdana"/>
                <w:sz w:val="20"/>
                <w:szCs w:val="20"/>
              </w:rPr>
            </w:pPr>
            <w:r w:rsidRPr="00920145">
              <w:rPr>
                <w:rFonts w:ascii="Verdana" w:hAnsi="Verdana"/>
                <w:sz w:val="20"/>
                <w:szCs w:val="20"/>
              </w:rPr>
              <w:t>jeden instrument, chyba że Zarząd Giełdy określi inną jednostkę transakcyjną</w:t>
            </w:r>
          </w:p>
        </w:tc>
      </w:tr>
      <w:tr w:rsidR="007164ED" w:rsidRPr="00920145" w14:paraId="620FFDF2" w14:textId="77777777" w:rsidTr="002D5BBE">
        <w:tc>
          <w:tcPr>
            <w:tcW w:w="3402" w:type="dxa"/>
            <w:tcBorders>
              <w:top w:val="single" w:sz="4" w:space="0" w:color="auto"/>
              <w:left w:val="single" w:sz="4" w:space="0" w:color="auto"/>
              <w:bottom w:val="single" w:sz="4" w:space="0" w:color="auto"/>
              <w:right w:val="single" w:sz="4" w:space="0" w:color="auto"/>
            </w:tcBorders>
          </w:tcPr>
          <w:p w14:paraId="10D2B4B2" w14:textId="0AEF4F3A" w:rsidR="007164ED" w:rsidRPr="00920145" w:rsidDel="007164ED" w:rsidRDefault="007164ED" w:rsidP="007164ED">
            <w:pPr>
              <w:spacing w:after="120" w:line="360" w:lineRule="auto"/>
              <w:rPr>
                <w:rFonts w:ascii="Verdana" w:hAnsi="Verdana"/>
                <w:sz w:val="20"/>
                <w:szCs w:val="20"/>
              </w:rPr>
            </w:pPr>
            <w:r w:rsidRPr="00920145">
              <w:rPr>
                <w:rFonts w:ascii="Verdana" w:hAnsi="Verdana"/>
                <w:sz w:val="20"/>
                <w:szCs w:val="20"/>
              </w:rPr>
              <w:t>Losowy czas otwarcia</w:t>
            </w:r>
            <w:r w:rsidRPr="00920145">
              <w:rPr>
                <w:rFonts w:ascii="Verdana" w:hAnsi="Verdana"/>
                <w:sz w:val="20"/>
                <w:szCs w:val="20"/>
              </w:rPr>
              <w:br/>
              <w:t>dla fazy aukcji otwarcia</w:t>
            </w:r>
          </w:p>
        </w:tc>
        <w:tc>
          <w:tcPr>
            <w:tcW w:w="4530" w:type="dxa"/>
            <w:tcBorders>
              <w:top w:val="single" w:sz="4" w:space="0" w:color="auto"/>
              <w:left w:val="single" w:sz="4" w:space="0" w:color="auto"/>
              <w:bottom w:val="single" w:sz="4" w:space="0" w:color="auto"/>
              <w:right w:val="single" w:sz="4" w:space="0" w:color="auto"/>
            </w:tcBorders>
          </w:tcPr>
          <w:p w14:paraId="7E6ACB8E" w14:textId="342A1A4E" w:rsidR="007164ED" w:rsidRPr="00920145" w:rsidDel="007164ED" w:rsidRDefault="002F0779" w:rsidP="007164ED">
            <w:pPr>
              <w:spacing w:after="120" w:line="360" w:lineRule="auto"/>
              <w:rPr>
                <w:rFonts w:ascii="Verdana" w:hAnsi="Verdana"/>
                <w:sz w:val="20"/>
                <w:szCs w:val="20"/>
              </w:rPr>
            </w:pPr>
            <w:r w:rsidRPr="00920145">
              <w:rPr>
                <w:rFonts w:ascii="Verdana" w:hAnsi="Verdana"/>
                <w:sz w:val="20"/>
                <w:szCs w:val="20"/>
              </w:rPr>
              <w:t>(</w:t>
            </w:r>
            <w:r w:rsidR="007164ED" w:rsidRPr="00920145">
              <w:rPr>
                <w:rFonts w:ascii="Verdana" w:hAnsi="Verdana"/>
                <w:sz w:val="20"/>
                <w:szCs w:val="20"/>
              </w:rPr>
              <w:t>+</w:t>
            </w:r>
            <w:r w:rsidRPr="00920145">
              <w:rPr>
                <w:rFonts w:ascii="Verdana" w:hAnsi="Verdana"/>
                <w:sz w:val="20"/>
                <w:szCs w:val="20"/>
              </w:rPr>
              <w:t>)</w:t>
            </w:r>
            <w:r w:rsidR="007164ED" w:rsidRPr="00920145">
              <w:rPr>
                <w:rFonts w:ascii="Verdana" w:hAnsi="Verdana"/>
                <w:sz w:val="20"/>
                <w:szCs w:val="20"/>
              </w:rPr>
              <w:t xml:space="preserve"> 0-30 sekund</w:t>
            </w:r>
          </w:p>
        </w:tc>
      </w:tr>
      <w:tr w:rsidR="007164ED" w:rsidRPr="00920145" w14:paraId="2B1ABB42" w14:textId="77777777" w:rsidTr="002D5BBE">
        <w:tc>
          <w:tcPr>
            <w:tcW w:w="3402" w:type="dxa"/>
            <w:tcBorders>
              <w:top w:val="single" w:sz="4" w:space="0" w:color="auto"/>
              <w:left w:val="single" w:sz="4" w:space="0" w:color="auto"/>
              <w:bottom w:val="single" w:sz="4" w:space="0" w:color="auto"/>
              <w:right w:val="single" w:sz="4" w:space="0" w:color="auto"/>
            </w:tcBorders>
          </w:tcPr>
          <w:p w14:paraId="778F4B1F" w14:textId="51593A27" w:rsidR="007164ED" w:rsidRPr="00920145" w:rsidDel="007164ED" w:rsidRDefault="007164ED" w:rsidP="007164ED">
            <w:pPr>
              <w:spacing w:after="120" w:line="360" w:lineRule="auto"/>
              <w:rPr>
                <w:rFonts w:ascii="Verdana" w:hAnsi="Verdana"/>
                <w:sz w:val="20"/>
                <w:szCs w:val="20"/>
              </w:rPr>
            </w:pPr>
            <w:r w:rsidRPr="00920145">
              <w:rPr>
                <w:rFonts w:ascii="Verdana" w:hAnsi="Verdana"/>
                <w:sz w:val="20"/>
                <w:szCs w:val="20"/>
              </w:rPr>
              <w:t>Losowy czas otwarcia</w:t>
            </w:r>
            <w:r w:rsidRPr="00920145">
              <w:rPr>
                <w:rFonts w:ascii="Verdana" w:hAnsi="Verdana"/>
                <w:sz w:val="20"/>
                <w:szCs w:val="20"/>
              </w:rPr>
              <w:br/>
              <w:t>dla fazy aukcji zamknięcia</w:t>
            </w:r>
          </w:p>
        </w:tc>
        <w:tc>
          <w:tcPr>
            <w:tcW w:w="4530" w:type="dxa"/>
            <w:tcBorders>
              <w:top w:val="single" w:sz="4" w:space="0" w:color="auto"/>
              <w:left w:val="single" w:sz="4" w:space="0" w:color="auto"/>
              <w:bottom w:val="single" w:sz="4" w:space="0" w:color="auto"/>
              <w:right w:val="single" w:sz="4" w:space="0" w:color="auto"/>
            </w:tcBorders>
          </w:tcPr>
          <w:p w14:paraId="4F41D1CE" w14:textId="3D909261" w:rsidR="007164ED" w:rsidRPr="00920145" w:rsidDel="007164ED" w:rsidRDefault="002F0779" w:rsidP="007164ED">
            <w:pPr>
              <w:spacing w:after="120" w:line="360" w:lineRule="auto"/>
              <w:rPr>
                <w:rFonts w:ascii="Verdana" w:hAnsi="Verdana"/>
                <w:sz w:val="20"/>
                <w:szCs w:val="20"/>
              </w:rPr>
            </w:pPr>
            <w:r w:rsidRPr="00920145">
              <w:rPr>
                <w:rFonts w:ascii="Verdana" w:hAnsi="Verdana"/>
                <w:sz w:val="20"/>
                <w:szCs w:val="20"/>
              </w:rPr>
              <w:t>(</w:t>
            </w:r>
            <w:r w:rsidR="007164ED" w:rsidRPr="00920145">
              <w:rPr>
                <w:rFonts w:ascii="Verdana" w:hAnsi="Verdana"/>
                <w:sz w:val="20"/>
                <w:szCs w:val="20"/>
              </w:rPr>
              <w:t>-</w:t>
            </w:r>
            <w:r w:rsidRPr="00920145">
              <w:rPr>
                <w:rFonts w:ascii="Verdana" w:hAnsi="Verdana"/>
                <w:sz w:val="20"/>
                <w:szCs w:val="20"/>
              </w:rPr>
              <w:t>)</w:t>
            </w:r>
            <w:r w:rsidR="007164ED" w:rsidRPr="00920145">
              <w:rPr>
                <w:rFonts w:ascii="Verdana" w:hAnsi="Verdana"/>
                <w:sz w:val="20"/>
                <w:szCs w:val="20"/>
              </w:rPr>
              <w:t xml:space="preserve"> 0-30 sekund</w:t>
            </w:r>
          </w:p>
        </w:tc>
      </w:tr>
      <w:tr w:rsidR="00346A40" w:rsidRPr="00920145" w14:paraId="0D999116" w14:textId="77777777" w:rsidTr="002D5BBE">
        <w:tc>
          <w:tcPr>
            <w:tcW w:w="3402" w:type="dxa"/>
          </w:tcPr>
          <w:p w14:paraId="3FFC9B10" w14:textId="77777777" w:rsidR="00346A40" w:rsidRPr="00920145" w:rsidRDefault="00346A40" w:rsidP="00A23201">
            <w:pPr>
              <w:spacing w:after="120" w:line="360" w:lineRule="auto"/>
              <w:rPr>
                <w:rFonts w:ascii="Verdana" w:hAnsi="Verdana"/>
                <w:sz w:val="20"/>
                <w:szCs w:val="20"/>
              </w:rPr>
            </w:pPr>
            <w:r w:rsidRPr="00920145">
              <w:rPr>
                <w:rFonts w:ascii="Verdana" w:hAnsi="Verdana"/>
                <w:sz w:val="20"/>
                <w:szCs w:val="20"/>
              </w:rPr>
              <w:lastRenderedPageBreak/>
              <w:t>Wysokość statycznych ograniczeń wahań kursów</w:t>
            </w:r>
          </w:p>
        </w:tc>
        <w:tc>
          <w:tcPr>
            <w:tcW w:w="4530" w:type="dxa"/>
          </w:tcPr>
          <w:p w14:paraId="58D58463" w14:textId="77777777" w:rsidR="00346A40" w:rsidRPr="00920145" w:rsidRDefault="00346A40" w:rsidP="00F8716B">
            <w:pPr>
              <w:numPr>
                <w:ilvl w:val="0"/>
                <w:numId w:val="57"/>
              </w:numPr>
              <w:spacing w:after="120" w:line="360" w:lineRule="auto"/>
              <w:jc w:val="both"/>
              <w:rPr>
                <w:rFonts w:ascii="Verdana" w:hAnsi="Verdana"/>
                <w:sz w:val="20"/>
                <w:szCs w:val="20"/>
              </w:rPr>
            </w:pPr>
            <w:r w:rsidRPr="00920145">
              <w:rPr>
                <w:rFonts w:ascii="Verdana" w:hAnsi="Verdana"/>
                <w:sz w:val="20"/>
                <w:szCs w:val="20"/>
              </w:rPr>
              <w:t xml:space="preserve">30,00% od kursu odniesienia - przy kursie odniesienia 0,0100 - 0,0999 jednostki waluty notowania    </w:t>
            </w:r>
          </w:p>
          <w:p w14:paraId="1244A010" w14:textId="77777777" w:rsidR="00346A40" w:rsidRPr="00920145" w:rsidRDefault="00346A40" w:rsidP="00F8716B">
            <w:pPr>
              <w:numPr>
                <w:ilvl w:val="0"/>
                <w:numId w:val="57"/>
              </w:numPr>
              <w:spacing w:after="120" w:line="360" w:lineRule="auto"/>
              <w:jc w:val="both"/>
              <w:rPr>
                <w:rFonts w:ascii="Verdana" w:hAnsi="Verdana"/>
                <w:sz w:val="20"/>
                <w:szCs w:val="20"/>
              </w:rPr>
            </w:pPr>
            <w:r w:rsidRPr="00920145">
              <w:rPr>
                <w:rFonts w:ascii="Verdana" w:hAnsi="Verdana"/>
                <w:sz w:val="20"/>
                <w:szCs w:val="20"/>
              </w:rPr>
              <w:t xml:space="preserve">15,00% od kursu odniesienia - przy kursie odniesienia 0,1000 - 0,1999 jednostki waluty notowania   </w:t>
            </w:r>
          </w:p>
          <w:p w14:paraId="6DBD2DF9" w14:textId="77777777" w:rsidR="00346A40" w:rsidRPr="00920145" w:rsidRDefault="00346A40" w:rsidP="00F8716B">
            <w:pPr>
              <w:numPr>
                <w:ilvl w:val="0"/>
                <w:numId w:val="57"/>
              </w:numPr>
              <w:spacing w:after="120" w:line="360" w:lineRule="auto"/>
              <w:jc w:val="both"/>
              <w:rPr>
                <w:rFonts w:ascii="Verdana" w:hAnsi="Verdana"/>
                <w:sz w:val="20"/>
                <w:szCs w:val="20"/>
              </w:rPr>
            </w:pPr>
            <w:r w:rsidRPr="00920145">
              <w:rPr>
                <w:rFonts w:ascii="Verdana" w:hAnsi="Verdana"/>
                <w:sz w:val="20"/>
                <w:szCs w:val="20"/>
              </w:rPr>
              <w:t xml:space="preserve">10,00% od kursu odniesienia - przy kursie odniesienia 0,2000 jednostki waluty notowania lub wyższym </w:t>
            </w:r>
          </w:p>
        </w:tc>
      </w:tr>
      <w:tr w:rsidR="00346A40" w:rsidRPr="00920145" w14:paraId="74E32FD7" w14:textId="77777777" w:rsidTr="002D5BBE">
        <w:tc>
          <w:tcPr>
            <w:tcW w:w="3402" w:type="dxa"/>
          </w:tcPr>
          <w:p w14:paraId="575FB48F" w14:textId="77777777" w:rsidR="00346A40" w:rsidRPr="00920145" w:rsidRDefault="00346A40" w:rsidP="00A23201">
            <w:pPr>
              <w:spacing w:after="120" w:line="360" w:lineRule="auto"/>
              <w:rPr>
                <w:rFonts w:ascii="Verdana" w:hAnsi="Verdana"/>
                <w:sz w:val="20"/>
                <w:szCs w:val="20"/>
              </w:rPr>
            </w:pPr>
            <w:r w:rsidRPr="00920145">
              <w:rPr>
                <w:rFonts w:ascii="Verdana" w:hAnsi="Verdana"/>
                <w:sz w:val="20"/>
                <w:szCs w:val="20"/>
              </w:rPr>
              <w:t>Wysokość dynamicznych ograniczeń wahań kursów</w:t>
            </w:r>
          </w:p>
        </w:tc>
        <w:tc>
          <w:tcPr>
            <w:tcW w:w="4530" w:type="dxa"/>
          </w:tcPr>
          <w:p w14:paraId="0D9EBB4D" w14:textId="77777777" w:rsidR="00346A40" w:rsidRPr="00920145" w:rsidRDefault="00346A40" w:rsidP="00F8716B">
            <w:pPr>
              <w:numPr>
                <w:ilvl w:val="0"/>
                <w:numId w:val="56"/>
              </w:numPr>
              <w:spacing w:after="120" w:line="360" w:lineRule="auto"/>
              <w:jc w:val="both"/>
              <w:rPr>
                <w:rFonts w:ascii="Verdana" w:hAnsi="Verdana"/>
                <w:sz w:val="20"/>
                <w:szCs w:val="20"/>
              </w:rPr>
            </w:pPr>
            <w:r w:rsidRPr="00920145">
              <w:rPr>
                <w:rFonts w:ascii="Verdana" w:hAnsi="Verdana"/>
                <w:sz w:val="20"/>
                <w:szCs w:val="20"/>
              </w:rPr>
              <w:t xml:space="preserve">6,00% od kursu odniesienia - przy kursie odniesienia 0,0100 - 0,1999 jednostki waluty notowania                              </w:t>
            </w:r>
          </w:p>
          <w:p w14:paraId="1D843B49" w14:textId="77777777" w:rsidR="00346A40" w:rsidRPr="00920145" w:rsidRDefault="00346A40" w:rsidP="00F8716B">
            <w:pPr>
              <w:numPr>
                <w:ilvl w:val="0"/>
                <w:numId w:val="56"/>
              </w:numPr>
              <w:spacing w:after="120" w:line="360" w:lineRule="auto"/>
              <w:jc w:val="both"/>
              <w:rPr>
                <w:rFonts w:ascii="Verdana" w:hAnsi="Verdana"/>
                <w:sz w:val="20"/>
                <w:szCs w:val="20"/>
              </w:rPr>
            </w:pPr>
            <w:r w:rsidRPr="00920145">
              <w:rPr>
                <w:rFonts w:ascii="Verdana" w:hAnsi="Verdana"/>
                <w:sz w:val="20"/>
                <w:szCs w:val="20"/>
              </w:rPr>
              <w:t xml:space="preserve">3,00% od kursu odniesienia - przy kursie odniesienia 0,2000 jednostki waluty notowania lub wyższym                                             </w:t>
            </w:r>
          </w:p>
        </w:tc>
      </w:tr>
      <w:tr w:rsidR="00346A40" w:rsidRPr="00920145" w14:paraId="148A813B" w14:textId="77777777" w:rsidTr="002D5BBE">
        <w:tc>
          <w:tcPr>
            <w:tcW w:w="3402" w:type="dxa"/>
            <w:tcBorders>
              <w:top w:val="single" w:sz="4" w:space="0" w:color="auto"/>
              <w:left w:val="single" w:sz="4" w:space="0" w:color="auto"/>
              <w:bottom w:val="single" w:sz="4" w:space="0" w:color="auto"/>
              <w:right w:val="single" w:sz="4" w:space="0" w:color="auto"/>
            </w:tcBorders>
          </w:tcPr>
          <w:p w14:paraId="75CBE396" w14:textId="77777777" w:rsidR="00346A40" w:rsidRPr="00920145" w:rsidRDefault="00346A40" w:rsidP="00A23201">
            <w:pPr>
              <w:spacing w:after="120" w:line="360" w:lineRule="auto"/>
              <w:rPr>
                <w:rFonts w:ascii="Verdana" w:hAnsi="Verdana"/>
                <w:sz w:val="20"/>
                <w:szCs w:val="20"/>
              </w:rPr>
            </w:pPr>
            <w:r w:rsidRPr="00920145">
              <w:rPr>
                <w:rFonts w:ascii="Verdana" w:hAnsi="Verdana"/>
                <w:sz w:val="20"/>
                <w:szCs w:val="20"/>
              </w:rPr>
              <w:t xml:space="preserve">Maksymalne wartości dla limitów cen w zleceniu maklerskim    </w:t>
            </w:r>
          </w:p>
        </w:tc>
        <w:tc>
          <w:tcPr>
            <w:tcW w:w="4530" w:type="dxa"/>
            <w:tcBorders>
              <w:top w:val="single" w:sz="4" w:space="0" w:color="auto"/>
              <w:left w:val="single" w:sz="4" w:space="0" w:color="auto"/>
              <w:bottom w:val="single" w:sz="4" w:space="0" w:color="auto"/>
              <w:right w:val="single" w:sz="4" w:space="0" w:color="auto"/>
            </w:tcBorders>
          </w:tcPr>
          <w:p w14:paraId="1A323E3E" w14:textId="76923F03" w:rsidR="00346A40" w:rsidRPr="00920145" w:rsidRDefault="00346A40" w:rsidP="005A3E7B">
            <w:pPr>
              <w:pStyle w:val="Default"/>
              <w:spacing w:after="120" w:line="360" w:lineRule="auto"/>
              <w:jc w:val="both"/>
              <w:rPr>
                <w:sz w:val="20"/>
                <w:szCs w:val="20"/>
              </w:rPr>
            </w:pPr>
            <w:r w:rsidRPr="00920145">
              <w:rPr>
                <w:sz w:val="20"/>
                <w:szCs w:val="20"/>
              </w:rPr>
              <w:t>50% względem kursu odniesienia dla statycznych ograniczeń wahań kursu</w:t>
            </w:r>
          </w:p>
        </w:tc>
      </w:tr>
      <w:tr w:rsidR="00346A40" w:rsidRPr="00920145" w14:paraId="2B46F20C" w14:textId="77777777" w:rsidTr="002D5BBE">
        <w:tc>
          <w:tcPr>
            <w:tcW w:w="3402" w:type="dxa"/>
            <w:tcBorders>
              <w:top w:val="single" w:sz="4" w:space="0" w:color="auto"/>
              <w:left w:val="single" w:sz="4" w:space="0" w:color="auto"/>
              <w:bottom w:val="single" w:sz="4" w:space="0" w:color="auto"/>
              <w:right w:val="single" w:sz="4" w:space="0" w:color="auto"/>
            </w:tcBorders>
          </w:tcPr>
          <w:p w14:paraId="208C6A76" w14:textId="77777777" w:rsidR="00346A40" w:rsidRPr="00920145" w:rsidRDefault="00346A40" w:rsidP="00A23201">
            <w:pPr>
              <w:spacing w:after="120" w:line="360" w:lineRule="auto"/>
              <w:rPr>
                <w:rFonts w:ascii="Verdana" w:hAnsi="Verdana"/>
                <w:sz w:val="20"/>
                <w:szCs w:val="20"/>
              </w:rPr>
            </w:pPr>
            <w:r w:rsidRPr="00920145">
              <w:rPr>
                <w:rFonts w:ascii="Verdana" w:hAnsi="Verdana"/>
                <w:sz w:val="20"/>
                <w:szCs w:val="20"/>
              </w:rPr>
              <w:t xml:space="preserve">Maksymalna wartość zlecenia maklerskiego     </w:t>
            </w:r>
          </w:p>
        </w:tc>
        <w:tc>
          <w:tcPr>
            <w:tcW w:w="4530" w:type="dxa"/>
            <w:tcBorders>
              <w:top w:val="single" w:sz="4" w:space="0" w:color="auto"/>
              <w:left w:val="single" w:sz="4" w:space="0" w:color="auto"/>
              <w:bottom w:val="single" w:sz="4" w:space="0" w:color="auto"/>
              <w:right w:val="single" w:sz="4" w:space="0" w:color="auto"/>
            </w:tcBorders>
          </w:tcPr>
          <w:p w14:paraId="45DCE2EB" w14:textId="77777777" w:rsidR="00346A40" w:rsidRPr="00920145" w:rsidRDefault="00346A40" w:rsidP="00A23201">
            <w:pPr>
              <w:pStyle w:val="Default"/>
              <w:spacing w:after="120" w:line="360" w:lineRule="auto"/>
              <w:rPr>
                <w:sz w:val="20"/>
                <w:szCs w:val="20"/>
              </w:rPr>
            </w:pPr>
            <w:r w:rsidRPr="00920145">
              <w:rPr>
                <w:sz w:val="20"/>
                <w:szCs w:val="20"/>
              </w:rPr>
              <w:t xml:space="preserve"> 10.000.000  jednostek waluty notowania   </w:t>
            </w:r>
          </w:p>
          <w:p w14:paraId="45FA3819" w14:textId="77777777" w:rsidR="00346A40" w:rsidRPr="00920145" w:rsidRDefault="00346A40" w:rsidP="00A23201">
            <w:pPr>
              <w:spacing w:after="120" w:line="360" w:lineRule="auto"/>
              <w:rPr>
                <w:rFonts w:ascii="Verdana" w:hAnsi="Verdana"/>
                <w:sz w:val="20"/>
                <w:szCs w:val="20"/>
              </w:rPr>
            </w:pPr>
          </w:p>
        </w:tc>
      </w:tr>
      <w:tr w:rsidR="00346A40" w:rsidRPr="00920145" w14:paraId="6EC50340" w14:textId="77777777" w:rsidTr="002D5BBE">
        <w:tc>
          <w:tcPr>
            <w:tcW w:w="3402" w:type="dxa"/>
            <w:tcBorders>
              <w:top w:val="single" w:sz="4" w:space="0" w:color="auto"/>
              <w:left w:val="single" w:sz="4" w:space="0" w:color="auto"/>
              <w:bottom w:val="single" w:sz="4" w:space="0" w:color="auto"/>
              <w:right w:val="single" w:sz="4" w:space="0" w:color="auto"/>
            </w:tcBorders>
          </w:tcPr>
          <w:p w14:paraId="5BC07D77" w14:textId="77777777" w:rsidR="00346A40" w:rsidRPr="00920145" w:rsidRDefault="00346A40" w:rsidP="00A23201">
            <w:pPr>
              <w:spacing w:after="120" w:line="360" w:lineRule="auto"/>
              <w:rPr>
                <w:rFonts w:ascii="Verdana" w:hAnsi="Verdana"/>
                <w:sz w:val="20"/>
                <w:szCs w:val="20"/>
              </w:rPr>
            </w:pPr>
            <w:r w:rsidRPr="00920145">
              <w:rPr>
                <w:rFonts w:ascii="Verdana" w:hAnsi="Verdana"/>
                <w:sz w:val="20"/>
                <w:szCs w:val="20"/>
              </w:rPr>
              <w:t xml:space="preserve">Maksymalny wolumen zlecenia maklerskiego     </w:t>
            </w:r>
          </w:p>
        </w:tc>
        <w:tc>
          <w:tcPr>
            <w:tcW w:w="4530" w:type="dxa"/>
            <w:tcBorders>
              <w:top w:val="single" w:sz="4" w:space="0" w:color="auto"/>
              <w:left w:val="single" w:sz="4" w:space="0" w:color="auto"/>
              <w:bottom w:val="single" w:sz="4" w:space="0" w:color="auto"/>
              <w:right w:val="single" w:sz="4" w:space="0" w:color="auto"/>
            </w:tcBorders>
          </w:tcPr>
          <w:p w14:paraId="029A2689" w14:textId="77777777" w:rsidR="00346A40" w:rsidRPr="00920145" w:rsidRDefault="00346A40" w:rsidP="00A23201">
            <w:pPr>
              <w:spacing w:after="120" w:line="360" w:lineRule="auto"/>
              <w:jc w:val="both"/>
              <w:rPr>
                <w:rFonts w:ascii="Verdana" w:hAnsi="Verdana"/>
                <w:sz w:val="20"/>
                <w:szCs w:val="20"/>
              </w:rPr>
            </w:pPr>
            <w:r w:rsidRPr="00920145">
              <w:rPr>
                <w:rFonts w:ascii="Verdana" w:hAnsi="Verdana"/>
                <w:sz w:val="20"/>
                <w:szCs w:val="20"/>
              </w:rPr>
              <w:t>2% instrumentów finansowych wprowadzonych do obrotu giełdowego i oznaczonych tym samym kodem ISIN, a w przypadku gdy 2% tych instrumentów stanowi mniej niż 1.000.000 instrumentów – nie więcej niż 1.000.000 instrumentów</w:t>
            </w:r>
          </w:p>
        </w:tc>
      </w:tr>
      <w:tr w:rsidR="00346A40" w:rsidRPr="00920145" w14:paraId="7DC8E9C6" w14:textId="77777777" w:rsidTr="002D5BBE">
        <w:tc>
          <w:tcPr>
            <w:tcW w:w="3402" w:type="dxa"/>
            <w:tcBorders>
              <w:top w:val="single" w:sz="4" w:space="0" w:color="auto"/>
              <w:left w:val="single" w:sz="4" w:space="0" w:color="auto"/>
              <w:bottom w:val="single" w:sz="4" w:space="0" w:color="auto"/>
              <w:right w:val="single" w:sz="4" w:space="0" w:color="auto"/>
            </w:tcBorders>
          </w:tcPr>
          <w:p w14:paraId="171A91E9" w14:textId="77777777" w:rsidR="00346A40" w:rsidRPr="00920145" w:rsidRDefault="00346A40" w:rsidP="00A23201">
            <w:pPr>
              <w:spacing w:after="120" w:line="360" w:lineRule="auto"/>
              <w:rPr>
                <w:rFonts w:ascii="Verdana" w:hAnsi="Verdana"/>
                <w:sz w:val="20"/>
                <w:szCs w:val="20"/>
              </w:rPr>
            </w:pPr>
            <w:r w:rsidRPr="00920145">
              <w:rPr>
                <w:rFonts w:ascii="Verdana" w:hAnsi="Verdana"/>
                <w:sz w:val="20"/>
                <w:szCs w:val="20"/>
              </w:rPr>
              <w:t>Równoważenie podstawowe dla statycznych ograniczeń wahań kursów</w:t>
            </w:r>
          </w:p>
        </w:tc>
        <w:tc>
          <w:tcPr>
            <w:tcW w:w="4530" w:type="dxa"/>
            <w:tcBorders>
              <w:top w:val="single" w:sz="4" w:space="0" w:color="auto"/>
              <w:left w:val="single" w:sz="4" w:space="0" w:color="auto"/>
              <w:bottom w:val="single" w:sz="4" w:space="0" w:color="auto"/>
              <w:right w:val="single" w:sz="4" w:space="0" w:color="auto"/>
            </w:tcBorders>
          </w:tcPr>
          <w:p w14:paraId="715C5229" w14:textId="77777777" w:rsidR="00346A40" w:rsidRPr="00920145" w:rsidRDefault="00346A40" w:rsidP="00A23201">
            <w:pPr>
              <w:spacing w:after="120" w:line="360" w:lineRule="auto"/>
              <w:rPr>
                <w:rFonts w:ascii="Verdana" w:hAnsi="Verdana"/>
                <w:sz w:val="20"/>
                <w:szCs w:val="20"/>
              </w:rPr>
            </w:pPr>
            <w:r w:rsidRPr="00920145">
              <w:rPr>
                <w:rFonts w:ascii="Verdana" w:hAnsi="Verdana"/>
                <w:sz w:val="20"/>
                <w:szCs w:val="20"/>
              </w:rPr>
              <w:t>Tak</w:t>
            </w:r>
          </w:p>
        </w:tc>
      </w:tr>
      <w:tr w:rsidR="00346A40" w:rsidRPr="00920145" w14:paraId="19591091" w14:textId="77777777" w:rsidTr="002D5BBE">
        <w:tc>
          <w:tcPr>
            <w:tcW w:w="3402" w:type="dxa"/>
            <w:tcBorders>
              <w:top w:val="single" w:sz="4" w:space="0" w:color="auto"/>
              <w:left w:val="single" w:sz="4" w:space="0" w:color="auto"/>
              <w:bottom w:val="single" w:sz="4" w:space="0" w:color="auto"/>
              <w:right w:val="single" w:sz="4" w:space="0" w:color="auto"/>
            </w:tcBorders>
          </w:tcPr>
          <w:p w14:paraId="1FBD4CF0" w14:textId="77777777" w:rsidR="00346A40" w:rsidRPr="00920145" w:rsidRDefault="00346A40" w:rsidP="00A23201">
            <w:pPr>
              <w:spacing w:after="120" w:line="360" w:lineRule="auto"/>
              <w:rPr>
                <w:rFonts w:ascii="Verdana" w:hAnsi="Verdana"/>
                <w:sz w:val="20"/>
                <w:szCs w:val="20"/>
              </w:rPr>
            </w:pPr>
            <w:r w:rsidRPr="00920145">
              <w:rPr>
                <w:rFonts w:ascii="Verdana" w:hAnsi="Verdana"/>
                <w:sz w:val="20"/>
                <w:szCs w:val="20"/>
              </w:rPr>
              <w:t>Czas trwania równoważenia podstawowego dla statycznych ograniczeń wahań kursów</w:t>
            </w:r>
          </w:p>
        </w:tc>
        <w:tc>
          <w:tcPr>
            <w:tcW w:w="4530" w:type="dxa"/>
            <w:tcBorders>
              <w:top w:val="single" w:sz="4" w:space="0" w:color="auto"/>
              <w:left w:val="single" w:sz="4" w:space="0" w:color="auto"/>
              <w:bottom w:val="single" w:sz="4" w:space="0" w:color="auto"/>
              <w:right w:val="single" w:sz="4" w:space="0" w:color="auto"/>
            </w:tcBorders>
          </w:tcPr>
          <w:p w14:paraId="3C3D5E57" w14:textId="77777777" w:rsidR="00346A40" w:rsidRPr="00920145" w:rsidRDefault="00346A40" w:rsidP="00A23201">
            <w:pPr>
              <w:spacing w:after="120" w:line="360" w:lineRule="auto"/>
              <w:rPr>
                <w:rFonts w:ascii="Verdana" w:hAnsi="Verdana"/>
                <w:sz w:val="20"/>
                <w:szCs w:val="20"/>
              </w:rPr>
            </w:pPr>
            <w:r w:rsidRPr="00920145">
              <w:rPr>
                <w:rFonts w:ascii="Verdana" w:hAnsi="Verdana"/>
                <w:sz w:val="20"/>
                <w:szCs w:val="20"/>
              </w:rPr>
              <w:t>300 sekund</w:t>
            </w:r>
          </w:p>
        </w:tc>
      </w:tr>
      <w:tr w:rsidR="00346A40" w:rsidRPr="00920145" w14:paraId="3E933E17" w14:textId="77777777" w:rsidTr="002D5BBE">
        <w:tc>
          <w:tcPr>
            <w:tcW w:w="3402" w:type="dxa"/>
            <w:tcBorders>
              <w:top w:val="single" w:sz="4" w:space="0" w:color="auto"/>
              <w:left w:val="single" w:sz="4" w:space="0" w:color="auto"/>
              <w:bottom w:val="single" w:sz="4" w:space="0" w:color="auto"/>
              <w:right w:val="single" w:sz="4" w:space="0" w:color="auto"/>
            </w:tcBorders>
          </w:tcPr>
          <w:p w14:paraId="08DD3FCE" w14:textId="77777777" w:rsidR="00346A40" w:rsidRPr="00920145" w:rsidRDefault="00346A40" w:rsidP="00A23201">
            <w:pPr>
              <w:spacing w:after="120" w:line="360" w:lineRule="auto"/>
              <w:rPr>
                <w:rFonts w:ascii="Verdana" w:hAnsi="Verdana"/>
                <w:sz w:val="20"/>
                <w:szCs w:val="20"/>
              </w:rPr>
            </w:pPr>
            <w:r w:rsidRPr="00920145">
              <w:rPr>
                <w:rFonts w:ascii="Verdana" w:hAnsi="Verdana"/>
                <w:sz w:val="20"/>
                <w:szCs w:val="20"/>
              </w:rPr>
              <w:t xml:space="preserve">Współczynnik przesunięcia kursu odniesienia dla </w:t>
            </w:r>
            <w:r w:rsidRPr="00920145">
              <w:rPr>
                <w:rFonts w:ascii="Verdana" w:hAnsi="Verdana"/>
                <w:sz w:val="20"/>
                <w:szCs w:val="20"/>
              </w:rPr>
              <w:lastRenderedPageBreak/>
              <w:t>równoważenia w fazie aukcji otwarcia</w:t>
            </w:r>
          </w:p>
        </w:tc>
        <w:tc>
          <w:tcPr>
            <w:tcW w:w="4530" w:type="dxa"/>
            <w:tcBorders>
              <w:top w:val="single" w:sz="4" w:space="0" w:color="auto"/>
              <w:left w:val="single" w:sz="4" w:space="0" w:color="auto"/>
              <w:bottom w:val="single" w:sz="4" w:space="0" w:color="auto"/>
              <w:right w:val="single" w:sz="4" w:space="0" w:color="auto"/>
            </w:tcBorders>
          </w:tcPr>
          <w:p w14:paraId="2AE56CFF" w14:textId="77777777" w:rsidR="00346A40" w:rsidRPr="00920145" w:rsidRDefault="00346A40" w:rsidP="00A23201">
            <w:pPr>
              <w:spacing w:after="120" w:line="360" w:lineRule="auto"/>
              <w:rPr>
                <w:rFonts w:ascii="Verdana" w:hAnsi="Verdana"/>
                <w:sz w:val="20"/>
                <w:szCs w:val="20"/>
              </w:rPr>
            </w:pPr>
            <w:r w:rsidRPr="00920145">
              <w:rPr>
                <w:rFonts w:ascii="Verdana" w:hAnsi="Verdana"/>
                <w:sz w:val="20"/>
                <w:szCs w:val="20"/>
              </w:rPr>
              <w:lastRenderedPageBreak/>
              <w:t>1</w:t>
            </w:r>
          </w:p>
        </w:tc>
      </w:tr>
      <w:tr w:rsidR="00346A40" w:rsidRPr="00920145" w14:paraId="6A1EE30D" w14:textId="77777777" w:rsidTr="002D5BBE">
        <w:tc>
          <w:tcPr>
            <w:tcW w:w="3402" w:type="dxa"/>
            <w:tcBorders>
              <w:top w:val="single" w:sz="4" w:space="0" w:color="auto"/>
              <w:left w:val="single" w:sz="4" w:space="0" w:color="auto"/>
              <w:bottom w:val="single" w:sz="4" w:space="0" w:color="auto"/>
              <w:right w:val="single" w:sz="4" w:space="0" w:color="auto"/>
            </w:tcBorders>
          </w:tcPr>
          <w:p w14:paraId="31C1CED3" w14:textId="77777777" w:rsidR="00346A40" w:rsidRPr="00920145" w:rsidRDefault="00346A40" w:rsidP="00A23201">
            <w:pPr>
              <w:spacing w:after="120" w:line="360" w:lineRule="auto"/>
              <w:rPr>
                <w:rFonts w:ascii="Verdana" w:hAnsi="Verdana"/>
                <w:sz w:val="20"/>
                <w:szCs w:val="20"/>
              </w:rPr>
            </w:pPr>
            <w:r w:rsidRPr="00920145">
              <w:rPr>
                <w:rFonts w:ascii="Verdana" w:hAnsi="Verdana"/>
                <w:sz w:val="20"/>
                <w:szCs w:val="20"/>
              </w:rPr>
              <w:t>Współczynnik przesunięcia kursu odniesienia dla równoważenia w fazach innych niż faza aukcji otwarcia</w:t>
            </w:r>
          </w:p>
        </w:tc>
        <w:tc>
          <w:tcPr>
            <w:tcW w:w="4530" w:type="dxa"/>
            <w:tcBorders>
              <w:top w:val="single" w:sz="4" w:space="0" w:color="auto"/>
              <w:left w:val="single" w:sz="4" w:space="0" w:color="auto"/>
              <w:bottom w:val="single" w:sz="4" w:space="0" w:color="auto"/>
              <w:right w:val="single" w:sz="4" w:space="0" w:color="auto"/>
            </w:tcBorders>
          </w:tcPr>
          <w:p w14:paraId="73283FA7" w14:textId="77777777" w:rsidR="00346A40" w:rsidRPr="00920145" w:rsidRDefault="00346A40" w:rsidP="00A23201">
            <w:pPr>
              <w:spacing w:after="120" w:line="360" w:lineRule="auto"/>
              <w:rPr>
                <w:rFonts w:ascii="Verdana" w:hAnsi="Verdana"/>
                <w:sz w:val="20"/>
                <w:szCs w:val="20"/>
              </w:rPr>
            </w:pPr>
            <w:r w:rsidRPr="00920145">
              <w:rPr>
                <w:rFonts w:ascii="Verdana" w:hAnsi="Verdana"/>
                <w:sz w:val="20"/>
                <w:szCs w:val="20"/>
              </w:rPr>
              <w:t>0,5</w:t>
            </w:r>
          </w:p>
        </w:tc>
      </w:tr>
      <w:tr w:rsidR="00346A40" w:rsidRPr="00920145" w14:paraId="1A2A8282" w14:textId="77777777" w:rsidTr="002D5BBE">
        <w:tc>
          <w:tcPr>
            <w:tcW w:w="3402" w:type="dxa"/>
            <w:tcBorders>
              <w:top w:val="single" w:sz="4" w:space="0" w:color="auto"/>
              <w:left w:val="single" w:sz="4" w:space="0" w:color="auto"/>
              <w:bottom w:val="single" w:sz="4" w:space="0" w:color="auto"/>
              <w:right w:val="single" w:sz="4" w:space="0" w:color="auto"/>
            </w:tcBorders>
          </w:tcPr>
          <w:p w14:paraId="3DF94D74" w14:textId="77777777" w:rsidR="00346A40" w:rsidRPr="00920145" w:rsidRDefault="00346A40" w:rsidP="00A23201">
            <w:pPr>
              <w:spacing w:after="120" w:line="360" w:lineRule="auto"/>
              <w:rPr>
                <w:rFonts w:ascii="Verdana" w:hAnsi="Verdana"/>
                <w:sz w:val="20"/>
                <w:szCs w:val="20"/>
              </w:rPr>
            </w:pPr>
            <w:r w:rsidRPr="00920145">
              <w:rPr>
                <w:rFonts w:ascii="Verdana" w:hAnsi="Verdana"/>
                <w:sz w:val="20"/>
                <w:szCs w:val="20"/>
              </w:rPr>
              <w:t>Współczynnik maksymalnej liczby zmian netto statycznych ograniczeń wahań kursów</w:t>
            </w:r>
          </w:p>
        </w:tc>
        <w:tc>
          <w:tcPr>
            <w:tcW w:w="4530" w:type="dxa"/>
            <w:tcBorders>
              <w:top w:val="single" w:sz="4" w:space="0" w:color="auto"/>
              <w:left w:val="single" w:sz="4" w:space="0" w:color="auto"/>
              <w:bottom w:val="single" w:sz="4" w:space="0" w:color="auto"/>
              <w:right w:val="single" w:sz="4" w:space="0" w:color="auto"/>
            </w:tcBorders>
          </w:tcPr>
          <w:p w14:paraId="201D2BEA" w14:textId="77777777" w:rsidR="00346A40" w:rsidRPr="00920145" w:rsidRDefault="00346A40" w:rsidP="00A23201">
            <w:pPr>
              <w:spacing w:after="120" w:line="360" w:lineRule="auto"/>
              <w:rPr>
                <w:rFonts w:ascii="Verdana" w:hAnsi="Verdana"/>
                <w:sz w:val="20"/>
                <w:szCs w:val="20"/>
              </w:rPr>
            </w:pPr>
            <w:r w:rsidRPr="00920145">
              <w:rPr>
                <w:rFonts w:ascii="Verdana" w:hAnsi="Verdana"/>
                <w:sz w:val="20"/>
                <w:szCs w:val="20"/>
              </w:rPr>
              <w:t>2</w:t>
            </w:r>
          </w:p>
        </w:tc>
      </w:tr>
      <w:tr w:rsidR="00346A40" w:rsidRPr="00920145" w14:paraId="1B57C10B" w14:textId="77777777" w:rsidTr="002D5BBE">
        <w:tc>
          <w:tcPr>
            <w:tcW w:w="3402" w:type="dxa"/>
            <w:tcBorders>
              <w:top w:val="single" w:sz="4" w:space="0" w:color="auto"/>
              <w:left w:val="single" w:sz="4" w:space="0" w:color="auto"/>
              <w:bottom w:val="single" w:sz="4" w:space="0" w:color="auto"/>
              <w:right w:val="single" w:sz="4" w:space="0" w:color="auto"/>
            </w:tcBorders>
          </w:tcPr>
          <w:p w14:paraId="6BDD682D" w14:textId="77777777" w:rsidR="00346A40" w:rsidRPr="00920145" w:rsidRDefault="00346A40" w:rsidP="00A23201">
            <w:pPr>
              <w:spacing w:after="120" w:line="360" w:lineRule="auto"/>
              <w:rPr>
                <w:rFonts w:ascii="Verdana" w:hAnsi="Verdana"/>
                <w:sz w:val="20"/>
                <w:szCs w:val="20"/>
              </w:rPr>
            </w:pPr>
            <w:r w:rsidRPr="00920145">
              <w:rPr>
                <w:rFonts w:ascii="Verdana" w:hAnsi="Verdana"/>
                <w:sz w:val="20"/>
                <w:szCs w:val="20"/>
              </w:rPr>
              <w:t>Czas trwania równoważenia podstawowego dla dynamicznych ograniczeń wahań kursów</w:t>
            </w:r>
          </w:p>
        </w:tc>
        <w:tc>
          <w:tcPr>
            <w:tcW w:w="4530" w:type="dxa"/>
            <w:tcBorders>
              <w:top w:val="single" w:sz="4" w:space="0" w:color="auto"/>
              <w:left w:val="single" w:sz="4" w:space="0" w:color="auto"/>
              <w:bottom w:val="single" w:sz="4" w:space="0" w:color="auto"/>
              <w:right w:val="single" w:sz="4" w:space="0" w:color="auto"/>
            </w:tcBorders>
          </w:tcPr>
          <w:p w14:paraId="27F273F8" w14:textId="77777777" w:rsidR="00346A40" w:rsidRPr="00920145" w:rsidRDefault="00346A40" w:rsidP="00A23201">
            <w:pPr>
              <w:spacing w:after="120" w:line="360" w:lineRule="auto"/>
              <w:rPr>
                <w:rFonts w:ascii="Verdana" w:hAnsi="Verdana"/>
                <w:sz w:val="20"/>
                <w:szCs w:val="20"/>
              </w:rPr>
            </w:pPr>
            <w:r w:rsidRPr="00920145">
              <w:rPr>
                <w:rFonts w:ascii="Verdana" w:hAnsi="Verdana"/>
                <w:sz w:val="20"/>
                <w:szCs w:val="20"/>
              </w:rPr>
              <w:t>60 sekund</w:t>
            </w:r>
          </w:p>
        </w:tc>
      </w:tr>
      <w:tr w:rsidR="00346A40" w:rsidRPr="00920145" w14:paraId="39128F81" w14:textId="77777777" w:rsidTr="002D5BBE">
        <w:tc>
          <w:tcPr>
            <w:tcW w:w="3402" w:type="dxa"/>
            <w:tcBorders>
              <w:top w:val="single" w:sz="4" w:space="0" w:color="auto"/>
              <w:left w:val="single" w:sz="4" w:space="0" w:color="auto"/>
              <w:bottom w:val="single" w:sz="4" w:space="0" w:color="auto"/>
              <w:right w:val="single" w:sz="4" w:space="0" w:color="auto"/>
            </w:tcBorders>
          </w:tcPr>
          <w:p w14:paraId="10959592" w14:textId="77777777" w:rsidR="00346A40" w:rsidRPr="00920145" w:rsidRDefault="00346A40" w:rsidP="00A23201">
            <w:pPr>
              <w:spacing w:after="120" w:line="360" w:lineRule="auto"/>
              <w:rPr>
                <w:rFonts w:ascii="Verdana" w:hAnsi="Verdana"/>
                <w:sz w:val="20"/>
                <w:szCs w:val="20"/>
              </w:rPr>
            </w:pPr>
            <w:r w:rsidRPr="00920145">
              <w:rPr>
                <w:rFonts w:ascii="Verdana" w:hAnsi="Verdana"/>
                <w:sz w:val="20"/>
                <w:szCs w:val="20"/>
              </w:rPr>
              <w:t>Współczynnik rozszerzenia dla równoważenia w fazie aukcji otwarcia</w:t>
            </w:r>
          </w:p>
        </w:tc>
        <w:tc>
          <w:tcPr>
            <w:tcW w:w="4530" w:type="dxa"/>
            <w:tcBorders>
              <w:top w:val="single" w:sz="4" w:space="0" w:color="auto"/>
              <w:left w:val="single" w:sz="4" w:space="0" w:color="auto"/>
              <w:bottom w:val="single" w:sz="4" w:space="0" w:color="auto"/>
              <w:right w:val="single" w:sz="4" w:space="0" w:color="auto"/>
            </w:tcBorders>
          </w:tcPr>
          <w:p w14:paraId="5597BBF5" w14:textId="77777777" w:rsidR="00346A40" w:rsidRPr="00920145" w:rsidRDefault="00346A40" w:rsidP="00A23201">
            <w:pPr>
              <w:spacing w:after="120" w:line="360" w:lineRule="auto"/>
              <w:rPr>
                <w:rFonts w:ascii="Verdana" w:hAnsi="Verdana"/>
                <w:sz w:val="20"/>
                <w:szCs w:val="20"/>
              </w:rPr>
            </w:pPr>
            <w:r w:rsidRPr="00920145">
              <w:rPr>
                <w:rFonts w:ascii="Verdana" w:hAnsi="Verdana"/>
                <w:sz w:val="20"/>
                <w:szCs w:val="20"/>
              </w:rPr>
              <w:t>3,0</w:t>
            </w:r>
          </w:p>
        </w:tc>
      </w:tr>
      <w:tr w:rsidR="00346A40" w:rsidRPr="00920145" w14:paraId="17BFF533" w14:textId="77777777" w:rsidTr="002D5BBE">
        <w:tc>
          <w:tcPr>
            <w:tcW w:w="3402" w:type="dxa"/>
            <w:tcBorders>
              <w:top w:val="single" w:sz="4" w:space="0" w:color="auto"/>
              <w:left w:val="single" w:sz="4" w:space="0" w:color="auto"/>
              <w:bottom w:val="single" w:sz="4" w:space="0" w:color="auto"/>
              <w:right w:val="single" w:sz="4" w:space="0" w:color="auto"/>
            </w:tcBorders>
          </w:tcPr>
          <w:p w14:paraId="1818181D" w14:textId="77777777" w:rsidR="00346A40" w:rsidRPr="00920145" w:rsidRDefault="00346A40" w:rsidP="00A23201">
            <w:pPr>
              <w:spacing w:after="120" w:line="360" w:lineRule="auto"/>
              <w:rPr>
                <w:rFonts w:ascii="Verdana" w:hAnsi="Verdana"/>
                <w:sz w:val="20"/>
                <w:szCs w:val="20"/>
              </w:rPr>
            </w:pPr>
            <w:r w:rsidRPr="00920145">
              <w:rPr>
                <w:rFonts w:ascii="Verdana" w:hAnsi="Verdana"/>
                <w:sz w:val="20"/>
                <w:szCs w:val="20"/>
              </w:rPr>
              <w:t>Współczynnik rozszerzenia dla równoważenia w fazach innych niż faza aukcji otwarcia</w:t>
            </w:r>
          </w:p>
        </w:tc>
        <w:tc>
          <w:tcPr>
            <w:tcW w:w="4530" w:type="dxa"/>
            <w:tcBorders>
              <w:top w:val="single" w:sz="4" w:space="0" w:color="auto"/>
              <w:left w:val="single" w:sz="4" w:space="0" w:color="auto"/>
              <w:bottom w:val="single" w:sz="4" w:space="0" w:color="auto"/>
              <w:right w:val="single" w:sz="4" w:space="0" w:color="auto"/>
            </w:tcBorders>
          </w:tcPr>
          <w:p w14:paraId="6F61D89D" w14:textId="77777777" w:rsidR="00346A40" w:rsidRPr="00920145" w:rsidRDefault="00346A40" w:rsidP="00A23201">
            <w:pPr>
              <w:spacing w:after="120" w:line="360" w:lineRule="auto"/>
              <w:rPr>
                <w:rFonts w:ascii="Verdana" w:hAnsi="Verdana"/>
                <w:sz w:val="20"/>
                <w:szCs w:val="20"/>
              </w:rPr>
            </w:pPr>
            <w:r w:rsidRPr="00920145">
              <w:rPr>
                <w:rFonts w:ascii="Verdana" w:hAnsi="Verdana"/>
                <w:sz w:val="20"/>
                <w:szCs w:val="20"/>
              </w:rPr>
              <w:t>2,0</w:t>
            </w:r>
          </w:p>
        </w:tc>
      </w:tr>
      <w:tr w:rsidR="00346A40" w:rsidRPr="00920145" w14:paraId="3BF04E83" w14:textId="77777777" w:rsidTr="002D5BBE">
        <w:tc>
          <w:tcPr>
            <w:tcW w:w="3402" w:type="dxa"/>
            <w:tcBorders>
              <w:top w:val="single" w:sz="4" w:space="0" w:color="auto"/>
              <w:left w:val="single" w:sz="4" w:space="0" w:color="auto"/>
              <w:bottom w:val="single" w:sz="4" w:space="0" w:color="auto"/>
              <w:right w:val="single" w:sz="4" w:space="0" w:color="auto"/>
            </w:tcBorders>
          </w:tcPr>
          <w:p w14:paraId="3A2E6A3D" w14:textId="77777777" w:rsidR="00346A40" w:rsidRPr="00920145" w:rsidRDefault="00346A40" w:rsidP="00A23201">
            <w:pPr>
              <w:spacing w:after="120" w:line="360" w:lineRule="auto"/>
              <w:rPr>
                <w:rFonts w:ascii="Verdana" w:hAnsi="Verdana"/>
                <w:sz w:val="20"/>
                <w:szCs w:val="20"/>
              </w:rPr>
            </w:pPr>
            <w:r w:rsidRPr="00920145">
              <w:rPr>
                <w:rFonts w:ascii="Verdana" w:hAnsi="Verdana"/>
                <w:sz w:val="20"/>
                <w:szCs w:val="20"/>
              </w:rPr>
              <w:t>Współczynnik maksymalnej liczby zmian netto dynamicznych ograniczeń wahań kursów</w:t>
            </w:r>
          </w:p>
        </w:tc>
        <w:tc>
          <w:tcPr>
            <w:tcW w:w="4530" w:type="dxa"/>
            <w:tcBorders>
              <w:top w:val="single" w:sz="4" w:space="0" w:color="auto"/>
              <w:left w:val="single" w:sz="4" w:space="0" w:color="auto"/>
              <w:bottom w:val="single" w:sz="4" w:space="0" w:color="auto"/>
              <w:right w:val="single" w:sz="4" w:space="0" w:color="auto"/>
            </w:tcBorders>
          </w:tcPr>
          <w:p w14:paraId="21AE6F4B" w14:textId="77777777" w:rsidR="00346A40" w:rsidRPr="00920145" w:rsidRDefault="00346A40" w:rsidP="00A23201">
            <w:pPr>
              <w:spacing w:after="120" w:line="360" w:lineRule="auto"/>
              <w:rPr>
                <w:rFonts w:ascii="Verdana" w:hAnsi="Verdana"/>
                <w:sz w:val="20"/>
                <w:szCs w:val="20"/>
              </w:rPr>
            </w:pPr>
            <w:r w:rsidRPr="00920145">
              <w:rPr>
                <w:rFonts w:ascii="Verdana" w:hAnsi="Verdana"/>
                <w:sz w:val="20"/>
                <w:szCs w:val="20"/>
              </w:rPr>
              <w:t>20</w:t>
            </w:r>
          </w:p>
        </w:tc>
      </w:tr>
    </w:tbl>
    <w:p w14:paraId="60BCEB9F" w14:textId="77777777" w:rsidR="00346A40" w:rsidRPr="00920145" w:rsidRDefault="00346A40" w:rsidP="00A23201">
      <w:pPr>
        <w:spacing w:after="120" w:line="360" w:lineRule="auto"/>
        <w:ind w:left="567"/>
        <w:jc w:val="both"/>
        <w:rPr>
          <w:rFonts w:ascii="Verdana" w:hAnsi="Verdana"/>
          <w:sz w:val="20"/>
          <w:szCs w:val="18"/>
        </w:rPr>
      </w:pPr>
    </w:p>
    <w:p w14:paraId="339F024B" w14:textId="3F0CD969" w:rsidR="00935AF8" w:rsidRPr="00920145" w:rsidRDefault="00CC1947" w:rsidP="008362AE">
      <w:pPr>
        <w:pStyle w:val="Nagwek3"/>
      </w:pPr>
      <w:r w:rsidRPr="00920145">
        <w:t>§ 82a otrzymuje brzmienie:</w:t>
      </w:r>
    </w:p>
    <w:p w14:paraId="1667BA2A" w14:textId="1824049E" w:rsidR="00CC1947" w:rsidRPr="00920145" w:rsidRDefault="00CC1947" w:rsidP="00A23201">
      <w:pPr>
        <w:pStyle w:val="Akapitzlist"/>
        <w:tabs>
          <w:tab w:val="left" w:pos="851"/>
        </w:tabs>
        <w:spacing w:after="120" w:line="360" w:lineRule="auto"/>
        <w:ind w:left="567"/>
        <w:contextualSpacing w:val="0"/>
        <w:jc w:val="both"/>
        <w:rPr>
          <w:rFonts w:ascii="Verdana" w:hAnsi="Verdana"/>
          <w:sz w:val="20"/>
          <w:szCs w:val="18"/>
        </w:rPr>
      </w:pPr>
      <w:r w:rsidRPr="00920145">
        <w:rPr>
          <w:rFonts w:ascii="Verdana" w:hAnsi="Verdana"/>
          <w:sz w:val="20"/>
          <w:szCs w:val="18"/>
        </w:rPr>
        <w:t>„§ 82a</w:t>
      </w:r>
    </w:p>
    <w:p w14:paraId="217889C1" w14:textId="45E54182" w:rsidR="00CC1947" w:rsidRPr="00920145" w:rsidRDefault="00CC1947" w:rsidP="00A23201">
      <w:pPr>
        <w:tabs>
          <w:tab w:val="left" w:pos="567"/>
        </w:tabs>
        <w:spacing w:after="120" w:line="360" w:lineRule="auto"/>
        <w:ind w:left="567"/>
        <w:jc w:val="both"/>
        <w:rPr>
          <w:rFonts w:ascii="Verdana" w:hAnsi="Verdana"/>
          <w:sz w:val="20"/>
          <w:szCs w:val="18"/>
        </w:rPr>
      </w:pPr>
      <w:r w:rsidRPr="00920145">
        <w:rPr>
          <w:rFonts w:ascii="Verdana" w:hAnsi="Verdana"/>
          <w:sz w:val="20"/>
          <w:szCs w:val="18"/>
        </w:rPr>
        <w:t xml:space="preserve">Szczegółowe warunki obrotu instrumentami typu ETC i ETN w systemie notowań ciągłych: </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7"/>
        <w:gridCol w:w="4745"/>
      </w:tblGrid>
      <w:tr w:rsidR="00CC1947" w:rsidRPr="00920145" w14:paraId="33C0F4C3" w14:textId="77777777" w:rsidTr="00CC1947">
        <w:tc>
          <w:tcPr>
            <w:tcW w:w="3187" w:type="dxa"/>
            <w:tcBorders>
              <w:top w:val="single" w:sz="4" w:space="0" w:color="auto"/>
              <w:left w:val="single" w:sz="4" w:space="0" w:color="auto"/>
              <w:bottom w:val="single" w:sz="4" w:space="0" w:color="auto"/>
              <w:right w:val="single" w:sz="4" w:space="0" w:color="auto"/>
            </w:tcBorders>
          </w:tcPr>
          <w:p w14:paraId="07F99C15" w14:textId="77777777" w:rsidR="00CC1947" w:rsidRPr="00920145" w:rsidRDefault="00CC1947" w:rsidP="00A23201">
            <w:pPr>
              <w:spacing w:after="120" w:line="360" w:lineRule="auto"/>
              <w:rPr>
                <w:rFonts w:ascii="Verdana" w:hAnsi="Verdana"/>
                <w:sz w:val="20"/>
                <w:szCs w:val="18"/>
              </w:rPr>
            </w:pPr>
            <w:r w:rsidRPr="00920145">
              <w:rPr>
                <w:rFonts w:ascii="Verdana" w:hAnsi="Verdana"/>
                <w:sz w:val="20"/>
                <w:szCs w:val="18"/>
              </w:rPr>
              <w:t>Jednostka transakcyjna</w:t>
            </w:r>
          </w:p>
        </w:tc>
        <w:tc>
          <w:tcPr>
            <w:tcW w:w="4745" w:type="dxa"/>
            <w:tcBorders>
              <w:top w:val="single" w:sz="4" w:space="0" w:color="auto"/>
              <w:left w:val="single" w:sz="4" w:space="0" w:color="auto"/>
              <w:bottom w:val="single" w:sz="4" w:space="0" w:color="auto"/>
              <w:right w:val="single" w:sz="4" w:space="0" w:color="auto"/>
            </w:tcBorders>
          </w:tcPr>
          <w:p w14:paraId="3952ACEE" w14:textId="32C9D722" w:rsidR="00CC1947" w:rsidRPr="00920145" w:rsidRDefault="00CC1947" w:rsidP="00F0275A">
            <w:pPr>
              <w:spacing w:after="120" w:line="360" w:lineRule="auto"/>
              <w:rPr>
                <w:rFonts w:ascii="Verdana" w:hAnsi="Verdana"/>
                <w:sz w:val="20"/>
                <w:szCs w:val="18"/>
              </w:rPr>
            </w:pPr>
            <w:r w:rsidRPr="00920145">
              <w:rPr>
                <w:rFonts w:ascii="Verdana" w:hAnsi="Verdana"/>
                <w:sz w:val="20"/>
                <w:szCs w:val="18"/>
              </w:rPr>
              <w:t>jeden instrument, chyba że Zarząd Giełdy określi inną jednostkę transakcyjną</w:t>
            </w:r>
          </w:p>
        </w:tc>
      </w:tr>
      <w:tr w:rsidR="007164ED" w:rsidRPr="00920145" w14:paraId="7563019A" w14:textId="77777777" w:rsidTr="00CC1947">
        <w:tc>
          <w:tcPr>
            <w:tcW w:w="3187" w:type="dxa"/>
            <w:tcBorders>
              <w:top w:val="single" w:sz="4" w:space="0" w:color="auto"/>
              <w:left w:val="single" w:sz="4" w:space="0" w:color="auto"/>
              <w:bottom w:val="single" w:sz="4" w:space="0" w:color="auto"/>
              <w:right w:val="single" w:sz="4" w:space="0" w:color="auto"/>
            </w:tcBorders>
          </w:tcPr>
          <w:p w14:paraId="158B956F" w14:textId="0EAA64E6" w:rsidR="007164ED" w:rsidRPr="00920145" w:rsidDel="007164ED" w:rsidRDefault="007164ED" w:rsidP="007164ED">
            <w:pPr>
              <w:spacing w:after="120" w:line="360" w:lineRule="auto"/>
              <w:rPr>
                <w:rFonts w:ascii="Verdana" w:hAnsi="Verdana"/>
                <w:sz w:val="20"/>
                <w:szCs w:val="18"/>
              </w:rPr>
            </w:pPr>
            <w:r w:rsidRPr="00920145">
              <w:rPr>
                <w:rFonts w:ascii="Verdana" w:hAnsi="Verdana"/>
                <w:sz w:val="20"/>
                <w:szCs w:val="20"/>
              </w:rPr>
              <w:t>Losowy czas otwarcia</w:t>
            </w:r>
            <w:r w:rsidRPr="00920145">
              <w:rPr>
                <w:rFonts w:ascii="Verdana" w:hAnsi="Verdana"/>
                <w:sz w:val="20"/>
                <w:szCs w:val="20"/>
              </w:rPr>
              <w:br/>
              <w:t>dla fazy aukcji otwarcia</w:t>
            </w:r>
          </w:p>
        </w:tc>
        <w:tc>
          <w:tcPr>
            <w:tcW w:w="4745" w:type="dxa"/>
            <w:tcBorders>
              <w:top w:val="single" w:sz="4" w:space="0" w:color="auto"/>
              <w:left w:val="single" w:sz="4" w:space="0" w:color="auto"/>
              <w:bottom w:val="single" w:sz="4" w:space="0" w:color="auto"/>
              <w:right w:val="single" w:sz="4" w:space="0" w:color="auto"/>
            </w:tcBorders>
          </w:tcPr>
          <w:p w14:paraId="26F08D21" w14:textId="7309229E" w:rsidR="007164ED" w:rsidRPr="00920145" w:rsidDel="007164ED" w:rsidRDefault="002F0779" w:rsidP="007164ED">
            <w:pPr>
              <w:spacing w:after="120" w:line="360" w:lineRule="auto"/>
              <w:rPr>
                <w:rFonts w:ascii="Verdana" w:hAnsi="Verdana"/>
                <w:sz w:val="20"/>
                <w:szCs w:val="18"/>
              </w:rPr>
            </w:pPr>
            <w:r w:rsidRPr="00920145">
              <w:rPr>
                <w:rFonts w:ascii="Verdana" w:hAnsi="Verdana"/>
                <w:sz w:val="20"/>
                <w:szCs w:val="20"/>
              </w:rPr>
              <w:t>(</w:t>
            </w:r>
            <w:r w:rsidR="007164ED" w:rsidRPr="00920145">
              <w:rPr>
                <w:rFonts w:ascii="Verdana" w:hAnsi="Verdana"/>
                <w:sz w:val="20"/>
                <w:szCs w:val="20"/>
              </w:rPr>
              <w:t>+</w:t>
            </w:r>
            <w:r w:rsidRPr="00920145">
              <w:rPr>
                <w:rFonts w:ascii="Verdana" w:hAnsi="Verdana"/>
                <w:sz w:val="20"/>
                <w:szCs w:val="20"/>
              </w:rPr>
              <w:t>)</w:t>
            </w:r>
            <w:r w:rsidR="007164ED" w:rsidRPr="00920145">
              <w:rPr>
                <w:rFonts w:ascii="Verdana" w:hAnsi="Verdana"/>
                <w:sz w:val="20"/>
                <w:szCs w:val="20"/>
              </w:rPr>
              <w:t xml:space="preserve"> 0-30 sekund</w:t>
            </w:r>
          </w:p>
        </w:tc>
      </w:tr>
      <w:tr w:rsidR="007164ED" w:rsidRPr="00920145" w14:paraId="24B9BF78" w14:textId="77777777" w:rsidTr="00CC1947">
        <w:tc>
          <w:tcPr>
            <w:tcW w:w="3187" w:type="dxa"/>
            <w:tcBorders>
              <w:top w:val="single" w:sz="4" w:space="0" w:color="auto"/>
              <w:left w:val="single" w:sz="4" w:space="0" w:color="auto"/>
              <w:bottom w:val="single" w:sz="4" w:space="0" w:color="auto"/>
              <w:right w:val="single" w:sz="4" w:space="0" w:color="auto"/>
            </w:tcBorders>
          </w:tcPr>
          <w:p w14:paraId="28941209" w14:textId="695FAE5B" w:rsidR="007164ED" w:rsidRPr="00920145" w:rsidDel="007164ED" w:rsidRDefault="007164ED" w:rsidP="007164ED">
            <w:pPr>
              <w:spacing w:after="120" w:line="360" w:lineRule="auto"/>
              <w:rPr>
                <w:rFonts w:ascii="Verdana" w:hAnsi="Verdana"/>
                <w:sz w:val="20"/>
                <w:szCs w:val="18"/>
              </w:rPr>
            </w:pPr>
            <w:r w:rsidRPr="00920145">
              <w:rPr>
                <w:rFonts w:ascii="Verdana" w:hAnsi="Verdana"/>
                <w:sz w:val="20"/>
                <w:szCs w:val="20"/>
              </w:rPr>
              <w:lastRenderedPageBreak/>
              <w:t>Losowy czas otwarcia</w:t>
            </w:r>
            <w:r w:rsidRPr="00920145">
              <w:rPr>
                <w:rFonts w:ascii="Verdana" w:hAnsi="Verdana"/>
                <w:sz w:val="20"/>
                <w:szCs w:val="20"/>
              </w:rPr>
              <w:br/>
              <w:t>dla fazy aukcji zamknięcia</w:t>
            </w:r>
          </w:p>
        </w:tc>
        <w:tc>
          <w:tcPr>
            <w:tcW w:w="4745" w:type="dxa"/>
            <w:tcBorders>
              <w:top w:val="single" w:sz="4" w:space="0" w:color="auto"/>
              <w:left w:val="single" w:sz="4" w:space="0" w:color="auto"/>
              <w:bottom w:val="single" w:sz="4" w:space="0" w:color="auto"/>
              <w:right w:val="single" w:sz="4" w:space="0" w:color="auto"/>
            </w:tcBorders>
          </w:tcPr>
          <w:p w14:paraId="5384B251" w14:textId="5AEDEB1C" w:rsidR="007164ED" w:rsidRPr="00920145" w:rsidDel="007164ED" w:rsidRDefault="002F0779" w:rsidP="007164ED">
            <w:pPr>
              <w:spacing w:after="120" w:line="360" w:lineRule="auto"/>
              <w:rPr>
                <w:rFonts w:ascii="Verdana" w:hAnsi="Verdana"/>
                <w:sz w:val="20"/>
                <w:szCs w:val="18"/>
              </w:rPr>
            </w:pPr>
            <w:r w:rsidRPr="00920145">
              <w:rPr>
                <w:rFonts w:ascii="Verdana" w:hAnsi="Verdana"/>
                <w:sz w:val="20"/>
                <w:szCs w:val="20"/>
              </w:rPr>
              <w:t>(</w:t>
            </w:r>
            <w:r w:rsidR="007164ED" w:rsidRPr="00920145">
              <w:rPr>
                <w:rFonts w:ascii="Verdana" w:hAnsi="Verdana"/>
                <w:sz w:val="20"/>
                <w:szCs w:val="20"/>
              </w:rPr>
              <w:t>-</w:t>
            </w:r>
            <w:r w:rsidRPr="00920145">
              <w:rPr>
                <w:rFonts w:ascii="Verdana" w:hAnsi="Verdana"/>
                <w:sz w:val="20"/>
                <w:szCs w:val="20"/>
              </w:rPr>
              <w:t>)</w:t>
            </w:r>
            <w:r w:rsidR="007164ED" w:rsidRPr="00920145">
              <w:rPr>
                <w:rFonts w:ascii="Verdana" w:hAnsi="Verdana"/>
                <w:sz w:val="20"/>
                <w:szCs w:val="20"/>
              </w:rPr>
              <w:t xml:space="preserve"> 0-30 sekund</w:t>
            </w:r>
          </w:p>
        </w:tc>
      </w:tr>
      <w:tr w:rsidR="00CC1947" w:rsidRPr="00920145" w14:paraId="6EEB6325" w14:textId="77777777" w:rsidTr="00CC1947">
        <w:tc>
          <w:tcPr>
            <w:tcW w:w="3187" w:type="dxa"/>
          </w:tcPr>
          <w:p w14:paraId="7362F9BC" w14:textId="77777777" w:rsidR="00CC1947" w:rsidRPr="00920145" w:rsidRDefault="00CC1947" w:rsidP="00A23201">
            <w:pPr>
              <w:spacing w:after="120" w:line="360" w:lineRule="auto"/>
              <w:rPr>
                <w:rFonts w:ascii="Verdana" w:hAnsi="Verdana"/>
                <w:sz w:val="20"/>
                <w:szCs w:val="18"/>
              </w:rPr>
            </w:pPr>
            <w:r w:rsidRPr="00920145">
              <w:rPr>
                <w:rFonts w:ascii="Verdana" w:hAnsi="Verdana"/>
                <w:sz w:val="20"/>
                <w:szCs w:val="18"/>
              </w:rPr>
              <w:t>Wysokość statycznych ograniczeń wahań kursów</w:t>
            </w:r>
          </w:p>
        </w:tc>
        <w:tc>
          <w:tcPr>
            <w:tcW w:w="4745" w:type="dxa"/>
          </w:tcPr>
          <w:p w14:paraId="371388B3" w14:textId="77777777" w:rsidR="00CC1947" w:rsidRPr="00920145" w:rsidRDefault="00CC1947" w:rsidP="00F8716B">
            <w:pPr>
              <w:numPr>
                <w:ilvl w:val="0"/>
                <w:numId w:val="58"/>
              </w:numPr>
              <w:spacing w:after="120" w:line="360" w:lineRule="auto"/>
              <w:jc w:val="both"/>
              <w:rPr>
                <w:rFonts w:ascii="Verdana" w:hAnsi="Verdana"/>
                <w:sz w:val="20"/>
                <w:szCs w:val="18"/>
              </w:rPr>
            </w:pPr>
            <w:r w:rsidRPr="00920145">
              <w:rPr>
                <w:rFonts w:ascii="Verdana" w:hAnsi="Verdana"/>
                <w:sz w:val="20"/>
                <w:szCs w:val="18"/>
              </w:rPr>
              <w:t xml:space="preserve">30,00% od kursu odniesienia - przy kursie odniesienia 0,0100 - 0,0999 jednostki waluty notowania    </w:t>
            </w:r>
          </w:p>
          <w:p w14:paraId="03701386" w14:textId="77777777" w:rsidR="00CC1947" w:rsidRPr="00920145" w:rsidRDefault="00CC1947" w:rsidP="00F8716B">
            <w:pPr>
              <w:numPr>
                <w:ilvl w:val="0"/>
                <w:numId w:val="58"/>
              </w:numPr>
              <w:spacing w:after="120" w:line="360" w:lineRule="auto"/>
              <w:jc w:val="both"/>
              <w:rPr>
                <w:rFonts w:ascii="Verdana" w:hAnsi="Verdana"/>
                <w:sz w:val="20"/>
                <w:szCs w:val="18"/>
              </w:rPr>
            </w:pPr>
            <w:r w:rsidRPr="00920145">
              <w:rPr>
                <w:rFonts w:ascii="Verdana" w:hAnsi="Verdana"/>
                <w:sz w:val="20"/>
                <w:szCs w:val="18"/>
              </w:rPr>
              <w:t xml:space="preserve">15,00% od kursu odniesienia - przy kursie odniesienia 0,1000 - 0,1999 jednostki waluty notowania   </w:t>
            </w:r>
          </w:p>
          <w:p w14:paraId="7DA99CA5" w14:textId="77777777" w:rsidR="00CC1947" w:rsidRPr="00920145" w:rsidRDefault="00CC1947" w:rsidP="00F8716B">
            <w:pPr>
              <w:numPr>
                <w:ilvl w:val="0"/>
                <w:numId w:val="58"/>
              </w:numPr>
              <w:spacing w:after="120" w:line="360" w:lineRule="auto"/>
              <w:jc w:val="both"/>
              <w:rPr>
                <w:rFonts w:ascii="Verdana" w:hAnsi="Verdana"/>
                <w:sz w:val="20"/>
                <w:szCs w:val="18"/>
              </w:rPr>
            </w:pPr>
            <w:r w:rsidRPr="00920145">
              <w:rPr>
                <w:rFonts w:ascii="Verdana" w:hAnsi="Verdana"/>
                <w:sz w:val="20"/>
                <w:szCs w:val="18"/>
              </w:rPr>
              <w:t xml:space="preserve">10,00% od kursu odniesienia - przy kursie odniesienia 0,2000 jednostki waluty notowania lub wyższym </w:t>
            </w:r>
          </w:p>
        </w:tc>
      </w:tr>
      <w:tr w:rsidR="00CC1947" w:rsidRPr="00920145" w14:paraId="1C2CA93E" w14:textId="77777777" w:rsidTr="00CC1947">
        <w:tc>
          <w:tcPr>
            <w:tcW w:w="3187" w:type="dxa"/>
          </w:tcPr>
          <w:p w14:paraId="5747705C" w14:textId="77777777" w:rsidR="00CC1947" w:rsidRPr="00920145" w:rsidRDefault="00CC1947" w:rsidP="00A23201">
            <w:pPr>
              <w:spacing w:after="120" w:line="360" w:lineRule="auto"/>
              <w:rPr>
                <w:rFonts w:ascii="Verdana" w:hAnsi="Verdana"/>
                <w:sz w:val="20"/>
                <w:szCs w:val="18"/>
              </w:rPr>
            </w:pPr>
            <w:r w:rsidRPr="00920145">
              <w:rPr>
                <w:rFonts w:ascii="Verdana" w:hAnsi="Verdana"/>
                <w:sz w:val="20"/>
                <w:szCs w:val="18"/>
              </w:rPr>
              <w:t>Wysokość dynamicznych ograniczeń wahań kursów</w:t>
            </w:r>
          </w:p>
        </w:tc>
        <w:tc>
          <w:tcPr>
            <w:tcW w:w="4745" w:type="dxa"/>
          </w:tcPr>
          <w:p w14:paraId="6AAE653E" w14:textId="77777777" w:rsidR="00CC1947" w:rsidRPr="00920145" w:rsidRDefault="00CC1947" w:rsidP="00F8716B">
            <w:pPr>
              <w:numPr>
                <w:ilvl w:val="0"/>
                <w:numId w:val="59"/>
              </w:numPr>
              <w:spacing w:after="120" w:line="360" w:lineRule="auto"/>
              <w:jc w:val="both"/>
              <w:rPr>
                <w:rFonts w:ascii="Verdana" w:hAnsi="Verdana"/>
                <w:sz w:val="20"/>
                <w:szCs w:val="18"/>
              </w:rPr>
            </w:pPr>
            <w:r w:rsidRPr="00920145">
              <w:rPr>
                <w:rFonts w:ascii="Verdana" w:hAnsi="Verdana"/>
                <w:sz w:val="20"/>
                <w:szCs w:val="18"/>
              </w:rPr>
              <w:t xml:space="preserve">6,00% od kursu odniesienia - przy kursie odniesienia 0,0100 - 0,1999 jednostki waluty notowania                              </w:t>
            </w:r>
          </w:p>
          <w:p w14:paraId="3F6EE3F9" w14:textId="77777777" w:rsidR="00CC1947" w:rsidRPr="00920145" w:rsidRDefault="00CC1947" w:rsidP="00F8716B">
            <w:pPr>
              <w:numPr>
                <w:ilvl w:val="0"/>
                <w:numId w:val="59"/>
              </w:numPr>
              <w:spacing w:after="120" w:line="360" w:lineRule="auto"/>
              <w:jc w:val="both"/>
              <w:rPr>
                <w:rFonts w:ascii="Verdana" w:hAnsi="Verdana"/>
                <w:sz w:val="20"/>
                <w:szCs w:val="18"/>
              </w:rPr>
            </w:pPr>
            <w:r w:rsidRPr="00920145">
              <w:rPr>
                <w:rFonts w:ascii="Verdana" w:hAnsi="Verdana"/>
                <w:sz w:val="20"/>
                <w:szCs w:val="18"/>
              </w:rPr>
              <w:t xml:space="preserve">3,00% od kursu odniesienia - przy kursie odniesienia 0,2000 jednostki waluty notowania lub wyższym                                             </w:t>
            </w:r>
          </w:p>
        </w:tc>
      </w:tr>
      <w:tr w:rsidR="00CC1947" w:rsidRPr="00920145" w14:paraId="653E1BCC" w14:textId="77777777" w:rsidTr="00CC1947">
        <w:tc>
          <w:tcPr>
            <w:tcW w:w="3187" w:type="dxa"/>
          </w:tcPr>
          <w:p w14:paraId="677F1EA8" w14:textId="77777777" w:rsidR="00CC1947" w:rsidRPr="00920145" w:rsidRDefault="00CC1947" w:rsidP="00A23201">
            <w:pPr>
              <w:spacing w:after="120" w:line="360" w:lineRule="auto"/>
              <w:rPr>
                <w:rFonts w:ascii="Verdana" w:hAnsi="Verdana"/>
                <w:sz w:val="20"/>
                <w:szCs w:val="18"/>
              </w:rPr>
            </w:pPr>
            <w:r w:rsidRPr="00920145">
              <w:rPr>
                <w:rFonts w:ascii="Verdana" w:hAnsi="Verdana"/>
                <w:sz w:val="20"/>
                <w:szCs w:val="18"/>
              </w:rPr>
              <w:t xml:space="preserve">Maksymalne wartości dla limitów cen w zleceniu maklerskim    </w:t>
            </w:r>
          </w:p>
        </w:tc>
        <w:tc>
          <w:tcPr>
            <w:tcW w:w="4745" w:type="dxa"/>
          </w:tcPr>
          <w:p w14:paraId="1C9A4462" w14:textId="77777777" w:rsidR="00CC1947" w:rsidRPr="00920145" w:rsidRDefault="00CC1947" w:rsidP="00A23201">
            <w:pPr>
              <w:spacing w:after="120" w:line="360" w:lineRule="auto"/>
              <w:rPr>
                <w:rFonts w:ascii="Verdana" w:hAnsi="Verdana"/>
                <w:sz w:val="20"/>
                <w:szCs w:val="18"/>
              </w:rPr>
            </w:pPr>
            <w:r w:rsidRPr="00920145">
              <w:rPr>
                <w:rFonts w:ascii="Verdana" w:hAnsi="Verdana"/>
                <w:sz w:val="20"/>
                <w:szCs w:val="18"/>
              </w:rPr>
              <w:t>50% względem kursu odniesienia dla statycznych ograniczeń wahań kursu</w:t>
            </w:r>
          </w:p>
        </w:tc>
      </w:tr>
      <w:tr w:rsidR="00CC1947" w:rsidRPr="00920145" w14:paraId="31633246" w14:textId="77777777" w:rsidTr="00CC1947">
        <w:tc>
          <w:tcPr>
            <w:tcW w:w="3187" w:type="dxa"/>
          </w:tcPr>
          <w:p w14:paraId="1ABD43CB" w14:textId="77777777" w:rsidR="00CC1947" w:rsidRPr="00920145" w:rsidRDefault="00CC1947" w:rsidP="00A23201">
            <w:pPr>
              <w:spacing w:after="120" w:line="360" w:lineRule="auto"/>
              <w:rPr>
                <w:rFonts w:ascii="Verdana" w:hAnsi="Verdana"/>
                <w:sz w:val="20"/>
                <w:szCs w:val="18"/>
              </w:rPr>
            </w:pPr>
            <w:r w:rsidRPr="00920145">
              <w:rPr>
                <w:rFonts w:ascii="Verdana" w:hAnsi="Verdana"/>
                <w:sz w:val="20"/>
                <w:szCs w:val="18"/>
              </w:rPr>
              <w:t xml:space="preserve">Maksymalna wartość zlecenia maklerskiego     </w:t>
            </w:r>
          </w:p>
        </w:tc>
        <w:tc>
          <w:tcPr>
            <w:tcW w:w="4745" w:type="dxa"/>
          </w:tcPr>
          <w:p w14:paraId="69DE7EB0" w14:textId="32BE02F1" w:rsidR="00CC1947" w:rsidRPr="00920145" w:rsidRDefault="00CC1947" w:rsidP="00A23201">
            <w:pPr>
              <w:spacing w:after="120" w:line="360" w:lineRule="auto"/>
              <w:rPr>
                <w:rFonts w:ascii="Verdana" w:hAnsi="Verdana"/>
                <w:sz w:val="20"/>
                <w:szCs w:val="18"/>
              </w:rPr>
            </w:pPr>
            <w:r w:rsidRPr="00920145">
              <w:rPr>
                <w:rFonts w:ascii="Verdana" w:hAnsi="Verdana"/>
                <w:sz w:val="20"/>
                <w:szCs w:val="18"/>
              </w:rPr>
              <w:t xml:space="preserve">10.000.000 jednostek waluty notowania   </w:t>
            </w:r>
          </w:p>
          <w:p w14:paraId="17AF0BC5" w14:textId="77777777" w:rsidR="00CC1947" w:rsidRPr="00920145" w:rsidRDefault="00CC1947" w:rsidP="00A23201">
            <w:pPr>
              <w:spacing w:after="120" w:line="360" w:lineRule="auto"/>
              <w:rPr>
                <w:rFonts w:ascii="Verdana" w:hAnsi="Verdana"/>
                <w:sz w:val="20"/>
                <w:szCs w:val="18"/>
              </w:rPr>
            </w:pPr>
          </w:p>
        </w:tc>
      </w:tr>
      <w:tr w:rsidR="00CC1947" w:rsidRPr="00920145" w14:paraId="0802CC35" w14:textId="77777777" w:rsidTr="00CC1947">
        <w:tc>
          <w:tcPr>
            <w:tcW w:w="3187" w:type="dxa"/>
            <w:tcBorders>
              <w:top w:val="single" w:sz="4" w:space="0" w:color="auto"/>
              <w:left w:val="single" w:sz="4" w:space="0" w:color="auto"/>
              <w:bottom w:val="single" w:sz="4" w:space="0" w:color="auto"/>
              <w:right w:val="single" w:sz="4" w:space="0" w:color="auto"/>
            </w:tcBorders>
          </w:tcPr>
          <w:p w14:paraId="458C79A0" w14:textId="77777777" w:rsidR="00CC1947" w:rsidRPr="00920145" w:rsidRDefault="00CC1947" w:rsidP="00A23201">
            <w:pPr>
              <w:spacing w:after="120" w:line="360" w:lineRule="auto"/>
              <w:rPr>
                <w:rFonts w:ascii="Verdana" w:hAnsi="Verdana"/>
                <w:sz w:val="20"/>
                <w:szCs w:val="18"/>
              </w:rPr>
            </w:pPr>
            <w:r w:rsidRPr="00920145">
              <w:rPr>
                <w:rFonts w:ascii="Verdana" w:hAnsi="Verdana"/>
                <w:sz w:val="20"/>
                <w:szCs w:val="18"/>
              </w:rPr>
              <w:t xml:space="preserve">Maksymalny wolumen zlecenia maklerskiego     </w:t>
            </w:r>
          </w:p>
        </w:tc>
        <w:tc>
          <w:tcPr>
            <w:tcW w:w="4745" w:type="dxa"/>
            <w:tcBorders>
              <w:top w:val="single" w:sz="4" w:space="0" w:color="auto"/>
              <w:left w:val="single" w:sz="4" w:space="0" w:color="auto"/>
              <w:bottom w:val="single" w:sz="4" w:space="0" w:color="auto"/>
              <w:right w:val="single" w:sz="4" w:space="0" w:color="auto"/>
            </w:tcBorders>
          </w:tcPr>
          <w:p w14:paraId="3922D2EE" w14:textId="33DCF707" w:rsidR="00CC1947" w:rsidRPr="00920145" w:rsidRDefault="00CC1947" w:rsidP="00A23201">
            <w:pPr>
              <w:spacing w:after="120" w:line="360" w:lineRule="auto"/>
              <w:jc w:val="both"/>
              <w:rPr>
                <w:rFonts w:ascii="Verdana" w:hAnsi="Verdana"/>
                <w:sz w:val="20"/>
                <w:szCs w:val="18"/>
              </w:rPr>
            </w:pPr>
            <w:r w:rsidRPr="00920145">
              <w:rPr>
                <w:rFonts w:ascii="Verdana" w:hAnsi="Verdana"/>
                <w:sz w:val="20"/>
                <w:szCs w:val="18"/>
              </w:rPr>
              <w:t xml:space="preserve">2% instrumentów finansowych wprowadzonych do obrotu giełdowego </w:t>
            </w:r>
            <w:r w:rsidR="00CF0805" w:rsidRPr="00920145">
              <w:rPr>
                <w:rFonts w:ascii="Verdana" w:hAnsi="Verdana"/>
                <w:sz w:val="20"/>
                <w:szCs w:val="18"/>
              </w:rPr>
              <w:br/>
            </w:r>
            <w:r w:rsidRPr="00920145">
              <w:rPr>
                <w:rFonts w:ascii="Verdana" w:hAnsi="Verdana"/>
                <w:sz w:val="20"/>
                <w:szCs w:val="18"/>
              </w:rPr>
              <w:t xml:space="preserve">i oznaczonych tym samym kodem ISIN, </w:t>
            </w:r>
            <w:r w:rsidR="00CF0805" w:rsidRPr="00920145">
              <w:rPr>
                <w:rFonts w:ascii="Verdana" w:hAnsi="Verdana"/>
                <w:sz w:val="20"/>
                <w:szCs w:val="18"/>
              </w:rPr>
              <w:br/>
            </w:r>
            <w:r w:rsidRPr="00920145">
              <w:rPr>
                <w:rFonts w:ascii="Verdana" w:hAnsi="Verdana"/>
                <w:sz w:val="20"/>
                <w:szCs w:val="18"/>
              </w:rPr>
              <w:t>a w przypadku gdy 2% tych instrumentów stanowi mniej niż 1.000.000 instrumentów – nie więcej niż 1.000.000 instrumentów</w:t>
            </w:r>
          </w:p>
        </w:tc>
      </w:tr>
      <w:tr w:rsidR="00CC1947" w:rsidRPr="00920145" w14:paraId="7885A580" w14:textId="77777777" w:rsidTr="00CC1947">
        <w:tc>
          <w:tcPr>
            <w:tcW w:w="3187" w:type="dxa"/>
            <w:tcBorders>
              <w:top w:val="single" w:sz="4" w:space="0" w:color="auto"/>
              <w:left w:val="single" w:sz="4" w:space="0" w:color="auto"/>
              <w:bottom w:val="single" w:sz="4" w:space="0" w:color="auto"/>
              <w:right w:val="single" w:sz="4" w:space="0" w:color="auto"/>
            </w:tcBorders>
          </w:tcPr>
          <w:p w14:paraId="6E60B543" w14:textId="77777777" w:rsidR="00CC1947" w:rsidRPr="00920145" w:rsidRDefault="00CC1947" w:rsidP="00A23201">
            <w:pPr>
              <w:spacing w:after="120" w:line="360" w:lineRule="auto"/>
              <w:rPr>
                <w:rFonts w:ascii="Verdana" w:hAnsi="Verdana"/>
                <w:sz w:val="20"/>
                <w:szCs w:val="18"/>
              </w:rPr>
            </w:pPr>
            <w:r w:rsidRPr="00920145">
              <w:rPr>
                <w:rFonts w:ascii="Verdana" w:hAnsi="Verdana"/>
                <w:sz w:val="20"/>
                <w:szCs w:val="18"/>
              </w:rPr>
              <w:t>Równoważenie podstawowe dla statycznych ograniczeń wahań kursów</w:t>
            </w:r>
          </w:p>
        </w:tc>
        <w:tc>
          <w:tcPr>
            <w:tcW w:w="4745" w:type="dxa"/>
            <w:tcBorders>
              <w:top w:val="single" w:sz="4" w:space="0" w:color="auto"/>
              <w:left w:val="single" w:sz="4" w:space="0" w:color="auto"/>
              <w:bottom w:val="single" w:sz="4" w:space="0" w:color="auto"/>
              <w:right w:val="single" w:sz="4" w:space="0" w:color="auto"/>
            </w:tcBorders>
          </w:tcPr>
          <w:p w14:paraId="0F16CB65" w14:textId="77777777" w:rsidR="00CC1947" w:rsidRPr="00920145" w:rsidRDefault="00CC1947" w:rsidP="00A23201">
            <w:pPr>
              <w:spacing w:after="120" w:line="360" w:lineRule="auto"/>
              <w:rPr>
                <w:rFonts w:ascii="Verdana" w:hAnsi="Verdana"/>
                <w:sz w:val="20"/>
                <w:szCs w:val="18"/>
              </w:rPr>
            </w:pPr>
            <w:r w:rsidRPr="00920145">
              <w:rPr>
                <w:rFonts w:ascii="Verdana" w:hAnsi="Verdana"/>
                <w:sz w:val="20"/>
                <w:szCs w:val="18"/>
              </w:rPr>
              <w:t>Tak</w:t>
            </w:r>
          </w:p>
        </w:tc>
      </w:tr>
      <w:tr w:rsidR="00CC1947" w:rsidRPr="00920145" w14:paraId="52C009A4" w14:textId="77777777" w:rsidTr="00CC1947">
        <w:tc>
          <w:tcPr>
            <w:tcW w:w="3187" w:type="dxa"/>
            <w:tcBorders>
              <w:top w:val="single" w:sz="4" w:space="0" w:color="auto"/>
              <w:left w:val="single" w:sz="4" w:space="0" w:color="auto"/>
              <w:bottom w:val="single" w:sz="4" w:space="0" w:color="auto"/>
              <w:right w:val="single" w:sz="4" w:space="0" w:color="auto"/>
            </w:tcBorders>
          </w:tcPr>
          <w:p w14:paraId="3A2B081A" w14:textId="77777777" w:rsidR="00CC1947" w:rsidRPr="00920145" w:rsidRDefault="00CC1947" w:rsidP="00A23201">
            <w:pPr>
              <w:spacing w:after="120" w:line="360" w:lineRule="auto"/>
              <w:rPr>
                <w:rFonts w:ascii="Verdana" w:hAnsi="Verdana"/>
                <w:sz w:val="20"/>
                <w:szCs w:val="18"/>
              </w:rPr>
            </w:pPr>
            <w:r w:rsidRPr="00920145">
              <w:rPr>
                <w:rFonts w:ascii="Verdana" w:hAnsi="Verdana"/>
                <w:sz w:val="20"/>
                <w:szCs w:val="18"/>
              </w:rPr>
              <w:t xml:space="preserve">Czas trwania równoważenia podstawowego dla </w:t>
            </w:r>
            <w:r w:rsidRPr="00920145">
              <w:rPr>
                <w:rFonts w:ascii="Verdana" w:hAnsi="Verdana"/>
                <w:sz w:val="20"/>
                <w:szCs w:val="18"/>
              </w:rPr>
              <w:lastRenderedPageBreak/>
              <w:t>statycznych ograniczeń wahań kursów</w:t>
            </w:r>
          </w:p>
        </w:tc>
        <w:tc>
          <w:tcPr>
            <w:tcW w:w="4745" w:type="dxa"/>
            <w:tcBorders>
              <w:top w:val="single" w:sz="4" w:space="0" w:color="auto"/>
              <w:left w:val="single" w:sz="4" w:space="0" w:color="auto"/>
              <w:bottom w:val="single" w:sz="4" w:space="0" w:color="auto"/>
              <w:right w:val="single" w:sz="4" w:space="0" w:color="auto"/>
            </w:tcBorders>
          </w:tcPr>
          <w:p w14:paraId="1FE296CD" w14:textId="77777777" w:rsidR="00CC1947" w:rsidRPr="00920145" w:rsidRDefault="00CC1947" w:rsidP="00A23201">
            <w:pPr>
              <w:spacing w:after="120" w:line="360" w:lineRule="auto"/>
              <w:rPr>
                <w:rFonts w:ascii="Verdana" w:hAnsi="Verdana"/>
                <w:sz w:val="20"/>
                <w:szCs w:val="18"/>
              </w:rPr>
            </w:pPr>
            <w:r w:rsidRPr="00920145">
              <w:rPr>
                <w:rFonts w:ascii="Verdana" w:hAnsi="Verdana"/>
                <w:sz w:val="20"/>
                <w:szCs w:val="18"/>
              </w:rPr>
              <w:lastRenderedPageBreak/>
              <w:t>300 sekund</w:t>
            </w:r>
          </w:p>
        </w:tc>
      </w:tr>
      <w:tr w:rsidR="00CC1947" w:rsidRPr="00920145" w14:paraId="0D142B1F" w14:textId="77777777" w:rsidTr="00CC1947">
        <w:tc>
          <w:tcPr>
            <w:tcW w:w="3187" w:type="dxa"/>
            <w:tcBorders>
              <w:top w:val="single" w:sz="4" w:space="0" w:color="auto"/>
              <w:left w:val="single" w:sz="4" w:space="0" w:color="auto"/>
              <w:bottom w:val="single" w:sz="4" w:space="0" w:color="auto"/>
              <w:right w:val="single" w:sz="4" w:space="0" w:color="auto"/>
            </w:tcBorders>
          </w:tcPr>
          <w:p w14:paraId="2C3ECA3F" w14:textId="77777777" w:rsidR="00CC1947" w:rsidRPr="00920145" w:rsidRDefault="00CC1947" w:rsidP="00A23201">
            <w:pPr>
              <w:spacing w:after="120" w:line="360" w:lineRule="auto"/>
              <w:rPr>
                <w:rFonts w:ascii="Verdana" w:hAnsi="Verdana"/>
                <w:sz w:val="20"/>
                <w:szCs w:val="18"/>
              </w:rPr>
            </w:pPr>
            <w:r w:rsidRPr="00920145">
              <w:rPr>
                <w:rFonts w:ascii="Verdana" w:hAnsi="Verdana"/>
                <w:sz w:val="20"/>
                <w:szCs w:val="18"/>
              </w:rPr>
              <w:t>Współczynnik przesunięcia kursu odniesienia dla równoważenia w fazie aukcji otwarcia</w:t>
            </w:r>
          </w:p>
        </w:tc>
        <w:tc>
          <w:tcPr>
            <w:tcW w:w="4745" w:type="dxa"/>
            <w:tcBorders>
              <w:top w:val="single" w:sz="4" w:space="0" w:color="auto"/>
              <w:left w:val="single" w:sz="4" w:space="0" w:color="auto"/>
              <w:bottom w:val="single" w:sz="4" w:space="0" w:color="auto"/>
              <w:right w:val="single" w:sz="4" w:space="0" w:color="auto"/>
            </w:tcBorders>
          </w:tcPr>
          <w:p w14:paraId="7FE19B6A" w14:textId="77777777" w:rsidR="00CC1947" w:rsidRPr="00920145" w:rsidRDefault="00CC1947" w:rsidP="00A23201">
            <w:pPr>
              <w:spacing w:after="120" w:line="360" w:lineRule="auto"/>
              <w:rPr>
                <w:rFonts w:ascii="Verdana" w:hAnsi="Verdana"/>
                <w:sz w:val="20"/>
                <w:szCs w:val="18"/>
              </w:rPr>
            </w:pPr>
            <w:r w:rsidRPr="00920145">
              <w:rPr>
                <w:rFonts w:ascii="Verdana" w:hAnsi="Verdana"/>
                <w:sz w:val="20"/>
                <w:szCs w:val="18"/>
              </w:rPr>
              <w:t>1</w:t>
            </w:r>
          </w:p>
        </w:tc>
      </w:tr>
      <w:tr w:rsidR="00CC1947" w:rsidRPr="00920145" w14:paraId="2B753C34" w14:textId="77777777" w:rsidTr="00CC1947">
        <w:tc>
          <w:tcPr>
            <w:tcW w:w="3187" w:type="dxa"/>
            <w:tcBorders>
              <w:top w:val="single" w:sz="4" w:space="0" w:color="auto"/>
              <w:left w:val="single" w:sz="4" w:space="0" w:color="auto"/>
              <w:bottom w:val="single" w:sz="4" w:space="0" w:color="auto"/>
              <w:right w:val="single" w:sz="4" w:space="0" w:color="auto"/>
            </w:tcBorders>
          </w:tcPr>
          <w:p w14:paraId="59C6F03E" w14:textId="77777777" w:rsidR="00CC1947" w:rsidRPr="00920145" w:rsidRDefault="00CC1947" w:rsidP="00A23201">
            <w:pPr>
              <w:spacing w:after="120" w:line="360" w:lineRule="auto"/>
              <w:rPr>
                <w:rFonts w:ascii="Verdana" w:hAnsi="Verdana"/>
                <w:sz w:val="20"/>
                <w:szCs w:val="18"/>
              </w:rPr>
            </w:pPr>
            <w:r w:rsidRPr="00920145">
              <w:rPr>
                <w:rFonts w:ascii="Verdana" w:hAnsi="Verdana"/>
                <w:sz w:val="20"/>
                <w:szCs w:val="18"/>
              </w:rPr>
              <w:t>Współczynnik przesunięcia kursu odniesienia dla równoważenia w fazach innych niż faza aukcji otwarcia</w:t>
            </w:r>
          </w:p>
        </w:tc>
        <w:tc>
          <w:tcPr>
            <w:tcW w:w="4745" w:type="dxa"/>
            <w:tcBorders>
              <w:top w:val="single" w:sz="4" w:space="0" w:color="auto"/>
              <w:left w:val="single" w:sz="4" w:space="0" w:color="auto"/>
              <w:bottom w:val="single" w:sz="4" w:space="0" w:color="auto"/>
              <w:right w:val="single" w:sz="4" w:space="0" w:color="auto"/>
            </w:tcBorders>
          </w:tcPr>
          <w:p w14:paraId="3FFB6C44" w14:textId="77777777" w:rsidR="00CC1947" w:rsidRPr="00920145" w:rsidRDefault="00CC1947" w:rsidP="00A23201">
            <w:pPr>
              <w:spacing w:after="120" w:line="360" w:lineRule="auto"/>
              <w:rPr>
                <w:rFonts w:ascii="Verdana" w:hAnsi="Verdana"/>
                <w:sz w:val="20"/>
                <w:szCs w:val="18"/>
              </w:rPr>
            </w:pPr>
            <w:r w:rsidRPr="00920145">
              <w:rPr>
                <w:rFonts w:ascii="Verdana" w:hAnsi="Verdana"/>
                <w:sz w:val="20"/>
                <w:szCs w:val="18"/>
              </w:rPr>
              <w:t>0,5</w:t>
            </w:r>
          </w:p>
        </w:tc>
      </w:tr>
      <w:tr w:rsidR="00CC1947" w:rsidRPr="00920145" w14:paraId="3001F856" w14:textId="77777777" w:rsidTr="00CC1947">
        <w:tc>
          <w:tcPr>
            <w:tcW w:w="3187" w:type="dxa"/>
            <w:tcBorders>
              <w:top w:val="single" w:sz="4" w:space="0" w:color="auto"/>
              <w:left w:val="single" w:sz="4" w:space="0" w:color="auto"/>
              <w:bottom w:val="single" w:sz="4" w:space="0" w:color="auto"/>
              <w:right w:val="single" w:sz="4" w:space="0" w:color="auto"/>
            </w:tcBorders>
          </w:tcPr>
          <w:p w14:paraId="4B936604" w14:textId="77777777" w:rsidR="00CC1947" w:rsidRPr="00920145" w:rsidRDefault="00CC1947" w:rsidP="00A23201">
            <w:pPr>
              <w:spacing w:after="120" w:line="360" w:lineRule="auto"/>
              <w:rPr>
                <w:rFonts w:ascii="Verdana" w:hAnsi="Verdana"/>
                <w:sz w:val="20"/>
                <w:szCs w:val="18"/>
              </w:rPr>
            </w:pPr>
            <w:r w:rsidRPr="00920145">
              <w:rPr>
                <w:rFonts w:ascii="Verdana" w:hAnsi="Verdana"/>
                <w:sz w:val="20"/>
                <w:szCs w:val="18"/>
              </w:rPr>
              <w:t>Współczynnik maksymalnej liczby zmian netto statycznych ograniczeń wahań kursów</w:t>
            </w:r>
          </w:p>
        </w:tc>
        <w:tc>
          <w:tcPr>
            <w:tcW w:w="4745" w:type="dxa"/>
            <w:tcBorders>
              <w:top w:val="single" w:sz="4" w:space="0" w:color="auto"/>
              <w:left w:val="single" w:sz="4" w:space="0" w:color="auto"/>
              <w:bottom w:val="single" w:sz="4" w:space="0" w:color="auto"/>
              <w:right w:val="single" w:sz="4" w:space="0" w:color="auto"/>
            </w:tcBorders>
          </w:tcPr>
          <w:p w14:paraId="70BD7A19" w14:textId="77777777" w:rsidR="00CC1947" w:rsidRPr="00920145" w:rsidRDefault="00CC1947" w:rsidP="00A23201">
            <w:pPr>
              <w:spacing w:after="120" w:line="360" w:lineRule="auto"/>
              <w:rPr>
                <w:rFonts w:ascii="Verdana" w:hAnsi="Verdana"/>
                <w:sz w:val="20"/>
                <w:szCs w:val="18"/>
              </w:rPr>
            </w:pPr>
            <w:r w:rsidRPr="00920145">
              <w:rPr>
                <w:rFonts w:ascii="Verdana" w:hAnsi="Verdana"/>
                <w:sz w:val="20"/>
                <w:szCs w:val="18"/>
              </w:rPr>
              <w:t>2</w:t>
            </w:r>
          </w:p>
        </w:tc>
      </w:tr>
      <w:tr w:rsidR="00CC1947" w:rsidRPr="00920145" w14:paraId="212C1A4A" w14:textId="77777777" w:rsidTr="00CC1947">
        <w:tc>
          <w:tcPr>
            <w:tcW w:w="3187" w:type="dxa"/>
            <w:tcBorders>
              <w:top w:val="single" w:sz="4" w:space="0" w:color="auto"/>
              <w:left w:val="single" w:sz="4" w:space="0" w:color="auto"/>
              <w:bottom w:val="single" w:sz="4" w:space="0" w:color="auto"/>
              <w:right w:val="single" w:sz="4" w:space="0" w:color="auto"/>
            </w:tcBorders>
          </w:tcPr>
          <w:p w14:paraId="56A0BA68" w14:textId="77777777" w:rsidR="00CC1947" w:rsidRPr="00920145" w:rsidRDefault="00CC1947" w:rsidP="00A23201">
            <w:pPr>
              <w:spacing w:after="120" w:line="360" w:lineRule="auto"/>
              <w:rPr>
                <w:rFonts w:ascii="Verdana" w:hAnsi="Verdana"/>
                <w:sz w:val="20"/>
                <w:szCs w:val="18"/>
              </w:rPr>
            </w:pPr>
            <w:r w:rsidRPr="00920145">
              <w:rPr>
                <w:rFonts w:ascii="Verdana" w:hAnsi="Verdana"/>
                <w:sz w:val="20"/>
                <w:szCs w:val="18"/>
              </w:rPr>
              <w:t>Czas trwania równoważenia podstawowego dla dynamicznych ograniczeń wahań kursów</w:t>
            </w:r>
          </w:p>
        </w:tc>
        <w:tc>
          <w:tcPr>
            <w:tcW w:w="4745" w:type="dxa"/>
            <w:tcBorders>
              <w:top w:val="single" w:sz="4" w:space="0" w:color="auto"/>
              <w:left w:val="single" w:sz="4" w:space="0" w:color="auto"/>
              <w:bottom w:val="single" w:sz="4" w:space="0" w:color="auto"/>
              <w:right w:val="single" w:sz="4" w:space="0" w:color="auto"/>
            </w:tcBorders>
          </w:tcPr>
          <w:p w14:paraId="6F1C0657" w14:textId="77777777" w:rsidR="00CC1947" w:rsidRPr="00920145" w:rsidRDefault="00CC1947" w:rsidP="00A23201">
            <w:pPr>
              <w:spacing w:after="120" w:line="360" w:lineRule="auto"/>
              <w:rPr>
                <w:rFonts w:ascii="Verdana" w:hAnsi="Verdana"/>
                <w:sz w:val="20"/>
                <w:szCs w:val="18"/>
              </w:rPr>
            </w:pPr>
            <w:r w:rsidRPr="00920145">
              <w:rPr>
                <w:rFonts w:ascii="Verdana" w:hAnsi="Verdana"/>
                <w:sz w:val="20"/>
                <w:szCs w:val="18"/>
              </w:rPr>
              <w:t>60 sekund</w:t>
            </w:r>
          </w:p>
        </w:tc>
      </w:tr>
      <w:tr w:rsidR="00CC1947" w:rsidRPr="00920145" w14:paraId="161404A6" w14:textId="77777777" w:rsidTr="00CC1947">
        <w:tc>
          <w:tcPr>
            <w:tcW w:w="3187" w:type="dxa"/>
            <w:tcBorders>
              <w:top w:val="single" w:sz="4" w:space="0" w:color="auto"/>
              <w:left w:val="single" w:sz="4" w:space="0" w:color="auto"/>
              <w:bottom w:val="single" w:sz="4" w:space="0" w:color="auto"/>
              <w:right w:val="single" w:sz="4" w:space="0" w:color="auto"/>
            </w:tcBorders>
          </w:tcPr>
          <w:p w14:paraId="33F944E7" w14:textId="77777777" w:rsidR="00CC1947" w:rsidRPr="00920145" w:rsidRDefault="00CC1947" w:rsidP="00A23201">
            <w:pPr>
              <w:spacing w:after="120" w:line="360" w:lineRule="auto"/>
              <w:rPr>
                <w:rFonts w:ascii="Verdana" w:hAnsi="Verdana"/>
                <w:sz w:val="20"/>
                <w:szCs w:val="18"/>
              </w:rPr>
            </w:pPr>
            <w:r w:rsidRPr="00920145">
              <w:rPr>
                <w:rFonts w:ascii="Verdana" w:hAnsi="Verdana"/>
                <w:sz w:val="20"/>
                <w:szCs w:val="18"/>
              </w:rPr>
              <w:t>Współczynnik rozszerzenia dla równoważenia w fazie aukcji otwarcia</w:t>
            </w:r>
          </w:p>
        </w:tc>
        <w:tc>
          <w:tcPr>
            <w:tcW w:w="4745" w:type="dxa"/>
            <w:tcBorders>
              <w:top w:val="single" w:sz="4" w:space="0" w:color="auto"/>
              <w:left w:val="single" w:sz="4" w:space="0" w:color="auto"/>
              <w:bottom w:val="single" w:sz="4" w:space="0" w:color="auto"/>
              <w:right w:val="single" w:sz="4" w:space="0" w:color="auto"/>
            </w:tcBorders>
          </w:tcPr>
          <w:p w14:paraId="7CD51859" w14:textId="77777777" w:rsidR="00CC1947" w:rsidRPr="00920145" w:rsidRDefault="00CC1947" w:rsidP="00A23201">
            <w:pPr>
              <w:spacing w:after="120" w:line="360" w:lineRule="auto"/>
              <w:rPr>
                <w:rFonts w:ascii="Verdana" w:hAnsi="Verdana"/>
                <w:sz w:val="20"/>
                <w:szCs w:val="18"/>
              </w:rPr>
            </w:pPr>
            <w:r w:rsidRPr="00920145">
              <w:rPr>
                <w:rFonts w:ascii="Verdana" w:hAnsi="Verdana"/>
                <w:sz w:val="20"/>
                <w:szCs w:val="18"/>
              </w:rPr>
              <w:t>3,0</w:t>
            </w:r>
          </w:p>
        </w:tc>
      </w:tr>
      <w:tr w:rsidR="00CC1947" w:rsidRPr="00920145" w14:paraId="11C49B68" w14:textId="77777777" w:rsidTr="00CC1947">
        <w:tc>
          <w:tcPr>
            <w:tcW w:w="3187" w:type="dxa"/>
            <w:tcBorders>
              <w:top w:val="single" w:sz="4" w:space="0" w:color="auto"/>
              <w:left w:val="single" w:sz="4" w:space="0" w:color="auto"/>
              <w:bottom w:val="single" w:sz="4" w:space="0" w:color="auto"/>
              <w:right w:val="single" w:sz="4" w:space="0" w:color="auto"/>
            </w:tcBorders>
          </w:tcPr>
          <w:p w14:paraId="19030097" w14:textId="77777777" w:rsidR="00CC1947" w:rsidRPr="00920145" w:rsidRDefault="00CC1947" w:rsidP="00A23201">
            <w:pPr>
              <w:spacing w:after="120" w:line="360" w:lineRule="auto"/>
              <w:rPr>
                <w:rFonts w:ascii="Verdana" w:hAnsi="Verdana"/>
                <w:sz w:val="20"/>
                <w:szCs w:val="18"/>
              </w:rPr>
            </w:pPr>
            <w:r w:rsidRPr="00920145">
              <w:rPr>
                <w:rFonts w:ascii="Verdana" w:hAnsi="Verdana"/>
                <w:sz w:val="20"/>
                <w:szCs w:val="18"/>
              </w:rPr>
              <w:t>Współczynnik rozszerzenia dla równoważenia w fazach innych niż faza aukcji otwarcia</w:t>
            </w:r>
          </w:p>
        </w:tc>
        <w:tc>
          <w:tcPr>
            <w:tcW w:w="4745" w:type="dxa"/>
            <w:tcBorders>
              <w:top w:val="single" w:sz="4" w:space="0" w:color="auto"/>
              <w:left w:val="single" w:sz="4" w:space="0" w:color="auto"/>
              <w:bottom w:val="single" w:sz="4" w:space="0" w:color="auto"/>
              <w:right w:val="single" w:sz="4" w:space="0" w:color="auto"/>
            </w:tcBorders>
          </w:tcPr>
          <w:p w14:paraId="233A61BF" w14:textId="77777777" w:rsidR="00CC1947" w:rsidRPr="00920145" w:rsidRDefault="00CC1947" w:rsidP="00A23201">
            <w:pPr>
              <w:spacing w:after="120" w:line="360" w:lineRule="auto"/>
              <w:rPr>
                <w:rFonts w:ascii="Verdana" w:hAnsi="Verdana"/>
                <w:sz w:val="20"/>
                <w:szCs w:val="18"/>
              </w:rPr>
            </w:pPr>
            <w:r w:rsidRPr="00920145">
              <w:rPr>
                <w:rFonts w:ascii="Verdana" w:hAnsi="Verdana"/>
                <w:sz w:val="20"/>
                <w:szCs w:val="18"/>
              </w:rPr>
              <w:t>2,0</w:t>
            </w:r>
          </w:p>
        </w:tc>
      </w:tr>
      <w:tr w:rsidR="00CC1947" w:rsidRPr="00920145" w14:paraId="2A77F225" w14:textId="77777777" w:rsidTr="00CC1947">
        <w:tc>
          <w:tcPr>
            <w:tcW w:w="3187" w:type="dxa"/>
            <w:tcBorders>
              <w:top w:val="single" w:sz="4" w:space="0" w:color="auto"/>
              <w:left w:val="single" w:sz="4" w:space="0" w:color="auto"/>
              <w:bottom w:val="single" w:sz="4" w:space="0" w:color="auto"/>
              <w:right w:val="single" w:sz="4" w:space="0" w:color="auto"/>
            </w:tcBorders>
          </w:tcPr>
          <w:p w14:paraId="3E8A8F0B" w14:textId="77777777" w:rsidR="00CC1947" w:rsidRPr="00920145" w:rsidRDefault="00CC1947" w:rsidP="00A23201">
            <w:pPr>
              <w:spacing w:after="120" w:line="360" w:lineRule="auto"/>
              <w:rPr>
                <w:rFonts w:ascii="Verdana" w:hAnsi="Verdana"/>
                <w:sz w:val="20"/>
                <w:szCs w:val="18"/>
              </w:rPr>
            </w:pPr>
            <w:r w:rsidRPr="00920145">
              <w:rPr>
                <w:rFonts w:ascii="Verdana" w:hAnsi="Verdana"/>
                <w:sz w:val="20"/>
                <w:szCs w:val="18"/>
              </w:rPr>
              <w:t>Współczynnik maksymalnej liczby zmian netto dynamicznych ograniczeń wahań kursów</w:t>
            </w:r>
          </w:p>
        </w:tc>
        <w:tc>
          <w:tcPr>
            <w:tcW w:w="4745" w:type="dxa"/>
            <w:tcBorders>
              <w:top w:val="single" w:sz="4" w:space="0" w:color="auto"/>
              <w:left w:val="single" w:sz="4" w:space="0" w:color="auto"/>
              <w:bottom w:val="single" w:sz="4" w:space="0" w:color="auto"/>
              <w:right w:val="single" w:sz="4" w:space="0" w:color="auto"/>
            </w:tcBorders>
          </w:tcPr>
          <w:p w14:paraId="649E5D8E" w14:textId="77777777" w:rsidR="00CC1947" w:rsidRPr="00920145" w:rsidRDefault="00CC1947" w:rsidP="00A23201">
            <w:pPr>
              <w:spacing w:after="120" w:line="360" w:lineRule="auto"/>
              <w:rPr>
                <w:rFonts w:ascii="Verdana" w:hAnsi="Verdana"/>
                <w:sz w:val="20"/>
                <w:szCs w:val="18"/>
              </w:rPr>
            </w:pPr>
            <w:r w:rsidRPr="00920145">
              <w:rPr>
                <w:rFonts w:ascii="Verdana" w:hAnsi="Verdana"/>
                <w:sz w:val="20"/>
                <w:szCs w:val="18"/>
              </w:rPr>
              <w:t>20</w:t>
            </w:r>
          </w:p>
        </w:tc>
      </w:tr>
    </w:tbl>
    <w:p w14:paraId="070EE03D" w14:textId="33F567FE" w:rsidR="00CC1947" w:rsidRPr="00920145" w:rsidRDefault="00CC1947" w:rsidP="00A23201">
      <w:pPr>
        <w:tabs>
          <w:tab w:val="left" w:pos="567"/>
        </w:tabs>
        <w:spacing w:after="120" w:line="360" w:lineRule="auto"/>
        <w:ind w:left="567"/>
        <w:jc w:val="both"/>
        <w:rPr>
          <w:rFonts w:ascii="Verdana" w:hAnsi="Verdana"/>
          <w:sz w:val="20"/>
          <w:szCs w:val="18"/>
        </w:rPr>
      </w:pPr>
    </w:p>
    <w:p w14:paraId="68A34094" w14:textId="59F16EA4" w:rsidR="00950E6C" w:rsidRPr="00920145" w:rsidRDefault="00950E6C" w:rsidP="00A23201">
      <w:pPr>
        <w:tabs>
          <w:tab w:val="left" w:pos="567"/>
        </w:tabs>
        <w:spacing w:after="120" w:line="360" w:lineRule="auto"/>
        <w:ind w:left="567"/>
        <w:jc w:val="both"/>
        <w:rPr>
          <w:rFonts w:ascii="Verdana" w:hAnsi="Verdana"/>
          <w:sz w:val="20"/>
          <w:szCs w:val="18"/>
        </w:rPr>
      </w:pPr>
    </w:p>
    <w:p w14:paraId="1E2E739B" w14:textId="7715B59B" w:rsidR="00950E6C" w:rsidRPr="00920145" w:rsidRDefault="00950E6C" w:rsidP="00A23201">
      <w:pPr>
        <w:tabs>
          <w:tab w:val="left" w:pos="567"/>
        </w:tabs>
        <w:spacing w:after="120" w:line="360" w:lineRule="auto"/>
        <w:ind w:left="567"/>
        <w:jc w:val="both"/>
        <w:rPr>
          <w:rFonts w:ascii="Verdana" w:hAnsi="Verdana"/>
          <w:sz w:val="20"/>
          <w:szCs w:val="18"/>
        </w:rPr>
      </w:pPr>
    </w:p>
    <w:p w14:paraId="16E4F346" w14:textId="6855708F" w:rsidR="00950E6C" w:rsidRPr="00920145" w:rsidRDefault="00950E6C" w:rsidP="00A23201">
      <w:pPr>
        <w:tabs>
          <w:tab w:val="left" w:pos="567"/>
        </w:tabs>
        <w:spacing w:after="120" w:line="360" w:lineRule="auto"/>
        <w:ind w:left="567"/>
        <w:jc w:val="both"/>
        <w:rPr>
          <w:rFonts w:ascii="Verdana" w:hAnsi="Verdana"/>
          <w:sz w:val="20"/>
          <w:szCs w:val="18"/>
        </w:rPr>
      </w:pPr>
    </w:p>
    <w:p w14:paraId="30CC1DA1" w14:textId="77777777" w:rsidR="00950E6C" w:rsidRPr="00920145" w:rsidRDefault="00950E6C" w:rsidP="00A23201">
      <w:pPr>
        <w:tabs>
          <w:tab w:val="left" w:pos="567"/>
        </w:tabs>
        <w:spacing w:after="120" w:line="360" w:lineRule="auto"/>
        <w:ind w:left="567"/>
        <w:jc w:val="both"/>
        <w:rPr>
          <w:rFonts w:ascii="Verdana" w:hAnsi="Verdana"/>
          <w:sz w:val="20"/>
          <w:szCs w:val="18"/>
        </w:rPr>
      </w:pPr>
    </w:p>
    <w:p w14:paraId="38D1D9AC" w14:textId="39295AD5" w:rsidR="00CC1947" w:rsidRPr="00920145" w:rsidRDefault="00FE655D" w:rsidP="008362AE">
      <w:pPr>
        <w:pStyle w:val="Nagwek3"/>
      </w:pPr>
      <w:r w:rsidRPr="00920145">
        <w:t>§ 86 otrzymuje brzmienie:</w:t>
      </w:r>
    </w:p>
    <w:p w14:paraId="028E8190" w14:textId="61ED4945" w:rsidR="00FE655D" w:rsidRPr="00920145" w:rsidRDefault="00FE655D" w:rsidP="00A23201">
      <w:pPr>
        <w:pStyle w:val="Akapitzlist"/>
        <w:tabs>
          <w:tab w:val="left" w:pos="851"/>
        </w:tabs>
        <w:spacing w:after="120" w:line="360" w:lineRule="auto"/>
        <w:ind w:left="567"/>
        <w:contextualSpacing w:val="0"/>
        <w:jc w:val="both"/>
        <w:rPr>
          <w:rFonts w:ascii="Verdana" w:hAnsi="Verdana"/>
          <w:sz w:val="20"/>
          <w:szCs w:val="18"/>
        </w:rPr>
      </w:pPr>
      <w:r w:rsidRPr="00920145">
        <w:rPr>
          <w:rFonts w:ascii="Verdana" w:hAnsi="Verdana"/>
          <w:sz w:val="20"/>
          <w:szCs w:val="18"/>
        </w:rPr>
        <w:t>„§ 86</w:t>
      </w:r>
    </w:p>
    <w:p w14:paraId="714ED109" w14:textId="480F0FEC" w:rsidR="00FE655D" w:rsidRPr="00920145" w:rsidRDefault="00FE655D" w:rsidP="00A23201">
      <w:pPr>
        <w:tabs>
          <w:tab w:val="left" w:pos="142"/>
          <w:tab w:val="left" w:pos="426"/>
        </w:tabs>
        <w:spacing w:line="360" w:lineRule="auto"/>
        <w:ind w:firstLine="567"/>
        <w:jc w:val="both"/>
        <w:rPr>
          <w:rFonts w:ascii="Verdana" w:hAnsi="Verdana" w:cs="Arial"/>
          <w:sz w:val="20"/>
          <w:szCs w:val="18"/>
        </w:rPr>
      </w:pPr>
      <w:r w:rsidRPr="00920145">
        <w:rPr>
          <w:rFonts w:ascii="Verdana" w:hAnsi="Verdana" w:cs="Arial"/>
          <w:sz w:val="20"/>
          <w:szCs w:val="18"/>
        </w:rPr>
        <w:t xml:space="preserve">Szczegółowe warunki obrotu dla kontraktów terminowych na indeksy giełdowe: </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0"/>
        <w:gridCol w:w="5415"/>
      </w:tblGrid>
      <w:tr w:rsidR="00FE655D" w:rsidRPr="00920145" w14:paraId="40D5ED04" w14:textId="77777777" w:rsidTr="002D5BBE">
        <w:tc>
          <w:tcPr>
            <w:tcW w:w="3090" w:type="dxa"/>
          </w:tcPr>
          <w:p w14:paraId="4AE09707" w14:textId="77777777" w:rsidR="00FE655D" w:rsidRPr="00920145" w:rsidRDefault="00FE655D" w:rsidP="00A23201">
            <w:pPr>
              <w:pStyle w:val="Tekstpodstawowy21"/>
              <w:spacing w:before="60" w:line="360" w:lineRule="auto"/>
              <w:rPr>
                <w:rFonts w:ascii="Verdana" w:hAnsi="Verdana" w:cs="Arial"/>
              </w:rPr>
            </w:pPr>
            <w:r w:rsidRPr="00920145">
              <w:rPr>
                <w:rFonts w:ascii="Verdana" w:hAnsi="Verdana" w:cs="Arial"/>
              </w:rPr>
              <w:t xml:space="preserve">Jednostka transakcyjna </w:t>
            </w:r>
          </w:p>
        </w:tc>
        <w:tc>
          <w:tcPr>
            <w:tcW w:w="5415" w:type="dxa"/>
          </w:tcPr>
          <w:p w14:paraId="250EB8D8" w14:textId="77777777" w:rsidR="00FE655D" w:rsidRPr="00920145" w:rsidRDefault="00FE655D" w:rsidP="00A23201">
            <w:pPr>
              <w:pStyle w:val="Tekstpodstawowy21"/>
              <w:spacing w:before="60" w:line="360" w:lineRule="auto"/>
              <w:rPr>
                <w:rFonts w:ascii="Verdana" w:hAnsi="Verdana" w:cs="Arial"/>
              </w:rPr>
            </w:pPr>
            <w:r w:rsidRPr="00920145">
              <w:rPr>
                <w:rFonts w:ascii="Verdana" w:hAnsi="Verdana" w:cs="Arial"/>
              </w:rPr>
              <w:t>jeden instrument, chyba że Zarząd Giełdy określi inną jednostkę transakcyjną</w:t>
            </w:r>
          </w:p>
        </w:tc>
      </w:tr>
      <w:tr w:rsidR="007164ED" w:rsidRPr="00920145" w14:paraId="6F5EEA07" w14:textId="77777777" w:rsidTr="002D5BBE">
        <w:tc>
          <w:tcPr>
            <w:tcW w:w="3090" w:type="dxa"/>
          </w:tcPr>
          <w:p w14:paraId="4E482259" w14:textId="472B5807" w:rsidR="007164ED" w:rsidRPr="00920145" w:rsidDel="007164ED" w:rsidRDefault="007164ED" w:rsidP="007164ED">
            <w:pPr>
              <w:pStyle w:val="Tekstpodstawowy21"/>
              <w:spacing w:before="60" w:line="360" w:lineRule="auto"/>
              <w:rPr>
                <w:rFonts w:ascii="Verdana" w:hAnsi="Verdana"/>
              </w:rPr>
            </w:pPr>
            <w:r w:rsidRPr="00920145">
              <w:rPr>
                <w:rFonts w:ascii="Verdana" w:hAnsi="Verdana"/>
              </w:rPr>
              <w:t>Losowy czas otwarcia</w:t>
            </w:r>
            <w:r w:rsidRPr="00920145">
              <w:rPr>
                <w:rFonts w:ascii="Verdana" w:hAnsi="Verdana"/>
              </w:rPr>
              <w:br/>
              <w:t>dla fazy aukcji otwarcia</w:t>
            </w:r>
          </w:p>
        </w:tc>
        <w:tc>
          <w:tcPr>
            <w:tcW w:w="5415" w:type="dxa"/>
          </w:tcPr>
          <w:p w14:paraId="405A9DA7" w14:textId="7D1108BA" w:rsidR="007164ED" w:rsidRPr="00920145" w:rsidDel="007164ED" w:rsidRDefault="002F0779" w:rsidP="007164ED">
            <w:pPr>
              <w:pStyle w:val="Tekstpodstawowy21"/>
              <w:spacing w:before="60" w:line="360" w:lineRule="auto"/>
              <w:rPr>
                <w:rFonts w:ascii="Verdana" w:hAnsi="Verdana"/>
              </w:rPr>
            </w:pPr>
            <w:r w:rsidRPr="00920145">
              <w:rPr>
                <w:rFonts w:ascii="Verdana" w:hAnsi="Verdana"/>
              </w:rPr>
              <w:t>(</w:t>
            </w:r>
            <w:r w:rsidR="007164ED" w:rsidRPr="00920145">
              <w:rPr>
                <w:rFonts w:ascii="Verdana" w:hAnsi="Verdana"/>
              </w:rPr>
              <w:t>+</w:t>
            </w:r>
            <w:r w:rsidRPr="00920145">
              <w:rPr>
                <w:rFonts w:ascii="Verdana" w:hAnsi="Verdana"/>
              </w:rPr>
              <w:t>)</w:t>
            </w:r>
            <w:r w:rsidR="007164ED" w:rsidRPr="00920145">
              <w:rPr>
                <w:rFonts w:ascii="Verdana" w:hAnsi="Verdana"/>
              </w:rPr>
              <w:t xml:space="preserve"> 0-30 sekund</w:t>
            </w:r>
          </w:p>
        </w:tc>
      </w:tr>
      <w:tr w:rsidR="007164ED" w:rsidRPr="00920145" w14:paraId="2225BCEF" w14:textId="77777777" w:rsidTr="002D5BBE">
        <w:tc>
          <w:tcPr>
            <w:tcW w:w="3090" w:type="dxa"/>
          </w:tcPr>
          <w:p w14:paraId="66980138" w14:textId="0A882D8B" w:rsidR="007164ED" w:rsidRPr="00920145" w:rsidDel="007164ED" w:rsidRDefault="007164ED" w:rsidP="007164ED">
            <w:pPr>
              <w:pStyle w:val="Tekstpodstawowy21"/>
              <w:spacing w:before="60" w:line="360" w:lineRule="auto"/>
              <w:rPr>
                <w:rFonts w:ascii="Verdana" w:hAnsi="Verdana"/>
              </w:rPr>
            </w:pPr>
            <w:r w:rsidRPr="00920145">
              <w:rPr>
                <w:rFonts w:ascii="Verdana" w:hAnsi="Verdana"/>
              </w:rPr>
              <w:t>Losowy czas otwarcia</w:t>
            </w:r>
            <w:r w:rsidRPr="00920145">
              <w:rPr>
                <w:rFonts w:ascii="Verdana" w:hAnsi="Verdana"/>
              </w:rPr>
              <w:br/>
              <w:t>dla fazy aukcji zamknięcia</w:t>
            </w:r>
          </w:p>
        </w:tc>
        <w:tc>
          <w:tcPr>
            <w:tcW w:w="5415" w:type="dxa"/>
          </w:tcPr>
          <w:p w14:paraId="7073B64E" w14:textId="72BD5175" w:rsidR="007164ED" w:rsidRPr="00920145" w:rsidDel="007164ED" w:rsidRDefault="002F0779" w:rsidP="007164ED">
            <w:pPr>
              <w:pStyle w:val="Tekstpodstawowy21"/>
              <w:spacing w:before="60" w:line="360" w:lineRule="auto"/>
              <w:rPr>
                <w:rFonts w:ascii="Verdana" w:hAnsi="Verdana"/>
              </w:rPr>
            </w:pPr>
            <w:r w:rsidRPr="00920145">
              <w:rPr>
                <w:rFonts w:ascii="Verdana" w:hAnsi="Verdana"/>
              </w:rPr>
              <w:t>(</w:t>
            </w:r>
            <w:r w:rsidR="007164ED" w:rsidRPr="00920145">
              <w:rPr>
                <w:rFonts w:ascii="Verdana" w:hAnsi="Verdana"/>
              </w:rPr>
              <w:t>-</w:t>
            </w:r>
            <w:r w:rsidRPr="00920145">
              <w:rPr>
                <w:rFonts w:ascii="Verdana" w:hAnsi="Verdana"/>
              </w:rPr>
              <w:t>)</w:t>
            </w:r>
            <w:r w:rsidR="007164ED" w:rsidRPr="00920145">
              <w:rPr>
                <w:rFonts w:ascii="Verdana" w:hAnsi="Verdana"/>
              </w:rPr>
              <w:t xml:space="preserve"> 0-30 sekund</w:t>
            </w:r>
          </w:p>
        </w:tc>
      </w:tr>
      <w:tr w:rsidR="00FE655D" w:rsidRPr="00920145" w14:paraId="7C92FF54" w14:textId="77777777" w:rsidTr="002D5BBE">
        <w:tc>
          <w:tcPr>
            <w:tcW w:w="3090" w:type="dxa"/>
          </w:tcPr>
          <w:p w14:paraId="171B2966" w14:textId="77777777" w:rsidR="00FE655D" w:rsidRPr="00920145" w:rsidRDefault="00FE655D" w:rsidP="005A3E7B">
            <w:pPr>
              <w:pStyle w:val="Tekstpodstawowy21"/>
              <w:spacing w:before="60" w:after="0" w:line="360" w:lineRule="auto"/>
              <w:jc w:val="left"/>
              <w:rPr>
                <w:rFonts w:ascii="Verdana" w:hAnsi="Verdana" w:cs="Arial"/>
              </w:rPr>
            </w:pPr>
            <w:r w:rsidRPr="00920145">
              <w:rPr>
                <w:rFonts w:ascii="Verdana" w:hAnsi="Verdana" w:cs="Arial"/>
              </w:rPr>
              <w:t>Jednostka określania dla:</w:t>
            </w:r>
          </w:p>
          <w:p w14:paraId="080FF936" w14:textId="77777777" w:rsidR="00FE655D" w:rsidRPr="00920145" w:rsidRDefault="00FE655D" w:rsidP="005A3E7B">
            <w:pPr>
              <w:pStyle w:val="Tekstpodstawowy21"/>
              <w:spacing w:after="0" w:line="360" w:lineRule="auto"/>
              <w:jc w:val="left"/>
              <w:rPr>
                <w:rFonts w:ascii="Verdana" w:hAnsi="Verdana" w:cs="Arial"/>
              </w:rPr>
            </w:pPr>
            <w:r w:rsidRPr="00920145">
              <w:rPr>
                <w:rFonts w:ascii="Verdana" w:hAnsi="Verdana" w:cs="Arial"/>
              </w:rPr>
              <w:t xml:space="preserve">- kursu kontraktu, </w:t>
            </w:r>
          </w:p>
          <w:p w14:paraId="67D84736" w14:textId="77777777" w:rsidR="00FE655D" w:rsidRPr="00920145" w:rsidRDefault="00FE655D" w:rsidP="005A3E7B">
            <w:pPr>
              <w:pStyle w:val="Tekstpodstawowy21"/>
              <w:spacing w:after="0" w:line="360" w:lineRule="auto"/>
              <w:jc w:val="left"/>
              <w:rPr>
                <w:rFonts w:ascii="Verdana" w:hAnsi="Verdana" w:cs="Arial"/>
              </w:rPr>
            </w:pPr>
            <w:r w:rsidRPr="00920145">
              <w:rPr>
                <w:rFonts w:ascii="Verdana" w:hAnsi="Verdana" w:cs="Arial"/>
              </w:rPr>
              <w:t>- dziennego kursu rozliczeniowego,</w:t>
            </w:r>
          </w:p>
          <w:p w14:paraId="6F30BE1A" w14:textId="77777777" w:rsidR="00FE655D" w:rsidRPr="00920145" w:rsidRDefault="00FE655D" w:rsidP="005A3E7B">
            <w:pPr>
              <w:pStyle w:val="Tekstpodstawowy21"/>
              <w:spacing w:line="360" w:lineRule="auto"/>
              <w:jc w:val="left"/>
              <w:rPr>
                <w:rFonts w:ascii="Verdana" w:hAnsi="Verdana" w:cs="Arial"/>
              </w:rPr>
            </w:pPr>
            <w:r w:rsidRPr="00920145">
              <w:rPr>
                <w:rFonts w:ascii="Verdana" w:hAnsi="Verdana" w:cs="Arial"/>
              </w:rPr>
              <w:t>- ostatecznego kursu rozliczeniowego</w:t>
            </w:r>
          </w:p>
        </w:tc>
        <w:tc>
          <w:tcPr>
            <w:tcW w:w="5415" w:type="dxa"/>
          </w:tcPr>
          <w:p w14:paraId="3BF9E355" w14:textId="77777777" w:rsidR="00FE655D" w:rsidRPr="00920145" w:rsidRDefault="00FE655D" w:rsidP="00A23201">
            <w:pPr>
              <w:pStyle w:val="Tekstpodstawowy21"/>
              <w:spacing w:before="60" w:line="360" w:lineRule="auto"/>
              <w:rPr>
                <w:rFonts w:ascii="Verdana" w:hAnsi="Verdana" w:cs="Arial"/>
              </w:rPr>
            </w:pPr>
            <w:r w:rsidRPr="00920145">
              <w:rPr>
                <w:rFonts w:ascii="Verdana" w:hAnsi="Verdana" w:cs="Arial"/>
              </w:rPr>
              <w:t>punkty indeksowe - z dokładnością równą krokowi notowania</w:t>
            </w:r>
          </w:p>
        </w:tc>
      </w:tr>
      <w:tr w:rsidR="00FE655D" w:rsidRPr="00920145" w14:paraId="1D35D902" w14:textId="77777777" w:rsidTr="002D5BBE">
        <w:trPr>
          <w:trHeight w:val="352"/>
        </w:trPr>
        <w:tc>
          <w:tcPr>
            <w:tcW w:w="3090" w:type="dxa"/>
          </w:tcPr>
          <w:p w14:paraId="2E5A3659" w14:textId="77777777" w:rsidR="00FE655D" w:rsidRPr="00920145" w:rsidRDefault="00FE655D" w:rsidP="00A23201">
            <w:pPr>
              <w:pStyle w:val="Tekstpodstawowy21"/>
              <w:spacing w:before="60" w:line="360" w:lineRule="auto"/>
              <w:jc w:val="left"/>
              <w:rPr>
                <w:rFonts w:ascii="Verdana" w:hAnsi="Verdana" w:cs="Arial"/>
              </w:rPr>
            </w:pPr>
            <w:r w:rsidRPr="00920145">
              <w:rPr>
                <w:rFonts w:ascii="Verdana" w:hAnsi="Verdana" w:cs="Arial"/>
              </w:rPr>
              <w:t>Krok notowania</w:t>
            </w:r>
          </w:p>
        </w:tc>
        <w:tc>
          <w:tcPr>
            <w:tcW w:w="5415" w:type="dxa"/>
          </w:tcPr>
          <w:p w14:paraId="55E3BF7C" w14:textId="77777777" w:rsidR="00FE655D" w:rsidRPr="00920145" w:rsidRDefault="00FE655D" w:rsidP="00A23201">
            <w:pPr>
              <w:pStyle w:val="Tekstpodstawowy21"/>
              <w:spacing w:before="60" w:line="360" w:lineRule="auto"/>
              <w:rPr>
                <w:rFonts w:ascii="Verdana" w:hAnsi="Verdana" w:cs="Arial"/>
              </w:rPr>
            </w:pPr>
            <w:r w:rsidRPr="00920145">
              <w:rPr>
                <w:rFonts w:ascii="Verdana" w:hAnsi="Verdana" w:cs="Arial"/>
              </w:rPr>
              <w:t>1 punkt indeksowy</w:t>
            </w:r>
          </w:p>
        </w:tc>
      </w:tr>
      <w:tr w:rsidR="00FE655D" w:rsidRPr="00920145" w14:paraId="0C46EA28" w14:textId="77777777" w:rsidTr="002D5BBE">
        <w:tc>
          <w:tcPr>
            <w:tcW w:w="3090" w:type="dxa"/>
          </w:tcPr>
          <w:p w14:paraId="35D2D6DA" w14:textId="77777777" w:rsidR="00FE655D" w:rsidRPr="00920145" w:rsidRDefault="00FE655D" w:rsidP="00A23201">
            <w:pPr>
              <w:pStyle w:val="Tekstpodstawowy21"/>
              <w:spacing w:before="60" w:line="360" w:lineRule="auto"/>
              <w:jc w:val="left"/>
              <w:rPr>
                <w:rFonts w:ascii="Verdana" w:hAnsi="Verdana" w:cs="Arial"/>
              </w:rPr>
            </w:pPr>
            <w:r w:rsidRPr="00920145">
              <w:rPr>
                <w:rFonts w:ascii="Verdana" w:hAnsi="Verdana"/>
              </w:rPr>
              <w:t xml:space="preserve">Maksymalne wartości dla limitów cen w zleceniu maklerskim   </w:t>
            </w:r>
          </w:p>
        </w:tc>
        <w:tc>
          <w:tcPr>
            <w:tcW w:w="5415" w:type="dxa"/>
          </w:tcPr>
          <w:p w14:paraId="4F9E704C" w14:textId="77777777" w:rsidR="00FE655D" w:rsidRPr="00920145" w:rsidRDefault="00FE655D" w:rsidP="00A23201">
            <w:pPr>
              <w:pStyle w:val="Tekstpodstawowy21"/>
              <w:spacing w:before="60" w:line="360" w:lineRule="auto"/>
              <w:rPr>
                <w:rFonts w:ascii="Verdana" w:hAnsi="Verdana" w:cs="Arial"/>
              </w:rPr>
            </w:pPr>
            <w:r w:rsidRPr="00920145">
              <w:rPr>
                <w:rFonts w:ascii="Verdana" w:hAnsi="Verdana"/>
              </w:rPr>
              <w:t>40% względem kursu odniesienia dla statycznych ograniczeń wahań kursu</w:t>
            </w:r>
          </w:p>
        </w:tc>
      </w:tr>
      <w:tr w:rsidR="00FE655D" w:rsidRPr="00920145" w14:paraId="3C006A59" w14:textId="77777777" w:rsidTr="002D5BBE">
        <w:tc>
          <w:tcPr>
            <w:tcW w:w="3090" w:type="dxa"/>
          </w:tcPr>
          <w:p w14:paraId="1791AC24" w14:textId="77777777" w:rsidR="00FE655D" w:rsidRPr="00920145" w:rsidRDefault="00FE655D" w:rsidP="00A23201">
            <w:pPr>
              <w:pStyle w:val="Tekstpodstawowy21"/>
              <w:spacing w:before="60" w:line="360" w:lineRule="auto"/>
              <w:jc w:val="left"/>
              <w:rPr>
                <w:rFonts w:ascii="Verdana" w:hAnsi="Verdana" w:cs="Arial"/>
              </w:rPr>
            </w:pPr>
            <w:r w:rsidRPr="00920145">
              <w:rPr>
                <w:rFonts w:ascii="Verdana" w:hAnsi="Verdana" w:cs="Arial"/>
              </w:rPr>
              <w:t xml:space="preserve">Maksymalna wartość zlecenia maklerskiego    </w:t>
            </w:r>
          </w:p>
        </w:tc>
        <w:tc>
          <w:tcPr>
            <w:tcW w:w="5415" w:type="dxa"/>
          </w:tcPr>
          <w:p w14:paraId="05BCEDEE" w14:textId="77777777" w:rsidR="00FE655D" w:rsidRPr="00920145" w:rsidRDefault="00FE655D" w:rsidP="00A23201">
            <w:pPr>
              <w:pStyle w:val="Tekstpodstawowy21"/>
              <w:spacing w:before="60" w:line="360" w:lineRule="auto"/>
              <w:rPr>
                <w:rFonts w:ascii="Verdana" w:hAnsi="Verdana" w:cs="Arial"/>
              </w:rPr>
            </w:pPr>
            <w:r w:rsidRPr="00920145">
              <w:rPr>
                <w:rFonts w:ascii="Verdana" w:hAnsi="Verdana" w:cs="Arial"/>
              </w:rPr>
              <w:t xml:space="preserve">75.000.000 jednostek waluty notowania </w:t>
            </w:r>
          </w:p>
        </w:tc>
      </w:tr>
      <w:tr w:rsidR="00FE655D" w:rsidRPr="00920145" w14:paraId="7CD66C4B" w14:textId="77777777" w:rsidTr="002D5BBE">
        <w:tc>
          <w:tcPr>
            <w:tcW w:w="3090" w:type="dxa"/>
          </w:tcPr>
          <w:p w14:paraId="76FCBC95" w14:textId="77777777" w:rsidR="00FE655D" w:rsidRPr="00920145" w:rsidRDefault="00FE655D" w:rsidP="00A23201">
            <w:pPr>
              <w:pStyle w:val="Tekstpodstawowy21"/>
              <w:spacing w:before="60" w:line="360" w:lineRule="auto"/>
              <w:jc w:val="left"/>
              <w:rPr>
                <w:rFonts w:ascii="Verdana" w:hAnsi="Verdana" w:cs="Arial"/>
              </w:rPr>
            </w:pPr>
            <w:r w:rsidRPr="00920145">
              <w:rPr>
                <w:rFonts w:ascii="Verdana" w:hAnsi="Verdana" w:cs="Arial"/>
              </w:rPr>
              <w:t>Maksymalny wolumen zlecenia maklerskiego</w:t>
            </w:r>
          </w:p>
        </w:tc>
        <w:tc>
          <w:tcPr>
            <w:tcW w:w="5415" w:type="dxa"/>
          </w:tcPr>
          <w:p w14:paraId="58DBA1AE" w14:textId="77777777" w:rsidR="00FE655D" w:rsidRPr="00920145" w:rsidRDefault="00FE655D" w:rsidP="00A23201">
            <w:pPr>
              <w:pStyle w:val="Tekstpodstawowy21"/>
              <w:spacing w:before="60" w:line="360" w:lineRule="auto"/>
              <w:rPr>
                <w:rFonts w:ascii="Verdana" w:hAnsi="Verdana" w:cs="Arial"/>
              </w:rPr>
            </w:pPr>
            <w:r w:rsidRPr="00920145">
              <w:rPr>
                <w:rFonts w:ascii="Verdana" w:hAnsi="Verdana" w:cs="Arial"/>
              </w:rPr>
              <w:t>500 instrumentów</w:t>
            </w:r>
          </w:p>
        </w:tc>
      </w:tr>
      <w:tr w:rsidR="00FE655D" w:rsidRPr="00920145" w14:paraId="17055B89" w14:textId="77777777" w:rsidTr="002D5BBE">
        <w:trPr>
          <w:trHeight w:val="630"/>
        </w:trPr>
        <w:tc>
          <w:tcPr>
            <w:tcW w:w="3090" w:type="dxa"/>
          </w:tcPr>
          <w:p w14:paraId="49058284" w14:textId="77777777" w:rsidR="00FE655D" w:rsidRPr="00920145" w:rsidRDefault="00FE655D" w:rsidP="00A23201">
            <w:pPr>
              <w:pStyle w:val="Tekstpodstawowy21"/>
              <w:spacing w:before="60" w:line="360" w:lineRule="auto"/>
              <w:jc w:val="left"/>
              <w:rPr>
                <w:rFonts w:ascii="Verdana" w:hAnsi="Verdana" w:cs="Arial"/>
              </w:rPr>
            </w:pPr>
            <w:r w:rsidRPr="00920145">
              <w:rPr>
                <w:rFonts w:ascii="Verdana" w:hAnsi="Verdana" w:cs="Arial"/>
              </w:rPr>
              <w:t>Wysokość statycznych ograniczeń wahań kursów</w:t>
            </w:r>
          </w:p>
        </w:tc>
        <w:tc>
          <w:tcPr>
            <w:tcW w:w="5415" w:type="dxa"/>
          </w:tcPr>
          <w:p w14:paraId="736CD2CC" w14:textId="77777777" w:rsidR="00FE655D" w:rsidRPr="00920145" w:rsidRDefault="00FE655D" w:rsidP="00A23201">
            <w:pPr>
              <w:pStyle w:val="Tekstpodstawowy21"/>
              <w:spacing w:before="60" w:line="360" w:lineRule="auto"/>
              <w:rPr>
                <w:rFonts w:ascii="Verdana" w:hAnsi="Verdana" w:cs="Arial"/>
              </w:rPr>
            </w:pPr>
            <w:r w:rsidRPr="00920145">
              <w:rPr>
                <w:rFonts w:ascii="Verdana" w:hAnsi="Verdana" w:cs="Arial"/>
              </w:rPr>
              <w:t>10% od kursu odniesienia</w:t>
            </w:r>
          </w:p>
          <w:p w14:paraId="30DFDBF0" w14:textId="77777777" w:rsidR="00FE655D" w:rsidRPr="00920145" w:rsidRDefault="00FE655D" w:rsidP="00A23201">
            <w:pPr>
              <w:pStyle w:val="Tekstpodstawowy21"/>
              <w:spacing w:before="60" w:line="360" w:lineRule="auto"/>
              <w:rPr>
                <w:rFonts w:ascii="Verdana" w:hAnsi="Verdana" w:cs="Arial"/>
              </w:rPr>
            </w:pPr>
          </w:p>
        </w:tc>
      </w:tr>
      <w:tr w:rsidR="00FE655D" w:rsidRPr="00920145" w14:paraId="302FC792" w14:textId="77777777" w:rsidTr="002D5BBE">
        <w:tc>
          <w:tcPr>
            <w:tcW w:w="3090" w:type="dxa"/>
          </w:tcPr>
          <w:p w14:paraId="439545F9" w14:textId="77777777" w:rsidR="00FE655D" w:rsidRPr="00920145" w:rsidRDefault="00FE655D" w:rsidP="00A23201">
            <w:pPr>
              <w:pStyle w:val="Tekstpodstawowy21"/>
              <w:spacing w:before="60" w:line="360" w:lineRule="auto"/>
              <w:jc w:val="left"/>
              <w:rPr>
                <w:rFonts w:ascii="Verdana" w:hAnsi="Verdana" w:cs="Arial"/>
              </w:rPr>
            </w:pPr>
            <w:r w:rsidRPr="00920145">
              <w:rPr>
                <w:rFonts w:ascii="Verdana" w:hAnsi="Verdana" w:cs="Arial"/>
              </w:rPr>
              <w:t>Zmiana statycznych ograniczeń wahań kursów</w:t>
            </w:r>
          </w:p>
        </w:tc>
        <w:tc>
          <w:tcPr>
            <w:tcW w:w="5415" w:type="dxa"/>
          </w:tcPr>
          <w:p w14:paraId="50AA4BEE" w14:textId="0F10FD20" w:rsidR="00FE655D" w:rsidRPr="00920145" w:rsidRDefault="00FE655D" w:rsidP="00A23201">
            <w:pPr>
              <w:pStyle w:val="Tekstpodstawowy21"/>
              <w:spacing w:before="60" w:line="360" w:lineRule="auto"/>
              <w:rPr>
                <w:rFonts w:ascii="Verdana" w:hAnsi="Verdana" w:cs="Arial"/>
              </w:rPr>
            </w:pPr>
            <w:r w:rsidRPr="00920145">
              <w:rPr>
                <w:rFonts w:ascii="Verdana" w:hAnsi="Verdana" w:cs="Arial"/>
              </w:rPr>
              <w:t xml:space="preserve">Możliwa, pod warunkiem uzyskania potwierdzenia z KDPW_CCP S.A. o uzupełnieniu przez uczestników rozliczających depozytów zabezpieczających do wymaganego przez ten podmiot poziomu lub </w:t>
            </w:r>
            <w:r w:rsidRPr="00920145">
              <w:rPr>
                <w:rFonts w:ascii="Verdana" w:hAnsi="Verdana" w:cs="Arial"/>
              </w:rPr>
              <w:lastRenderedPageBreak/>
              <w:t>podjęcia przez KDPW_CCP S.A. innej decyzji umożliwiającej obrót</w:t>
            </w:r>
          </w:p>
        </w:tc>
      </w:tr>
      <w:tr w:rsidR="00FE655D" w:rsidRPr="00920145" w14:paraId="6A45753C" w14:textId="77777777" w:rsidTr="002D5BBE">
        <w:trPr>
          <w:trHeight w:val="835"/>
        </w:trPr>
        <w:tc>
          <w:tcPr>
            <w:tcW w:w="3090" w:type="dxa"/>
          </w:tcPr>
          <w:p w14:paraId="34080B46" w14:textId="77777777" w:rsidR="00FE655D" w:rsidRPr="00920145" w:rsidRDefault="00FE655D" w:rsidP="00A23201">
            <w:pPr>
              <w:pStyle w:val="Tekstpodstawowy21"/>
              <w:spacing w:before="60" w:line="360" w:lineRule="auto"/>
              <w:jc w:val="left"/>
              <w:rPr>
                <w:rFonts w:ascii="Verdana" w:hAnsi="Verdana" w:cs="Arial"/>
              </w:rPr>
            </w:pPr>
            <w:r w:rsidRPr="00920145">
              <w:rPr>
                <w:rFonts w:ascii="Verdana" w:hAnsi="Verdana" w:cs="Arial"/>
              </w:rPr>
              <w:lastRenderedPageBreak/>
              <w:t xml:space="preserve">Kurs odniesienia dla kursu otwarcia, kursu transakcyjnego </w:t>
            </w:r>
            <w:r w:rsidRPr="00920145">
              <w:rPr>
                <w:rFonts w:ascii="Verdana" w:hAnsi="Verdana" w:cs="Arial"/>
              </w:rPr>
              <w:br/>
              <w:t>i kursu zamknięcia</w:t>
            </w:r>
          </w:p>
          <w:p w14:paraId="33A5511A" w14:textId="77777777" w:rsidR="00FE655D" w:rsidRPr="00920145" w:rsidRDefault="00FE655D" w:rsidP="00A23201">
            <w:pPr>
              <w:pStyle w:val="Tekstpodstawowy21"/>
              <w:spacing w:before="60" w:line="360" w:lineRule="auto"/>
              <w:jc w:val="left"/>
              <w:rPr>
                <w:rFonts w:ascii="Verdana" w:hAnsi="Verdana" w:cs="Arial"/>
              </w:rPr>
            </w:pPr>
            <w:r w:rsidRPr="00920145">
              <w:rPr>
                <w:rFonts w:ascii="Verdana" w:hAnsi="Verdana" w:cs="Arial"/>
              </w:rPr>
              <w:t xml:space="preserve"> - dla statycznych ograniczeń wahań kursów</w:t>
            </w:r>
          </w:p>
          <w:p w14:paraId="68250FA9" w14:textId="77777777" w:rsidR="00FE655D" w:rsidRPr="00920145" w:rsidRDefault="00FE655D" w:rsidP="00A23201">
            <w:pPr>
              <w:pStyle w:val="Tekstpodstawowy21"/>
              <w:spacing w:before="60" w:line="360" w:lineRule="auto"/>
              <w:jc w:val="left"/>
              <w:rPr>
                <w:rFonts w:ascii="Verdana" w:hAnsi="Verdana" w:cs="Arial"/>
              </w:rPr>
            </w:pPr>
          </w:p>
          <w:p w14:paraId="70D6AF97" w14:textId="77777777" w:rsidR="00FE655D" w:rsidRPr="00920145" w:rsidRDefault="00FE655D" w:rsidP="00A23201">
            <w:pPr>
              <w:pStyle w:val="Tekstpodstawowy21"/>
              <w:spacing w:before="60" w:line="360" w:lineRule="auto"/>
              <w:jc w:val="left"/>
              <w:rPr>
                <w:rFonts w:ascii="Verdana" w:hAnsi="Verdana" w:cs="Arial"/>
              </w:rPr>
            </w:pPr>
          </w:p>
        </w:tc>
        <w:tc>
          <w:tcPr>
            <w:tcW w:w="5415" w:type="dxa"/>
          </w:tcPr>
          <w:p w14:paraId="771B34F4" w14:textId="77777777" w:rsidR="00FE655D" w:rsidRPr="00920145" w:rsidRDefault="00FE655D" w:rsidP="00A23201">
            <w:pPr>
              <w:pStyle w:val="Tekstpodstawowy3"/>
              <w:tabs>
                <w:tab w:val="left" w:pos="1134"/>
              </w:tabs>
              <w:spacing w:before="60" w:line="360" w:lineRule="auto"/>
              <w:jc w:val="both"/>
              <w:rPr>
                <w:rFonts w:ascii="Verdana" w:hAnsi="Verdana" w:cs="Arial"/>
                <w:b w:val="0"/>
                <w:sz w:val="20"/>
              </w:rPr>
            </w:pPr>
            <w:r w:rsidRPr="00920145">
              <w:rPr>
                <w:rFonts w:ascii="Verdana" w:hAnsi="Verdana" w:cs="Arial"/>
                <w:b w:val="0"/>
                <w:sz w:val="20"/>
              </w:rPr>
              <w:t>Ostatni dzienny kurs rozliczeniowy dla danej serii kontraktów, a w przypadku jego braku kurs teoretyczny wyznaczony zgodnie z następującą regułą:</w:t>
            </w:r>
          </w:p>
          <w:p w14:paraId="69CB73A4" w14:textId="77777777" w:rsidR="00FE655D" w:rsidRPr="00920145" w:rsidRDefault="00FE655D" w:rsidP="00A232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360" w:lineRule="auto"/>
              <w:ind w:left="360"/>
              <w:rPr>
                <w:rFonts w:ascii="Verdana" w:hAnsi="Verdana" w:cs="Arial"/>
                <w:sz w:val="20"/>
                <w:szCs w:val="20"/>
              </w:rPr>
            </w:pPr>
            <w:r w:rsidRPr="00920145">
              <w:rPr>
                <w:rFonts w:ascii="Verdana" w:hAnsi="Verdana" w:cs="Arial"/>
                <w:position w:val="-28"/>
                <w:sz w:val="20"/>
                <w:szCs w:val="20"/>
              </w:rPr>
              <w:object w:dxaOrig="1939" w:dyaOrig="700" w14:anchorId="3754CA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24.75pt" o:ole="" fillcolor="window">
                  <v:imagedata r:id="rId9" o:title=""/>
                </v:shape>
                <o:OLEObject Type="Embed" ProgID="Equation.3" ShapeID="_x0000_i1025" DrawAspect="Content" ObjectID="_1810630009" r:id="rId10"/>
              </w:object>
            </w:r>
            <w:r w:rsidRPr="00920145">
              <w:rPr>
                <w:rFonts w:ascii="Verdana" w:hAnsi="Verdana" w:cs="Arial"/>
                <w:sz w:val="20"/>
                <w:szCs w:val="20"/>
              </w:rPr>
              <w:t xml:space="preserve">   </w:t>
            </w:r>
          </w:p>
          <w:p w14:paraId="3D205649" w14:textId="77777777" w:rsidR="00FE655D" w:rsidRPr="00920145" w:rsidRDefault="00FE655D" w:rsidP="00A232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360" w:lineRule="auto"/>
              <w:rPr>
                <w:rFonts w:ascii="Verdana" w:hAnsi="Verdana" w:cs="Arial"/>
                <w:sz w:val="20"/>
                <w:szCs w:val="20"/>
              </w:rPr>
            </w:pPr>
            <w:r w:rsidRPr="00920145">
              <w:rPr>
                <w:rFonts w:ascii="Verdana" w:hAnsi="Verdana" w:cs="Arial"/>
                <w:sz w:val="20"/>
                <w:szCs w:val="20"/>
              </w:rPr>
              <w:t>gdzie:</w:t>
            </w:r>
          </w:p>
          <w:tbl>
            <w:tblPr>
              <w:tblW w:w="6380" w:type="dxa"/>
              <w:tblInd w:w="33" w:type="dxa"/>
              <w:tblLayout w:type="fixed"/>
              <w:tblCellMar>
                <w:left w:w="70" w:type="dxa"/>
                <w:right w:w="70" w:type="dxa"/>
              </w:tblCellMar>
              <w:tblLook w:val="0000" w:firstRow="0" w:lastRow="0" w:firstColumn="0" w:lastColumn="0" w:noHBand="0" w:noVBand="0"/>
            </w:tblPr>
            <w:tblGrid>
              <w:gridCol w:w="710"/>
              <w:gridCol w:w="5670"/>
            </w:tblGrid>
            <w:tr w:rsidR="00FE655D" w:rsidRPr="00920145" w14:paraId="3BB07557" w14:textId="77777777" w:rsidTr="002E54C1">
              <w:trPr>
                <w:cantSplit/>
              </w:trPr>
              <w:tc>
                <w:tcPr>
                  <w:tcW w:w="710" w:type="dxa"/>
                </w:tcPr>
                <w:p w14:paraId="1C9B0417" w14:textId="77777777" w:rsidR="00FE655D" w:rsidRPr="00920145" w:rsidRDefault="00FE655D" w:rsidP="00A23201">
                  <w:pPr>
                    <w:spacing w:before="60" w:line="360" w:lineRule="auto"/>
                    <w:rPr>
                      <w:rFonts w:ascii="Verdana" w:hAnsi="Verdana" w:cs="Arial"/>
                      <w:sz w:val="20"/>
                      <w:szCs w:val="20"/>
                    </w:rPr>
                  </w:pPr>
                  <w:r w:rsidRPr="00920145">
                    <w:rPr>
                      <w:rFonts w:ascii="Verdana" w:hAnsi="Verdana" w:cs="Arial"/>
                      <w:sz w:val="20"/>
                      <w:szCs w:val="20"/>
                    </w:rPr>
                    <w:t>F-</w:t>
                  </w:r>
                </w:p>
              </w:tc>
              <w:tc>
                <w:tcPr>
                  <w:tcW w:w="5670" w:type="dxa"/>
                </w:tcPr>
                <w:p w14:paraId="01F8AA78" w14:textId="77777777" w:rsidR="00FE655D" w:rsidRPr="00920145" w:rsidRDefault="00FE655D" w:rsidP="00A23201">
                  <w:pPr>
                    <w:spacing w:before="60" w:line="360" w:lineRule="auto"/>
                    <w:rPr>
                      <w:rFonts w:ascii="Verdana" w:hAnsi="Verdana" w:cs="Arial"/>
                      <w:sz w:val="20"/>
                      <w:szCs w:val="20"/>
                    </w:rPr>
                  </w:pPr>
                  <w:r w:rsidRPr="00920145">
                    <w:rPr>
                      <w:rFonts w:ascii="Verdana" w:hAnsi="Verdana" w:cs="Arial"/>
                      <w:sz w:val="20"/>
                      <w:szCs w:val="20"/>
                    </w:rPr>
                    <w:t>kurs odniesienia,</w:t>
                  </w:r>
                </w:p>
              </w:tc>
            </w:tr>
            <w:tr w:rsidR="00FE655D" w:rsidRPr="00920145" w14:paraId="6C62ACBA" w14:textId="77777777" w:rsidTr="002E54C1">
              <w:trPr>
                <w:cantSplit/>
              </w:trPr>
              <w:tc>
                <w:tcPr>
                  <w:tcW w:w="710" w:type="dxa"/>
                </w:tcPr>
                <w:p w14:paraId="7B9269D7" w14:textId="77777777" w:rsidR="00FE655D" w:rsidRPr="00920145" w:rsidRDefault="00FE655D" w:rsidP="00A23201">
                  <w:pPr>
                    <w:spacing w:before="60" w:line="360" w:lineRule="auto"/>
                    <w:rPr>
                      <w:rFonts w:ascii="Verdana" w:hAnsi="Verdana" w:cs="Arial"/>
                      <w:sz w:val="20"/>
                      <w:szCs w:val="20"/>
                    </w:rPr>
                  </w:pPr>
                  <w:r w:rsidRPr="00920145">
                    <w:rPr>
                      <w:rFonts w:ascii="Verdana" w:hAnsi="Verdana" w:cs="Arial"/>
                      <w:sz w:val="20"/>
                      <w:szCs w:val="20"/>
                    </w:rPr>
                    <w:t>I-</w:t>
                  </w:r>
                </w:p>
              </w:tc>
              <w:tc>
                <w:tcPr>
                  <w:tcW w:w="5670" w:type="dxa"/>
                </w:tcPr>
                <w:p w14:paraId="3AF348C7" w14:textId="77777777" w:rsidR="00FE655D" w:rsidRPr="00920145" w:rsidRDefault="00FE655D" w:rsidP="004F298F">
                  <w:pPr>
                    <w:spacing w:before="60" w:after="0" w:line="360" w:lineRule="auto"/>
                    <w:rPr>
                      <w:rFonts w:ascii="Verdana" w:hAnsi="Verdana" w:cs="Arial"/>
                      <w:sz w:val="20"/>
                      <w:szCs w:val="20"/>
                    </w:rPr>
                  </w:pPr>
                  <w:r w:rsidRPr="00920145">
                    <w:rPr>
                      <w:rFonts w:ascii="Verdana" w:hAnsi="Verdana" w:cs="Arial"/>
                      <w:sz w:val="20"/>
                      <w:szCs w:val="20"/>
                    </w:rPr>
                    <w:t xml:space="preserve">ostatnia wartość indeksu będącego </w:t>
                  </w:r>
                </w:p>
                <w:p w14:paraId="223BD4E2" w14:textId="3B32DBCE" w:rsidR="00FE655D" w:rsidRPr="00920145" w:rsidRDefault="00FE655D" w:rsidP="004F298F">
                  <w:pPr>
                    <w:spacing w:before="60" w:after="0" w:line="360" w:lineRule="auto"/>
                    <w:rPr>
                      <w:rFonts w:ascii="Verdana" w:hAnsi="Verdana" w:cs="Arial"/>
                      <w:sz w:val="20"/>
                      <w:szCs w:val="20"/>
                    </w:rPr>
                  </w:pPr>
                  <w:r w:rsidRPr="00920145">
                    <w:rPr>
                      <w:rFonts w:ascii="Verdana" w:hAnsi="Verdana" w:cs="Arial"/>
                      <w:sz w:val="20"/>
                      <w:szCs w:val="20"/>
                    </w:rPr>
                    <w:t xml:space="preserve">instrumentem bazowym z ostatniej sesji poprzedzającej sesję, na którą wyznaczany </w:t>
                  </w:r>
                  <w:r w:rsidRPr="00920145">
                    <w:rPr>
                      <w:rFonts w:ascii="Verdana" w:hAnsi="Verdana" w:cs="Arial"/>
                      <w:sz w:val="20"/>
                      <w:szCs w:val="20"/>
                    </w:rPr>
                    <w:br/>
                    <w:t>jest kurs odniesienia,</w:t>
                  </w:r>
                </w:p>
              </w:tc>
            </w:tr>
            <w:tr w:rsidR="00FE655D" w:rsidRPr="00920145" w14:paraId="2D117605" w14:textId="77777777" w:rsidTr="002E54C1">
              <w:trPr>
                <w:cantSplit/>
              </w:trPr>
              <w:tc>
                <w:tcPr>
                  <w:tcW w:w="710" w:type="dxa"/>
                </w:tcPr>
                <w:p w14:paraId="2089587A" w14:textId="77777777" w:rsidR="00FE655D" w:rsidRPr="00920145" w:rsidRDefault="00FE655D" w:rsidP="00A23201">
                  <w:pPr>
                    <w:spacing w:before="60" w:line="360" w:lineRule="auto"/>
                    <w:rPr>
                      <w:rFonts w:ascii="Verdana" w:hAnsi="Verdana" w:cs="Arial"/>
                      <w:sz w:val="20"/>
                      <w:szCs w:val="20"/>
                    </w:rPr>
                  </w:pPr>
                  <w:r w:rsidRPr="00920145">
                    <w:rPr>
                      <w:rFonts w:ascii="Verdana" w:hAnsi="Verdana" w:cs="Arial"/>
                      <w:sz w:val="20"/>
                      <w:szCs w:val="20"/>
                    </w:rPr>
                    <w:t xml:space="preserve">r - </w:t>
                  </w:r>
                </w:p>
              </w:tc>
              <w:tc>
                <w:tcPr>
                  <w:tcW w:w="5670" w:type="dxa"/>
                </w:tcPr>
                <w:p w14:paraId="5014125E" w14:textId="77777777" w:rsidR="00FE655D" w:rsidRPr="00920145" w:rsidRDefault="00FE655D" w:rsidP="00A23201">
                  <w:pPr>
                    <w:spacing w:before="60" w:line="360" w:lineRule="auto"/>
                    <w:rPr>
                      <w:rFonts w:ascii="Verdana" w:hAnsi="Verdana" w:cs="Arial"/>
                      <w:sz w:val="20"/>
                      <w:szCs w:val="20"/>
                    </w:rPr>
                  </w:pPr>
                  <w:r w:rsidRPr="00920145">
                    <w:rPr>
                      <w:rFonts w:ascii="Verdana" w:hAnsi="Verdana" w:cs="Arial"/>
                      <w:sz w:val="20"/>
                      <w:szCs w:val="20"/>
                    </w:rPr>
                    <w:t>stopa procentowa (określana przez Giełdę),</w:t>
                  </w:r>
                  <w:r w:rsidRPr="00920145">
                    <w:rPr>
                      <w:rFonts w:ascii="Verdana" w:hAnsi="Verdana"/>
                      <w:sz w:val="20"/>
                      <w:szCs w:val="20"/>
                    </w:rPr>
                    <w:t xml:space="preserve"> </w:t>
                  </w:r>
                </w:p>
              </w:tc>
            </w:tr>
            <w:tr w:rsidR="00FE655D" w:rsidRPr="00920145" w14:paraId="15E9D630" w14:textId="77777777" w:rsidTr="002E54C1">
              <w:trPr>
                <w:cantSplit/>
              </w:trPr>
              <w:tc>
                <w:tcPr>
                  <w:tcW w:w="710" w:type="dxa"/>
                </w:tcPr>
                <w:p w14:paraId="11E95770" w14:textId="77777777" w:rsidR="00FE655D" w:rsidRPr="00920145" w:rsidRDefault="00FE655D" w:rsidP="00A23201">
                  <w:pPr>
                    <w:spacing w:before="60" w:line="360" w:lineRule="auto"/>
                    <w:rPr>
                      <w:rFonts w:ascii="Verdana" w:hAnsi="Verdana" w:cs="Arial"/>
                      <w:sz w:val="20"/>
                      <w:szCs w:val="20"/>
                    </w:rPr>
                  </w:pPr>
                  <w:r w:rsidRPr="00920145">
                    <w:rPr>
                      <w:rFonts w:ascii="Verdana" w:hAnsi="Verdana" w:cs="Arial"/>
                      <w:sz w:val="20"/>
                      <w:szCs w:val="20"/>
                    </w:rPr>
                    <w:t>n -</w:t>
                  </w:r>
                </w:p>
              </w:tc>
              <w:tc>
                <w:tcPr>
                  <w:tcW w:w="5670" w:type="dxa"/>
                </w:tcPr>
                <w:p w14:paraId="3FCC3150" w14:textId="77777777" w:rsidR="00FE655D" w:rsidRPr="00920145" w:rsidRDefault="00FE655D" w:rsidP="004F298F">
                  <w:pPr>
                    <w:spacing w:after="0" w:line="360" w:lineRule="auto"/>
                    <w:rPr>
                      <w:rFonts w:ascii="Verdana" w:hAnsi="Verdana" w:cs="Arial"/>
                      <w:sz w:val="20"/>
                      <w:szCs w:val="20"/>
                    </w:rPr>
                  </w:pPr>
                  <w:r w:rsidRPr="00920145">
                    <w:rPr>
                      <w:rFonts w:ascii="Verdana" w:hAnsi="Verdana" w:cs="Arial"/>
                      <w:sz w:val="20"/>
                      <w:szCs w:val="20"/>
                    </w:rPr>
                    <w:t xml:space="preserve">ilość dni od dnia ostatniej sesji poprzedzającej </w:t>
                  </w:r>
                </w:p>
                <w:p w14:paraId="178CAACC" w14:textId="77777777" w:rsidR="00FE655D" w:rsidRPr="00920145" w:rsidRDefault="00FE655D" w:rsidP="004F298F">
                  <w:pPr>
                    <w:spacing w:after="0" w:line="360" w:lineRule="auto"/>
                    <w:rPr>
                      <w:rFonts w:ascii="Verdana" w:hAnsi="Verdana" w:cs="Arial"/>
                      <w:sz w:val="20"/>
                      <w:szCs w:val="20"/>
                    </w:rPr>
                  </w:pPr>
                  <w:r w:rsidRPr="00920145">
                    <w:rPr>
                      <w:rFonts w:ascii="Verdana" w:hAnsi="Verdana" w:cs="Arial"/>
                      <w:sz w:val="20"/>
                      <w:szCs w:val="20"/>
                    </w:rPr>
                    <w:t xml:space="preserve">sesję, na którą wyznaczany jest kurs </w:t>
                  </w:r>
                </w:p>
                <w:p w14:paraId="0A811AB2" w14:textId="77777777" w:rsidR="00FE655D" w:rsidRPr="00920145" w:rsidRDefault="00FE655D" w:rsidP="004F298F">
                  <w:pPr>
                    <w:spacing w:before="60" w:after="0" w:line="360" w:lineRule="auto"/>
                    <w:rPr>
                      <w:rFonts w:ascii="Verdana" w:hAnsi="Verdana" w:cs="Arial"/>
                      <w:sz w:val="20"/>
                      <w:szCs w:val="20"/>
                    </w:rPr>
                  </w:pPr>
                  <w:r w:rsidRPr="00920145">
                    <w:rPr>
                      <w:rFonts w:ascii="Verdana" w:hAnsi="Verdana" w:cs="Arial"/>
                      <w:sz w:val="20"/>
                      <w:szCs w:val="20"/>
                    </w:rPr>
                    <w:t>odniesienia do dnia wygaśnięcia kontraktu</w:t>
                  </w:r>
                </w:p>
              </w:tc>
            </w:tr>
          </w:tbl>
          <w:p w14:paraId="46CAB9C4" w14:textId="77777777" w:rsidR="00FE655D" w:rsidRPr="00920145" w:rsidRDefault="00FE655D" w:rsidP="00A23201">
            <w:pPr>
              <w:pStyle w:val="Tekstpodstawowy21"/>
              <w:spacing w:before="60" w:line="360" w:lineRule="auto"/>
              <w:rPr>
                <w:rFonts w:ascii="Verdana" w:hAnsi="Verdana" w:cs="Arial"/>
              </w:rPr>
            </w:pPr>
          </w:p>
        </w:tc>
      </w:tr>
      <w:tr w:rsidR="00FE655D" w:rsidRPr="00920145" w14:paraId="1B300D48" w14:textId="77777777" w:rsidTr="002D5BBE">
        <w:trPr>
          <w:trHeight w:val="53"/>
        </w:trPr>
        <w:tc>
          <w:tcPr>
            <w:tcW w:w="3090" w:type="dxa"/>
          </w:tcPr>
          <w:p w14:paraId="05AF6142" w14:textId="77777777" w:rsidR="00FE655D" w:rsidRPr="00920145" w:rsidRDefault="00FE655D" w:rsidP="00A23201">
            <w:pPr>
              <w:pStyle w:val="Tekstpodstawowy21"/>
              <w:spacing w:before="60" w:line="360" w:lineRule="auto"/>
              <w:jc w:val="left"/>
              <w:rPr>
                <w:rFonts w:ascii="Verdana" w:hAnsi="Verdana" w:cs="Arial"/>
              </w:rPr>
            </w:pPr>
            <w:r w:rsidRPr="00920145">
              <w:rPr>
                <w:rFonts w:ascii="Verdana" w:hAnsi="Verdana" w:cs="Arial"/>
              </w:rPr>
              <w:t>Wysokość dynamicznych ograniczeń wahań kursów</w:t>
            </w:r>
          </w:p>
        </w:tc>
        <w:tc>
          <w:tcPr>
            <w:tcW w:w="5415" w:type="dxa"/>
          </w:tcPr>
          <w:p w14:paraId="3432C804" w14:textId="77777777" w:rsidR="00FE655D" w:rsidRPr="00920145" w:rsidRDefault="00FE655D" w:rsidP="00A23201">
            <w:pPr>
              <w:pStyle w:val="Tekstpodstawowy3"/>
              <w:tabs>
                <w:tab w:val="left" w:pos="601"/>
              </w:tabs>
              <w:spacing w:before="60" w:line="360" w:lineRule="auto"/>
              <w:jc w:val="left"/>
              <w:rPr>
                <w:rFonts w:ascii="Verdana" w:hAnsi="Verdana" w:cs="Arial"/>
                <w:b w:val="0"/>
                <w:sz w:val="20"/>
              </w:rPr>
            </w:pPr>
            <w:r w:rsidRPr="00920145">
              <w:rPr>
                <w:rFonts w:ascii="Verdana" w:hAnsi="Verdana" w:cs="Arial"/>
                <w:b w:val="0"/>
                <w:sz w:val="20"/>
              </w:rPr>
              <w:t xml:space="preserve">1% od kursu odniesienia  </w:t>
            </w:r>
            <w:r w:rsidRPr="00920145">
              <w:rPr>
                <w:rFonts w:ascii="Verdana" w:hAnsi="Verdana" w:cs="Arial"/>
                <w:b w:val="0"/>
                <w:sz w:val="20"/>
              </w:rPr>
              <w:br/>
            </w:r>
          </w:p>
        </w:tc>
      </w:tr>
      <w:tr w:rsidR="00FE655D" w:rsidRPr="00920145" w14:paraId="2D4ECDB0" w14:textId="77777777" w:rsidTr="002D5BBE">
        <w:trPr>
          <w:trHeight w:val="53"/>
        </w:trPr>
        <w:tc>
          <w:tcPr>
            <w:tcW w:w="3090" w:type="dxa"/>
          </w:tcPr>
          <w:p w14:paraId="5761699A" w14:textId="77777777" w:rsidR="00FE655D" w:rsidRPr="00920145" w:rsidRDefault="00FE655D" w:rsidP="004F298F">
            <w:pPr>
              <w:pStyle w:val="Tekstpodstawowy21"/>
              <w:spacing w:before="60" w:after="0" w:line="360" w:lineRule="auto"/>
              <w:jc w:val="left"/>
              <w:rPr>
                <w:rFonts w:ascii="Verdana" w:hAnsi="Verdana" w:cs="Arial"/>
              </w:rPr>
            </w:pPr>
            <w:r w:rsidRPr="00920145">
              <w:rPr>
                <w:rFonts w:ascii="Verdana" w:hAnsi="Verdana" w:cs="Arial"/>
              </w:rPr>
              <w:t>Kurs odniesienia dla kursu otwarcia -  dla dynamicznych ograniczeń wahań kursów</w:t>
            </w:r>
          </w:p>
        </w:tc>
        <w:tc>
          <w:tcPr>
            <w:tcW w:w="5415" w:type="dxa"/>
          </w:tcPr>
          <w:p w14:paraId="4F1D2CDC" w14:textId="77777777" w:rsidR="00FE655D" w:rsidRPr="00920145" w:rsidRDefault="00FE655D" w:rsidP="004F298F">
            <w:pPr>
              <w:pStyle w:val="Tekstpodstawowy21"/>
              <w:spacing w:before="60" w:after="0" w:line="360" w:lineRule="auto"/>
              <w:jc w:val="left"/>
              <w:rPr>
                <w:rFonts w:ascii="Verdana" w:hAnsi="Verdana" w:cs="Arial"/>
              </w:rPr>
            </w:pPr>
            <w:r w:rsidRPr="00920145">
              <w:rPr>
                <w:rFonts w:ascii="Verdana" w:hAnsi="Verdana" w:cs="Arial"/>
              </w:rPr>
              <w:t>równy kursowi odniesienia dla statycznych ograniczeń wahań kursów</w:t>
            </w:r>
          </w:p>
        </w:tc>
      </w:tr>
      <w:tr w:rsidR="00FE655D" w:rsidRPr="00920145" w14:paraId="01E44836" w14:textId="77777777" w:rsidTr="002D5BBE">
        <w:trPr>
          <w:trHeight w:val="53"/>
        </w:trPr>
        <w:tc>
          <w:tcPr>
            <w:tcW w:w="3090" w:type="dxa"/>
          </w:tcPr>
          <w:p w14:paraId="4335A3A4" w14:textId="77777777" w:rsidR="00FE655D" w:rsidRPr="00920145" w:rsidRDefault="00FE655D" w:rsidP="004F298F">
            <w:pPr>
              <w:pStyle w:val="Tekstpodstawowy21"/>
              <w:spacing w:before="60" w:after="0" w:line="360" w:lineRule="auto"/>
              <w:jc w:val="left"/>
              <w:rPr>
                <w:rFonts w:ascii="Verdana" w:hAnsi="Verdana" w:cs="Arial"/>
              </w:rPr>
            </w:pPr>
            <w:r w:rsidRPr="00920145">
              <w:rPr>
                <w:rFonts w:ascii="Verdana" w:hAnsi="Verdana" w:cs="Arial"/>
              </w:rPr>
              <w:t>Równoważenie podstawowe dla statycznych ograniczeń wahań kursów</w:t>
            </w:r>
          </w:p>
        </w:tc>
        <w:tc>
          <w:tcPr>
            <w:tcW w:w="5415" w:type="dxa"/>
          </w:tcPr>
          <w:p w14:paraId="7BD3A816" w14:textId="77777777" w:rsidR="00FE655D" w:rsidRPr="00920145" w:rsidRDefault="00FE655D" w:rsidP="004F298F">
            <w:pPr>
              <w:pStyle w:val="Tekstpodstawowy21"/>
              <w:spacing w:before="60" w:after="0" w:line="360" w:lineRule="auto"/>
              <w:jc w:val="left"/>
              <w:rPr>
                <w:rFonts w:ascii="Verdana" w:hAnsi="Verdana" w:cs="Arial"/>
              </w:rPr>
            </w:pPr>
            <w:r w:rsidRPr="00920145">
              <w:rPr>
                <w:rFonts w:ascii="Verdana" w:hAnsi="Verdana" w:cs="Arial"/>
              </w:rPr>
              <w:t>Tak</w:t>
            </w:r>
          </w:p>
        </w:tc>
      </w:tr>
      <w:tr w:rsidR="00FE655D" w:rsidRPr="00920145" w14:paraId="5D345107" w14:textId="77777777" w:rsidTr="002D5BBE">
        <w:trPr>
          <w:trHeight w:val="53"/>
        </w:trPr>
        <w:tc>
          <w:tcPr>
            <w:tcW w:w="3090" w:type="dxa"/>
          </w:tcPr>
          <w:p w14:paraId="2DB2E89B" w14:textId="77777777" w:rsidR="00FE655D" w:rsidRPr="00920145" w:rsidRDefault="00FE655D" w:rsidP="004F298F">
            <w:pPr>
              <w:pStyle w:val="Tekstpodstawowy21"/>
              <w:spacing w:before="60" w:after="0" w:line="360" w:lineRule="auto"/>
              <w:jc w:val="left"/>
              <w:rPr>
                <w:rFonts w:ascii="Verdana" w:hAnsi="Verdana" w:cs="Arial"/>
              </w:rPr>
            </w:pPr>
            <w:r w:rsidRPr="00920145">
              <w:rPr>
                <w:rFonts w:ascii="Verdana" w:hAnsi="Verdana" w:cs="Arial"/>
              </w:rPr>
              <w:t>Czas trwania równoważenia podstawowego dla statycznych ograniczeń wahań kursów</w:t>
            </w:r>
          </w:p>
        </w:tc>
        <w:tc>
          <w:tcPr>
            <w:tcW w:w="5415" w:type="dxa"/>
          </w:tcPr>
          <w:p w14:paraId="43924380" w14:textId="77777777" w:rsidR="00FE655D" w:rsidRPr="00920145" w:rsidRDefault="00FE655D" w:rsidP="004F298F">
            <w:pPr>
              <w:pStyle w:val="Tekstpodstawowy21"/>
              <w:spacing w:before="60" w:after="0" w:line="360" w:lineRule="auto"/>
              <w:jc w:val="left"/>
              <w:rPr>
                <w:rFonts w:ascii="Verdana" w:hAnsi="Verdana" w:cs="Arial"/>
              </w:rPr>
            </w:pPr>
            <w:r w:rsidRPr="00920145">
              <w:rPr>
                <w:rFonts w:ascii="Verdana" w:hAnsi="Verdana" w:cs="Arial"/>
              </w:rPr>
              <w:t>300 sekund</w:t>
            </w:r>
          </w:p>
        </w:tc>
      </w:tr>
      <w:tr w:rsidR="00FE655D" w:rsidRPr="00920145" w14:paraId="45743992" w14:textId="77777777" w:rsidTr="002D5BBE">
        <w:trPr>
          <w:trHeight w:val="53"/>
        </w:trPr>
        <w:tc>
          <w:tcPr>
            <w:tcW w:w="3090" w:type="dxa"/>
          </w:tcPr>
          <w:p w14:paraId="3B1556FB" w14:textId="77777777" w:rsidR="00FE655D" w:rsidRPr="00920145" w:rsidRDefault="00FE655D" w:rsidP="004F298F">
            <w:pPr>
              <w:pStyle w:val="Tekstpodstawowy21"/>
              <w:spacing w:before="60" w:after="0" w:line="360" w:lineRule="auto"/>
              <w:jc w:val="left"/>
              <w:rPr>
                <w:rFonts w:ascii="Verdana" w:hAnsi="Verdana" w:cs="Arial"/>
              </w:rPr>
            </w:pPr>
            <w:r w:rsidRPr="00920145">
              <w:rPr>
                <w:rFonts w:ascii="Verdana" w:hAnsi="Verdana" w:cs="Arial"/>
              </w:rPr>
              <w:t xml:space="preserve">Współczynnik przesunięcia kursu odniesienia dla </w:t>
            </w:r>
            <w:r w:rsidRPr="00920145">
              <w:rPr>
                <w:rFonts w:ascii="Verdana" w:hAnsi="Verdana" w:cs="Arial"/>
              </w:rPr>
              <w:lastRenderedPageBreak/>
              <w:t>równoważenia w fazie aukcji otwarcia</w:t>
            </w:r>
          </w:p>
        </w:tc>
        <w:tc>
          <w:tcPr>
            <w:tcW w:w="5415" w:type="dxa"/>
          </w:tcPr>
          <w:p w14:paraId="3CB6A211" w14:textId="77777777" w:rsidR="00FE655D" w:rsidRPr="00920145" w:rsidRDefault="00FE655D" w:rsidP="004F298F">
            <w:pPr>
              <w:pStyle w:val="Tekstpodstawowy21"/>
              <w:spacing w:before="60" w:after="0" w:line="360" w:lineRule="auto"/>
              <w:jc w:val="left"/>
              <w:rPr>
                <w:rFonts w:ascii="Verdana" w:hAnsi="Verdana" w:cs="Arial"/>
              </w:rPr>
            </w:pPr>
            <w:r w:rsidRPr="00920145">
              <w:rPr>
                <w:rFonts w:ascii="Verdana" w:hAnsi="Verdana" w:cs="Arial"/>
              </w:rPr>
              <w:lastRenderedPageBreak/>
              <w:t>1</w:t>
            </w:r>
          </w:p>
        </w:tc>
      </w:tr>
      <w:tr w:rsidR="00FE655D" w:rsidRPr="00920145" w14:paraId="5B1EAA3D" w14:textId="77777777" w:rsidTr="002D5BBE">
        <w:trPr>
          <w:trHeight w:val="53"/>
        </w:trPr>
        <w:tc>
          <w:tcPr>
            <w:tcW w:w="3090" w:type="dxa"/>
          </w:tcPr>
          <w:p w14:paraId="16D17640" w14:textId="77777777" w:rsidR="00FE655D" w:rsidRPr="00920145" w:rsidRDefault="00FE655D" w:rsidP="004F298F">
            <w:pPr>
              <w:pStyle w:val="Tekstpodstawowy21"/>
              <w:spacing w:before="60" w:after="0" w:line="360" w:lineRule="auto"/>
              <w:jc w:val="left"/>
              <w:rPr>
                <w:rFonts w:ascii="Verdana" w:hAnsi="Verdana" w:cs="Arial"/>
              </w:rPr>
            </w:pPr>
            <w:r w:rsidRPr="00920145">
              <w:rPr>
                <w:rFonts w:ascii="Verdana" w:hAnsi="Verdana" w:cs="Arial"/>
              </w:rPr>
              <w:t>Współczynnik przesunięcia kursu odniesienia dla równoważenia w fazach innych niż faza aukcji otwarcia</w:t>
            </w:r>
          </w:p>
        </w:tc>
        <w:tc>
          <w:tcPr>
            <w:tcW w:w="5415" w:type="dxa"/>
          </w:tcPr>
          <w:p w14:paraId="7CB2316A" w14:textId="77777777" w:rsidR="00FE655D" w:rsidRPr="00920145" w:rsidRDefault="00FE655D" w:rsidP="004F298F">
            <w:pPr>
              <w:pStyle w:val="Tekstpodstawowy21"/>
              <w:spacing w:before="60" w:after="0" w:line="360" w:lineRule="auto"/>
              <w:jc w:val="left"/>
              <w:rPr>
                <w:rFonts w:ascii="Verdana" w:hAnsi="Verdana" w:cs="Arial"/>
              </w:rPr>
            </w:pPr>
            <w:r w:rsidRPr="00920145">
              <w:rPr>
                <w:rFonts w:ascii="Verdana" w:hAnsi="Verdana" w:cs="Arial"/>
              </w:rPr>
              <w:t>0,5</w:t>
            </w:r>
          </w:p>
        </w:tc>
      </w:tr>
      <w:tr w:rsidR="00FE655D" w:rsidRPr="00920145" w14:paraId="5DD8CF22" w14:textId="77777777" w:rsidTr="002D5BBE">
        <w:trPr>
          <w:trHeight w:val="53"/>
        </w:trPr>
        <w:tc>
          <w:tcPr>
            <w:tcW w:w="3090" w:type="dxa"/>
          </w:tcPr>
          <w:p w14:paraId="4275D461" w14:textId="77777777" w:rsidR="00FE655D" w:rsidRPr="00920145" w:rsidRDefault="00FE655D" w:rsidP="004F298F">
            <w:pPr>
              <w:pStyle w:val="Tekstpodstawowy21"/>
              <w:spacing w:before="60" w:after="0" w:line="360" w:lineRule="auto"/>
              <w:jc w:val="left"/>
              <w:rPr>
                <w:rFonts w:ascii="Verdana" w:hAnsi="Verdana" w:cs="Arial"/>
              </w:rPr>
            </w:pPr>
            <w:r w:rsidRPr="00920145">
              <w:rPr>
                <w:rFonts w:ascii="Verdana" w:hAnsi="Verdana" w:cs="Arial"/>
              </w:rPr>
              <w:t>Współczynnik maksymalnej liczby zmian netto statycznych ograniczeń wahań kursów</w:t>
            </w:r>
          </w:p>
        </w:tc>
        <w:tc>
          <w:tcPr>
            <w:tcW w:w="5415" w:type="dxa"/>
          </w:tcPr>
          <w:p w14:paraId="3D616E7F" w14:textId="77777777" w:rsidR="00FE655D" w:rsidRPr="00920145" w:rsidRDefault="00FE655D" w:rsidP="004F298F">
            <w:pPr>
              <w:pStyle w:val="Tekstpodstawowy21"/>
              <w:spacing w:before="60" w:after="0" w:line="360" w:lineRule="auto"/>
              <w:jc w:val="left"/>
              <w:rPr>
                <w:rFonts w:ascii="Verdana" w:hAnsi="Verdana" w:cs="Arial"/>
              </w:rPr>
            </w:pPr>
            <w:r w:rsidRPr="00920145">
              <w:rPr>
                <w:rFonts w:ascii="Verdana" w:hAnsi="Verdana" w:cs="Arial"/>
              </w:rPr>
              <w:t>2</w:t>
            </w:r>
          </w:p>
        </w:tc>
      </w:tr>
      <w:tr w:rsidR="00FE655D" w:rsidRPr="00920145" w14:paraId="4A05CB8E" w14:textId="77777777" w:rsidTr="002D5BBE">
        <w:trPr>
          <w:trHeight w:val="53"/>
        </w:trPr>
        <w:tc>
          <w:tcPr>
            <w:tcW w:w="3090" w:type="dxa"/>
          </w:tcPr>
          <w:p w14:paraId="618F32C0" w14:textId="77777777" w:rsidR="00FE655D" w:rsidRPr="00920145" w:rsidRDefault="00FE655D" w:rsidP="004F298F">
            <w:pPr>
              <w:pStyle w:val="Tekstpodstawowy21"/>
              <w:spacing w:before="60" w:after="0" w:line="360" w:lineRule="auto"/>
              <w:jc w:val="left"/>
              <w:rPr>
                <w:rFonts w:ascii="Verdana" w:hAnsi="Verdana" w:cs="Arial"/>
              </w:rPr>
            </w:pPr>
            <w:r w:rsidRPr="00920145">
              <w:rPr>
                <w:rFonts w:ascii="Verdana" w:hAnsi="Verdana" w:cs="Arial"/>
              </w:rPr>
              <w:t>Czas trwania równoważenia podstawowego dla dynamicznych ograniczeń wahań kursów</w:t>
            </w:r>
          </w:p>
        </w:tc>
        <w:tc>
          <w:tcPr>
            <w:tcW w:w="5415" w:type="dxa"/>
          </w:tcPr>
          <w:p w14:paraId="4D9AE310" w14:textId="77777777" w:rsidR="00FE655D" w:rsidRPr="00920145" w:rsidRDefault="00FE655D" w:rsidP="004F298F">
            <w:pPr>
              <w:pStyle w:val="Tekstpodstawowy21"/>
              <w:spacing w:before="60" w:after="0" w:line="360" w:lineRule="auto"/>
              <w:jc w:val="left"/>
              <w:rPr>
                <w:rFonts w:ascii="Verdana" w:hAnsi="Verdana" w:cs="Arial"/>
              </w:rPr>
            </w:pPr>
            <w:r w:rsidRPr="00920145">
              <w:rPr>
                <w:rFonts w:ascii="Verdana" w:hAnsi="Verdana" w:cs="Arial"/>
              </w:rPr>
              <w:t>60 sekund</w:t>
            </w:r>
          </w:p>
        </w:tc>
      </w:tr>
      <w:tr w:rsidR="00FE655D" w:rsidRPr="00920145" w14:paraId="36CCAD6F" w14:textId="77777777" w:rsidTr="002D5BBE">
        <w:trPr>
          <w:trHeight w:val="53"/>
        </w:trPr>
        <w:tc>
          <w:tcPr>
            <w:tcW w:w="3090" w:type="dxa"/>
          </w:tcPr>
          <w:p w14:paraId="5B5EF242" w14:textId="77777777" w:rsidR="00FE655D" w:rsidRPr="00920145" w:rsidRDefault="00FE655D" w:rsidP="004F298F">
            <w:pPr>
              <w:pStyle w:val="Tekstpodstawowy21"/>
              <w:spacing w:before="60" w:after="0" w:line="360" w:lineRule="auto"/>
              <w:jc w:val="left"/>
              <w:rPr>
                <w:rFonts w:ascii="Verdana" w:hAnsi="Verdana" w:cs="Arial"/>
              </w:rPr>
            </w:pPr>
            <w:r w:rsidRPr="00920145">
              <w:rPr>
                <w:rFonts w:ascii="Verdana" w:hAnsi="Verdana" w:cs="Arial"/>
              </w:rPr>
              <w:t>Współczynnik rozszerzenia dla równoważenia w fazie aukcji otwarcia</w:t>
            </w:r>
          </w:p>
        </w:tc>
        <w:tc>
          <w:tcPr>
            <w:tcW w:w="5415" w:type="dxa"/>
          </w:tcPr>
          <w:p w14:paraId="6480A87D" w14:textId="77777777" w:rsidR="00FE655D" w:rsidRPr="00920145" w:rsidRDefault="00FE655D" w:rsidP="004F298F">
            <w:pPr>
              <w:pStyle w:val="Tekstpodstawowy21"/>
              <w:spacing w:before="60" w:after="0" w:line="360" w:lineRule="auto"/>
              <w:jc w:val="left"/>
              <w:rPr>
                <w:rFonts w:ascii="Verdana" w:hAnsi="Verdana" w:cs="Arial"/>
              </w:rPr>
            </w:pPr>
            <w:r w:rsidRPr="00920145">
              <w:rPr>
                <w:rFonts w:ascii="Verdana" w:hAnsi="Verdana" w:cs="Arial"/>
              </w:rPr>
              <w:t>3,0</w:t>
            </w:r>
          </w:p>
        </w:tc>
      </w:tr>
      <w:tr w:rsidR="00FE655D" w:rsidRPr="00920145" w14:paraId="2729F9A6" w14:textId="77777777" w:rsidTr="002D5BBE">
        <w:trPr>
          <w:trHeight w:val="53"/>
        </w:trPr>
        <w:tc>
          <w:tcPr>
            <w:tcW w:w="3090" w:type="dxa"/>
          </w:tcPr>
          <w:p w14:paraId="652655FC" w14:textId="77777777" w:rsidR="00FE655D" w:rsidRPr="00920145" w:rsidRDefault="00FE655D" w:rsidP="004F298F">
            <w:pPr>
              <w:pStyle w:val="Tekstpodstawowy21"/>
              <w:spacing w:before="60" w:after="0" w:line="360" w:lineRule="auto"/>
              <w:jc w:val="left"/>
              <w:rPr>
                <w:rFonts w:ascii="Verdana" w:hAnsi="Verdana" w:cs="Arial"/>
              </w:rPr>
            </w:pPr>
            <w:r w:rsidRPr="00920145">
              <w:rPr>
                <w:rFonts w:ascii="Verdana" w:hAnsi="Verdana" w:cs="Arial"/>
              </w:rPr>
              <w:t>Współczynnik rozszerzenia dla równoważenia w fazach innych niż faza aukcji otwarcia</w:t>
            </w:r>
          </w:p>
        </w:tc>
        <w:tc>
          <w:tcPr>
            <w:tcW w:w="5415" w:type="dxa"/>
          </w:tcPr>
          <w:p w14:paraId="0ABD9C83" w14:textId="77777777" w:rsidR="00FE655D" w:rsidRPr="00920145" w:rsidRDefault="00FE655D" w:rsidP="004F298F">
            <w:pPr>
              <w:pStyle w:val="Tekstpodstawowy21"/>
              <w:spacing w:before="60" w:after="0" w:line="360" w:lineRule="auto"/>
              <w:jc w:val="left"/>
              <w:rPr>
                <w:rFonts w:ascii="Verdana" w:hAnsi="Verdana" w:cs="Arial"/>
              </w:rPr>
            </w:pPr>
            <w:r w:rsidRPr="00920145">
              <w:rPr>
                <w:rFonts w:ascii="Verdana" w:hAnsi="Verdana" w:cs="Arial"/>
              </w:rPr>
              <w:t>2,0</w:t>
            </w:r>
          </w:p>
        </w:tc>
      </w:tr>
      <w:tr w:rsidR="00FE655D" w:rsidRPr="00920145" w14:paraId="515484DC" w14:textId="77777777" w:rsidTr="002D5BBE">
        <w:trPr>
          <w:trHeight w:val="53"/>
        </w:trPr>
        <w:tc>
          <w:tcPr>
            <w:tcW w:w="3090" w:type="dxa"/>
          </w:tcPr>
          <w:p w14:paraId="105B27A7" w14:textId="77777777" w:rsidR="00FE655D" w:rsidRPr="00920145" w:rsidRDefault="00FE655D" w:rsidP="00A23201">
            <w:pPr>
              <w:pStyle w:val="Tekstpodstawowy21"/>
              <w:spacing w:before="60" w:line="360" w:lineRule="auto"/>
              <w:jc w:val="left"/>
              <w:rPr>
                <w:rFonts w:ascii="Verdana" w:hAnsi="Verdana" w:cs="Arial"/>
              </w:rPr>
            </w:pPr>
            <w:r w:rsidRPr="00920145">
              <w:rPr>
                <w:rFonts w:ascii="Verdana" w:hAnsi="Verdana" w:cs="Arial"/>
              </w:rPr>
              <w:t>Współczynnik maksymalnej liczby zmian netto dynamicznych ograniczeń wahań kursów</w:t>
            </w:r>
          </w:p>
        </w:tc>
        <w:tc>
          <w:tcPr>
            <w:tcW w:w="5415" w:type="dxa"/>
          </w:tcPr>
          <w:p w14:paraId="140CFD0D" w14:textId="77777777" w:rsidR="00FE655D" w:rsidRPr="00920145" w:rsidRDefault="00FE655D" w:rsidP="00A23201">
            <w:pPr>
              <w:pStyle w:val="Tekstpodstawowy21"/>
              <w:spacing w:before="60" w:line="360" w:lineRule="auto"/>
              <w:jc w:val="left"/>
              <w:rPr>
                <w:rFonts w:ascii="Verdana" w:hAnsi="Verdana" w:cs="Arial"/>
              </w:rPr>
            </w:pPr>
            <w:r w:rsidRPr="00920145">
              <w:rPr>
                <w:rFonts w:ascii="Verdana" w:hAnsi="Verdana" w:cs="Arial"/>
              </w:rPr>
              <w:t>20</w:t>
            </w:r>
          </w:p>
        </w:tc>
      </w:tr>
    </w:tbl>
    <w:p w14:paraId="04E2B478" w14:textId="77777777" w:rsidR="00FE655D" w:rsidRPr="00920145" w:rsidRDefault="00FE655D" w:rsidP="00A23201">
      <w:pPr>
        <w:tabs>
          <w:tab w:val="left" w:pos="142"/>
          <w:tab w:val="left" w:pos="426"/>
        </w:tabs>
        <w:spacing w:line="360" w:lineRule="auto"/>
        <w:ind w:firstLine="567"/>
        <w:jc w:val="both"/>
        <w:rPr>
          <w:rFonts w:ascii="Verdana" w:hAnsi="Verdana" w:cs="Arial"/>
          <w:sz w:val="20"/>
          <w:szCs w:val="18"/>
        </w:rPr>
      </w:pPr>
    </w:p>
    <w:p w14:paraId="6720BA53" w14:textId="2769BF5F" w:rsidR="00FE655D" w:rsidRPr="00920145" w:rsidRDefault="00D93DE5" w:rsidP="008362AE">
      <w:pPr>
        <w:pStyle w:val="Nagwek3"/>
      </w:pPr>
      <w:r w:rsidRPr="00920145">
        <w:t>§ 87a otrzymuje brzmienie:</w:t>
      </w:r>
    </w:p>
    <w:p w14:paraId="1EDF6FD6" w14:textId="2857E75F" w:rsidR="00D93DE5" w:rsidRPr="00920145" w:rsidRDefault="00D93DE5" w:rsidP="00A23201">
      <w:pPr>
        <w:pStyle w:val="Akapitzlist"/>
        <w:tabs>
          <w:tab w:val="left" w:pos="851"/>
        </w:tabs>
        <w:spacing w:after="120" w:line="360" w:lineRule="auto"/>
        <w:ind w:left="567"/>
        <w:contextualSpacing w:val="0"/>
        <w:jc w:val="both"/>
        <w:rPr>
          <w:rFonts w:ascii="Verdana" w:hAnsi="Verdana"/>
          <w:sz w:val="20"/>
          <w:szCs w:val="18"/>
        </w:rPr>
      </w:pPr>
      <w:r w:rsidRPr="00920145">
        <w:rPr>
          <w:rFonts w:ascii="Verdana" w:hAnsi="Verdana"/>
          <w:sz w:val="20"/>
          <w:szCs w:val="18"/>
        </w:rPr>
        <w:t>„§ 87a</w:t>
      </w:r>
    </w:p>
    <w:p w14:paraId="76766E0D" w14:textId="473AD5F9" w:rsidR="00505BFB" w:rsidRPr="00920145" w:rsidRDefault="00505BFB" w:rsidP="00A23201">
      <w:pPr>
        <w:tabs>
          <w:tab w:val="left" w:pos="142"/>
          <w:tab w:val="left" w:pos="567"/>
          <w:tab w:val="left" w:pos="709"/>
        </w:tabs>
        <w:spacing w:line="360" w:lineRule="auto"/>
        <w:ind w:left="567"/>
        <w:jc w:val="both"/>
        <w:rPr>
          <w:rFonts w:ascii="Verdana" w:hAnsi="Verdana" w:cs="Arial"/>
          <w:szCs w:val="20"/>
        </w:rPr>
      </w:pPr>
      <w:r w:rsidRPr="00920145">
        <w:rPr>
          <w:rFonts w:ascii="Verdana" w:hAnsi="Verdana" w:cs="Arial"/>
          <w:sz w:val="20"/>
          <w:szCs w:val="18"/>
        </w:rPr>
        <w:t xml:space="preserve">Szczegółowe warunki obrotu dla kontraktów terminowych na stawki referencyjne WIBOR: </w:t>
      </w:r>
    </w:p>
    <w:tbl>
      <w:tblPr>
        <w:tblW w:w="822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0"/>
        <w:gridCol w:w="5132"/>
      </w:tblGrid>
      <w:tr w:rsidR="00D93DE5" w:rsidRPr="00920145" w14:paraId="142A558C" w14:textId="77777777" w:rsidTr="00505BFB">
        <w:tc>
          <w:tcPr>
            <w:tcW w:w="3090" w:type="dxa"/>
          </w:tcPr>
          <w:p w14:paraId="2CC9AD48" w14:textId="77777777" w:rsidR="00D93DE5" w:rsidRPr="00920145" w:rsidRDefault="00D93DE5" w:rsidP="00A23201">
            <w:pPr>
              <w:pStyle w:val="Tekstpodstawowy21"/>
              <w:spacing w:before="60" w:line="360" w:lineRule="auto"/>
              <w:rPr>
                <w:rFonts w:ascii="Verdana" w:hAnsi="Verdana" w:cs="Arial"/>
              </w:rPr>
            </w:pPr>
            <w:r w:rsidRPr="00920145">
              <w:rPr>
                <w:rFonts w:ascii="Verdana" w:hAnsi="Verdana" w:cs="Arial"/>
              </w:rPr>
              <w:t xml:space="preserve">Jednostka transakcyjna </w:t>
            </w:r>
          </w:p>
        </w:tc>
        <w:tc>
          <w:tcPr>
            <w:tcW w:w="5132" w:type="dxa"/>
          </w:tcPr>
          <w:p w14:paraId="500969BD" w14:textId="77777777" w:rsidR="00D93DE5" w:rsidRPr="00920145" w:rsidRDefault="00D93DE5" w:rsidP="00A23201">
            <w:pPr>
              <w:pStyle w:val="Tekstpodstawowy21"/>
              <w:spacing w:before="60" w:line="360" w:lineRule="auto"/>
              <w:rPr>
                <w:rFonts w:ascii="Verdana" w:hAnsi="Verdana" w:cs="Arial"/>
              </w:rPr>
            </w:pPr>
            <w:r w:rsidRPr="00920145">
              <w:rPr>
                <w:rFonts w:ascii="Verdana" w:hAnsi="Verdana" w:cs="Arial"/>
              </w:rPr>
              <w:t>jeden instrument, chyba że Zarząd Giełdy określi inną jednostkę transakcyjną</w:t>
            </w:r>
          </w:p>
        </w:tc>
      </w:tr>
      <w:tr w:rsidR="007164ED" w:rsidRPr="00920145" w14:paraId="30273498" w14:textId="77777777" w:rsidTr="00505BFB">
        <w:tc>
          <w:tcPr>
            <w:tcW w:w="3090" w:type="dxa"/>
          </w:tcPr>
          <w:p w14:paraId="4950D256" w14:textId="196795B8" w:rsidR="007164ED" w:rsidRPr="00920145" w:rsidDel="007164ED" w:rsidRDefault="007164ED" w:rsidP="007164ED">
            <w:pPr>
              <w:pStyle w:val="Tekstpodstawowy21"/>
              <w:spacing w:before="60" w:line="360" w:lineRule="auto"/>
              <w:rPr>
                <w:rFonts w:ascii="Verdana" w:hAnsi="Verdana"/>
              </w:rPr>
            </w:pPr>
            <w:r w:rsidRPr="00920145">
              <w:rPr>
                <w:rFonts w:ascii="Verdana" w:hAnsi="Verdana"/>
              </w:rPr>
              <w:lastRenderedPageBreak/>
              <w:t>Losowy czas otwarcia</w:t>
            </w:r>
            <w:r w:rsidRPr="00920145">
              <w:rPr>
                <w:rFonts w:ascii="Verdana" w:hAnsi="Verdana"/>
              </w:rPr>
              <w:br/>
              <w:t>dla fazy aukcji otwarcia</w:t>
            </w:r>
          </w:p>
        </w:tc>
        <w:tc>
          <w:tcPr>
            <w:tcW w:w="5132" w:type="dxa"/>
          </w:tcPr>
          <w:p w14:paraId="3CA20F06" w14:textId="1461BDFF" w:rsidR="007164ED" w:rsidRPr="00920145" w:rsidDel="007164ED" w:rsidRDefault="002F0779" w:rsidP="007164ED">
            <w:pPr>
              <w:pStyle w:val="Tekstpodstawowy21"/>
              <w:spacing w:before="60" w:line="360" w:lineRule="auto"/>
              <w:rPr>
                <w:rFonts w:ascii="Verdana" w:hAnsi="Verdana"/>
              </w:rPr>
            </w:pPr>
            <w:r w:rsidRPr="00920145">
              <w:rPr>
                <w:rFonts w:ascii="Verdana" w:hAnsi="Verdana"/>
              </w:rPr>
              <w:t>(</w:t>
            </w:r>
            <w:r w:rsidR="007164ED" w:rsidRPr="00920145">
              <w:rPr>
                <w:rFonts w:ascii="Verdana" w:hAnsi="Verdana"/>
              </w:rPr>
              <w:t>+</w:t>
            </w:r>
            <w:r w:rsidRPr="00920145">
              <w:rPr>
                <w:rFonts w:ascii="Verdana" w:hAnsi="Verdana"/>
              </w:rPr>
              <w:t>)</w:t>
            </w:r>
            <w:r w:rsidR="007164ED" w:rsidRPr="00920145">
              <w:rPr>
                <w:rFonts w:ascii="Verdana" w:hAnsi="Verdana"/>
              </w:rPr>
              <w:t xml:space="preserve"> 0-30 sekund</w:t>
            </w:r>
          </w:p>
        </w:tc>
      </w:tr>
      <w:tr w:rsidR="007164ED" w:rsidRPr="00920145" w14:paraId="1668B973" w14:textId="77777777" w:rsidTr="00505BFB">
        <w:tc>
          <w:tcPr>
            <w:tcW w:w="3090" w:type="dxa"/>
          </w:tcPr>
          <w:p w14:paraId="688F84FE" w14:textId="0A763AD3" w:rsidR="007164ED" w:rsidRPr="00920145" w:rsidDel="007164ED" w:rsidRDefault="007164ED" w:rsidP="007164ED">
            <w:pPr>
              <w:pStyle w:val="Tekstpodstawowy21"/>
              <w:spacing w:before="60" w:line="360" w:lineRule="auto"/>
              <w:rPr>
                <w:rFonts w:ascii="Verdana" w:hAnsi="Verdana"/>
              </w:rPr>
            </w:pPr>
            <w:r w:rsidRPr="00920145">
              <w:rPr>
                <w:rFonts w:ascii="Verdana" w:hAnsi="Verdana"/>
              </w:rPr>
              <w:t>Losowy czas otwarcia</w:t>
            </w:r>
            <w:r w:rsidRPr="00920145">
              <w:rPr>
                <w:rFonts w:ascii="Verdana" w:hAnsi="Verdana"/>
              </w:rPr>
              <w:br/>
              <w:t>dla fazy aukcji zamknięcia</w:t>
            </w:r>
          </w:p>
        </w:tc>
        <w:tc>
          <w:tcPr>
            <w:tcW w:w="5132" w:type="dxa"/>
          </w:tcPr>
          <w:p w14:paraId="64EDEB4C" w14:textId="7F8CEF42" w:rsidR="007164ED" w:rsidRPr="00920145" w:rsidDel="007164ED" w:rsidRDefault="002F0779" w:rsidP="007164ED">
            <w:pPr>
              <w:pStyle w:val="Tekstpodstawowy21"/>
              <w:spacing w:before="60" w:line="360" w:lineRule="auto"/>
              <w:rPr>
                <w:rFonts w:ascii="Verdana" w:hAnsi="Verdana"/>
              </w:rPr>
            </w:pPr>
            <w:r w:rsidRPr="00920145">
              <w:rPr>
                <w:rFonts w:ascii="Verdana" w:hAnsi="Verdana"/>
              </w:rPr>
              <w:t>(</w:t>
            </w:r>
            <w:r w:rsidR="007164ED" w:rsidRPr="00920145">
              <w:rPr>
                <w:rFonts w:ascii="Verdana" w:hAnsi="Verdana"/>
              </w:rPr>
              <w:t>-</w:t>
            </w:r>
            <w:r w:rsidRPr="00920145">
              <w:rPr>
                <w:rFonts w:ascii="Verdana" w:hAnsi="Verdana"/>
              </w:rPr>
              <w:t>)</w:t>
            </w:r>
            <w:r w:rsidR="007164ED" w:rsidRPr="00920145">
              <w:rPr>
                <w:rFonts w:ascii="Verdana" w:hAnsi="Verdana"/>
              </w:rPr>
              <w:t xml:space="preserve"> 0-30 sekund</w:t>
            </w:r>
          </w:p>
        </w:tc>
      </w:tr>
      <w:tr w:rsidR="00D93DE5" w:rsidRPr="00920145" w14:paraId="6F6E6810" w14:textId="77777777" w:rsidTr="00505BFB">
        <w:tc>
          <w:tcPr>
            <w:tcW w:w="3090" w:type="dxa"/>
          </w:tcPr>
          <w:p w14:paraId="7398C645" w14:textId="77777777" w:rsidR="00D93DE5" w:rsidRPr="00920145" w:rsidRDefault="00D93DE5" w:rsidP="005A3E7B">
            <w:pPr>
              <w:pStyle w:val="Tekstpodstawowy21"/>
              <w:spacing w:after="0" w:line="360" w:lineRule="auto"/>
              <w:jc w:val="left"/>
              <w:rPr>
                <w:rFonts w:ascii="Verdana" w:hAnsi="Verdana" w:cs="Arial"/>
              </w:rPr>
            </w:pPr>
            <w:r w:rsidRPr="00920145">
              <w:rPr>
                <w:rFonts w:ascii="Verdana" w:hAnsi="Verdana" w:cs="Arial"/>
              </w:rPr>
              <w:t>Jednostka określania dla:</w:t>
            </w:r>
          </w:p>
          <w:p w14:paraId="46FB4532" w14:textId="77777777" w:rsidR="00D93DE5" w:rsidRPr="00920145" w:rsidRDefault="00D93DE5" w:rsidP="005A3E7B">
            <w:pPr>
              <w:pStyle w:val="Tekstpodstawowy21"/>
              <w:spacing w:after="0" w:line="360" w:lineRule="auto"/>
              <w:jc w:val="left"/>
              <w:rPr>
                <w:rFonts w:ascii="Verdana" w:hAnsi="Verdana" w:cs="Arial"/>
              </w:rPr>
            </w:pPr>
            <w:r w:rsidRPr="00920145">
              <w:rPr>
                <w:rFonts w:ascii="Verdana" w:hAnsi="Verdana" w:cs="Arial"/>
              </w:rPr>
              <w:t xml:space="preserve">- kursu kontraktu, </w:t>
            </w:r>
          </w:p>
          <w:p w14:paraId="309A5A05" w14:textId="77777777" w:rsidR="00D93DE5" w:rsidRPr="00920145" w:rsidRDefault="00D93DE5" w:rsidP="005A3E7B">
            <w:pPr>
              <w:pStyle w:val="Tekstpodstawowy21"/>
              <w:spacing w:after="0" w:line="360" w:lineRule="auto"/>
              <w:jc w:val="left"/>
              <w:rPr>
                <w:rFonts w:ascii="Verdana" w:hAnsi="Verdana" w:cs="Arial"/>
              </w:rPr>
            </w:pPr>
            <w:r w:rsidRPr="00920145">
              <w:rPr>
                <w:rFonts w:ascii="Verdana" w:hAnsi="Verdana" w:cs="Arial"/>
              </w:rPr>
              <w:t>- dziennego kursu rozliczeniowego,</w:t>
            </w:r>
          </w:p>
          <w:p w14:paraId="2C7C36E7" w14:textId="77777777" w:rsidR="00D93DE5" w:rsidRPr="00920145" w:rsidRDefault="00D93DE5" w:rsidP="005A3E7B">
            <w:pPr>
              <w:pStyle w:val="Tekstpodstawowy21"/>
              <w:spacing w:line="360" w:lineRule="auto"/>
              <w:jc w:val="left"/>
              <w:rPr>
                <w:rFonts w:ascii="Verdana" w:hAnsi="Verdana" w:cs="Arial"/>
              </w:rPr>
            </w:pPr>
            <w:r w:rsidRPr="00920145">
              <w:rPr>
                <w:rFonts w:ascii="Verdana" w:hAnsi="Verdana" w:cs="Arial"/>
              </w:rPr>
              <w:t>- ostatecznego kursu rozliczeniowego</w:t>
            </w:r>
          </w:p>
        </w:tc>
        <w:tc>
          <w:tcPr>
            <w:tcW w:w="5132" w:type="dxa"/>
          </w:tcPr>
          <w:p w14:paraId="34530187" w14:textId="77777777" w:rsidR="00D93DE5" w:rsidRPr="00920145" w:rsidRDefault="00D93DE5" w:rsidP="00A23201">
            <w:pPr>
              <w:pStyle w:val="Tekstpodstawowy21"/>
              <w:spacing w:before="60" w:line="360" w:lineRule="auto"/>
              <w:rPr>
                <w:rFonts w:ascii="Verdana" w:hAnsi="Verdana" w:cs="Arial"/>
              </w:rPr>
            </w:pPr>
            <w:r w:rsidRPr="00920145">
              <w:rPr>
                <w:rFonts w:ascii="Verdana" w:hAnsi="Verdana" w:cs="Arial"/>
              </w:rPr>
              <w:t>w punktach procentowych za 100 zł wartości nominalnej kontraktu - z dokładnością równą krokowi notowania</w:t>
            </w:r>
          </w:p>
        </w:tc>
      </w:tr>
      <w:tr w:rsidR="00D93DE5" w:rsidRPr="00920145" w14:paraId="1189DA67" w14:textId="77777777" w:rsidTr="00505BFB">
        <w:tc>
          <w:tcPr>
            <w:tcW w:w="3090" w:type="dxa"/>
          </w:tcPr>
          <w:p w14:paraId="799B2DB6" w14:textId="77777777" w:rsidR="00D93DE5" w:rsidRPr="00920145" w:rsidRDefault="00D93DE5" w:rsidP="00A23201">
            <w:pPr>
              <w:pStyle w:val="Tekstpodstawowy21"/>
              <w:spacing w:before="60" w:line="360" w:lineRule="auto"/>
              <w:jc w:val="left"/>
              <w:rPr>
                <w:rFonts w:ascii="Verdana" w:hAnsi="Verdana" w:cs="Arial"/>
              </w:rPr>
            </w:pPr>
            <w:r w:rsidRPr="00920145">
              <w:rPr>
                <w:rFonts w:ascii="Verdana" w:hAnsi="Verdana" w:cs="Arial"/>
              </w:rPr>
              <w:t>Krok notowania</w:t>
            </w:r>
          </w:p>
        </w:tc>
        <w:tc>
          <w:tcPr>
            <w:tcW w:w="5132" w:type="dxa"/>
          </w:tcPr>
          <w:p w14:paraId="5135A1B7" w14:textId="77777777" w:rsidR="00D93DE5" w:rsidRPr="00920145" w:rsidRDefault="00D93DE5" w:rsidP="00A23201">
            <w:pPr>
              <w:pStyle w:val="Tekstpodstawowy21"/>
              <w:spacing w:before="60" w:line="360" w:lineRule="auto"/>
              <w:rPr>
                <w:rFonts w:ascii="Verdana" w:hAnsi="Verdana" w:cs="Arial"/>
              </w:rPr>
            </w:pPr>
            <w:r w:rsidRPr="00920145">
              <w:rPr>
                <w:rFonts w:ascii="Verdana" w:hAnsi="Verdana" w:cs="Arial"/>
              </w:rPr>
              <w:t>0,01 punktu procentowego</w:t>
            </w:r>
          </w:p>
        </w:tc>
      </w:tr>
      <w:tr w:rsidR="00D93DE5" w:rsidRPr="00920145" w14:paraId="1C28C02B" w14:textId="77777777" w:rsidTr="00505BFB">
        <w:tc>
          <w:tcPr>
            <w:tcW w:w="3090" w:type="dxa"/>
          </w:tcPr>
          <w:p w14:paraId="708C4AA0" w14:textId="77777777" w:rsidR="00D93DE5" w:rsidRPr="00920145" w:rsidRDefault="00D93DE5" w:rsidP="00A23201">
            <w:pPr>
              <w:pStyle w:val="Tekstpodstawowy21"/>
              <w:spacing w:before="60" w:line="360" w:lineRule="auto"/>
              <w:jc w:val="left"/>
              <w:rPr>
                <w:rFonts w:ascii="Verdana" w:hAnsi="Verdana" w:cs="Arial"/>
              </w:rPr>
            </w:pPr>
            <w:r w:rsidRPr="00920145">
              <w:rPr>
                <w:rFonts w:ascii="Verdana" w:hAnsi="Verdana"/>
              </w:rPr>
              <w:t xml:space="preserve">Maksymalne wartości dla limitów cen w zleceniu maklerskim    </w:t>
            </w:r>
          </w:p>
        </w:tc>
        <w:tc>
          <w:tcPr>
            <w:tcW w:w="5132" w:type="dxa"/>
          </w:tcPr>
          <w:p w14:paraId="1ADC9ABB" w14:textId="37306693" w:rsidR="00D93DE5" w:rsidRPr="00920145" w:rsidRDefault="00D93DE5" w:rsidP="00A23201">
            <w:pPr>
              <w:pStyle w:val="Tekstpodstawowy21"/>
              <w:spacing w:before="60" w:line="360" w:lineRule="auto"/>
              <w:rPr>
                <w:rFonts w:ascii="Verdana" w:hAnsi="Verdana" w:cs="Arial"/>
              </w:rPr>
            </w:pPr>
            <w:r w:rsidRPr="00920145">
              <w:rPr>
                <w:rFonts w:ascii="Verdana" w:hAnsi="Verdana" w:cs="Arial"/>
              </w:rPr>
              <w:t>3% względem kursu odniesienia dla statycznych ograniczeń wahań kursu</w:t>
            </w:r>
          </w:p>
        </w:tc>
      </w:tr>
      <w:tr w:rsidR="00D93DE5" w:rsidRPr="00920145" w14:paraId="6E0064D1" w14:textId="77777777" w:rsidTr="00505BFB">
        <w:tc>
          <w:tcPr>
            <w:tcW w:w="3090" w:type="dxa"/>
          </w:tcPr>
          <w:p w14:paraId="6260E8FE" w14:textId="77777777" w:rsidR="00D93DE5" w:rsidRPr="00920145" w:rsidRDefault="00D93DE5" w:rsidP="00A23201">
            <w:pPr>
              <w:pStyle w:val="Tekstpodstawowy21"/>
              <w:spacing w:before="60" w:line="360" w:lineRule="auto"/>
              <w:jc w:val="left"/>
              <w:rPr>
                <w:rFonts w:ascii="Verdana" w:hAnsi="Verdana" w:cs="Arial"/>
              </w:rPr>
            </w:pPr>
            <w:r w:rsidRPr="00920145">
              <w:rPr>
                <w:rFonts w:ascii="Verdana" w:hAnsi="Verdana" w:cs="Arial"/>
              </w:rPr>
              <w:t xml:space="preserve">Maksymalna wartość zlecenia maklerskiego </w:t>
            </w:r>
          </w:p>
        </w:tc>
        <w:tc>
          <w:tcPr>
            <w:tcW w:w="5132" w:type="dxa"/>
          </w:tcPr>
          <w:p w14:paraId="3AD73B08" w14:textId="77777777" w:rsidR="00D93DE5" w:rsidRPr="00920145" w:rsidRDefault="00D93DE5" w:rsidP="00A23201">
            <w:pPr>
              <w:pStyle w:val="Tekstpodstawowy21"/>
              <w:spacing w:before="60" w:line="360" w:lineRule="auto"/>
              <w:rPr>
                <w:rFonts w:ascii="Verdana" w:hAnsi="Verdana" w:cs="Arial"/>
              </w:rPr>
            </w:pPr>
            <w:r w:rsidRPr="00920145">
              <w:rPr>
                <w:rFonts w:ascii="Verdana" w:hAnsi="Verdana" w:cs="Arial"/>
              </w:rPr>
              <w:t>250.000.000 jednostek waluty notowania</w:t>
            </w:r>
          </w:p>
        </w:tc>
      </w:tr>
      <w:tr w:rsidR="00D93DE5" w:rsidRPr="00920145" w14:paraId="5E120048" w14:textId="77777777" w:rsidTr="00505BFB">
        <w:tc>
          <w:tcPr>
            <w:tcW w:w="3090" w:type="dxa"/>
          </w:tcPr>
          <w:p w14:paraId="202887A2" w14:textId="77777777" w:rsidR="00D93DE5" w:rsidRPr="00920145" w:rsidRDefault="00D93DE5" w:rsidP="00A23201">
            <w:pPr>
              <w:pStyle w:val="Tekstpodstawowy21"/>
              <w:spacing w:before="60" w:line="360" w:lineRule="auto"/>
              <w:jc w:val="left"/>
              <w:rPr>
                <w:rFonts w:ascii="Verdana" w:hAnsi="Verdana" w:cs="Arial"/>
              </w:rPr>
            </w:pPr>
            <w:r w:rsidRPr="00920145">
              <w:rPr>
                <w:rFonts w:ascii="Verdana" w:hAnsi="Verdana" w:cs="Arial"/>
              </w:rPr>
              <w:t>Maksymalny wolumen zlecenia maklerskiego</w:t>
            </w:r>
            <w:r w:rsidRPr="00920145" w:rsidDel="00CF133B">
              <w:rPr>
                <w:rFonts w:ascii="Verdana" w:hAnsi="Verdana" w:cs="Arial"/>
              </w:rPr>
              <w:t xml:space="preserve"> </w:t>
            </w:r>
          </w:p>
        </w:tc>
        <w:tc>
          <w:tcPr>
            <w:tcW w:w="5132" w:type="dxa"/>
          </w:tcPr>
          <w:p w14:paraId="4DE8264C" w14:textId="77777777" w:rsidR="00D93DE5" w:rsidRPr="00920145" w:rsidRDefault="00D93DE5" w:rsidP="00A23201">
            <w:pPr>
              <w:pStyle w:val="Tekstpodstawowy21"/>
              <w:spacing w:before="60" w:line="360" w:lineRule="auto"/>
              <w:rPr>
                <w:rFonts w:ascii="Verdana" w:hAnsi="Verdana" w:cs="Arial"/>
              </w:rPr>
            </w:pPr>
            <w:r w:rsidRPr="00920145">
              <w:rPr>
                <w:rFonts w:ascii="Verdana" w:hAnsi="Verdana" w:cs="Arial"/>
              </w:rPr>
              <w:t>500 instrumentów</w:t>
            </w:r>
          </w:p>
        </w:tc>
      </w:tr>
      <w:tr w:rsidR="00D93DE5" w:rsidRPr="00920145" w14:paraId="2DD79EA3" w14:textId="77777777" w:rsidTr="00505BFB">
        <w:tc>
          <w:tcPr>
            <w:tcW w:w="3090" w:type="dxa"/>
          </w:tcPr>
          <w:p w14:paraId="73A1BFB7" w14:textId="77777777" w:rsidR="00D93DE5" w:rsidRPr="00920145" w:rsidRDefault="00D93DE5" w:rsidP="00A23201">
            <w:pPr>
              <w:pStyle w:val="Tekstpodstawowy21"/>
              <w:spacing w:before="60" w:line="360" w:lineRule="auto"/>
              <w:jc w:val="left"/>
              <w:rPr>
                <w:rFonts w:ascii="Verdana" w:hAnsi="Verdana" w:cs="Arial"/>
              </w:rPr>
            </w:pPr>
            <w:r w:rsidRPr="00920145">
              <w:rPr>
                <w:rFonts w:ascii="Verdana" w:hAnsi="Verdana" w:cs="Arial"/>
              </w:rPr>
              <w:t>Wysokość statycznych ograniczeń wahań kursów</w:t>
            </w:r>
          </w:p>
        </w:tc>
        <w:tc>
          <w:tcPr>
            <w:tcW w:w="5132" w:type="dxa"/>
          </w:tcPr>
          <w:p w14:paraId="1F44CF76" w14:textId="77777777" w:rsidR="00D93DE5" w:rsidRPr="00920145" w:rsidRDefault="00D93DE5" w:rsidP="00A23201">
            <w:pPr>
              <w:pStyle w:val="Tekstpodstawowy21"/>
              <w:spacing w:before="60" w:line="360" w:lineRule="auto"/>
              <w:rPr>
                <w:rFonts w:ascii="Verdana" w:hAnsi="Verdana" w:cs="Arial"/>
              </w:rPr>
            </w:pPr>
            <w:r w:rsidRPr="00920145">
              <w:rPr>
                <w:rFonts w:ascii="Verdana" w:hAnsi="Verdana" w:cs="Arial"/>
              </w:rPr>
              <w:t xml:space="preserve">0,60% od kursu odniesienia </w:t>
            </w:r>
          </w:p>
        </w:tc>
      </w:tr>
      <w:tr w:rsidR="00D93DE5" w:rsidRPr="00920145" w14:paraId="788EBF75" w14:textId="77777777" w:rsidTr="00505BFB">
        <w:tc>
          <w:tcPr>
            <w:tcW w:w="3090" w:type="dxa"/>
          </w:tcPr>
          <w:p w14:paraId="43ED929B" w14:textId="77777777" w:rsidR="00D93DE5" w:rsidRPr="00920145" w:rsidRDefault="00D93DE5" w:rsidP="00A23201">
            <w:pPr>
              <w:pStyle w:val="Tekstpodstawowy21"/>
              <w:spacing w:before="60" w:line="360" w:lineRule="auto"/>
              <w:jc w:val="left"/>
              <w:rPr>
                <w:rFonts w:ascii="Verdana" w:hAnsi="Verdana" w:cs="Arial"/>
              </w:rPr>
            </w:pPr>
            <w:r w:rsidRPr="00920145">
              <w:rPr>
                <w:rFonts w:ascii="Verdana" w:hAnsi="Verdana" w:cs="Arial"/>
              </w:rPr>
              <w:t>Zmiana statycznych ograniczeń wahań kursów</w:t>
            </w:r>
          </w:p>
        </w:tc>
        <w:tc>
          <w:tcPr>
            <w:tcW w:w="5132" w:type="dxa"/>
          </w:tcPr>
          <w:p w14:paraId="0C1E116A" w14:textId="77777777" w:rsidR="00D93DE5" w:rsidRPr="00920145" w:rsidRDefault="00D93DE5" w:rsidP="00CF0805">
            <w:pPr>
              <w:pStyle w:val="Tekstpodstawowy21"/>
              <w:spacing w:before="60" w:after="240" w:line="360" w:lineRule="auto"/>
              <w:rPr>
                <w:rFonts w:ascii="Verdana" w:hAnsi="Verdana" w:cs="Arial"/>
              </w:rPr>
            </w:pPr>
            <w:r w:rsidRPr="00920145">
              <w:rPr>
                <w:rFonts w:ascii="Verdana" w:hAnsi="Verdana" w:cs="Arial"/>
              </w:rPr>
              <w:t xml:space="preserve">Możliwa pod warunkiem uzyskania potwierdzenia </w:t>
            </w:r>
            <w:r w:rsidRPr="00920145">
              <w:rPr>
                <w:rFonts w:ascii="Verdana" w:hAnsi="Verdana" w:cs="Arial"/>
              </w:rPr>
              <w:br/>
              <w:t>z KDPW_CCP S.A. o uzupełnieniu przez uczestników rozliczających depozytów zabezpieczających do wymaganego przez ten podmiot poziomu lub podjęcia przez KDPW_CCP S.A. innej decyzji umożliwiającej obrót.</w:t>
            </w:r>
          </w:p>
        </w:tc>
      </w:tr>
      <w:tr w:rsidR="00D93DE5" w:rsidRPr="00920145" w14:paraId="3F280C0B" w14:textId="77777777" w:rsidTr="00505BFB">
        <w:trPr>
          <w:trHeight w:val="835"/>
        </w:trPr>
        <w:tc>
          <w:tcPr>
            <w:tcW w:w="8222" w:type="dxa"/>
            <w:gridSpan w:val="2"/>
          </w:tcPr>
          <w:p w14:paraId="1753F54D" w14:textId="77777777" w:rsidR="00D93DE5" w:rsidRPr="00920145" w:rsidRDefault="00D93DE5" w:rsidP="00A23201">
            <w:pPr>
              <w:pStyle w:val="Tekstpodstawowy21"/>
              <w:spacing w:before="60" w:line="360" w:lineRule="auto"/>
              <w:rPr>
                <w:rFonts w:ascii="Verdana" w:hAnsi="Verdana" w:cs="Arial"/>
              </w:rPr>
            </w:pPr>
            <w:r w:rsidRPr="00920145">
              <w:rPr>
                <w:rFonts w:ascii="Verdana" w:hAnsi="Verdana" w:cs="Arial"/>
              </w:rPr>
              <w:t xml:space="preserve">Kurs odniesienia dla kursu otwarcia, kursu transakcyjnego i kursu zamknięcia </w:t>
            </w:r>
            <w:r w:rsidRPr="00920145">
              <w:rPr>
                <w:rFonts w:ascii="Verdana" w:hAnsi="Verdana" w:cs="Arial"/>
              </w:rPr>
              <w:br/>
              <w:t xml:space="preserve">- dla statycznych ograniczeń wahań kursów: </w:t>
            </w:r>
          </w:p>
          <w:p w14:paraId="0AF63FF3" w14:textId="4C2B8994" w:rsidR="00D93DE5" w:rsidRPr="00920145" w:rsidRDefault="00D93DE5" w:rsidP="00A23201">
            <w:pPr>
              <w:pStyle w:val="Tekstpodstawowy3"/>
              <w:tabs>
                <w:tab w:val="left" w:pos="1134"/>
              </w:tabs>
              <w:spacing w:before="60" w:line="360" w:lineRule="auto"/>
              <w:jc w:val="both"/>
              <w:rPr>
                <w:rFonts w:ascii="Verdana" w:hAnsi="Verdana" w:cs="Arial"/>
                <w:b w:val="0"/>
                <w:sz w:val="20"/>
              </w:rPr>
            </w:pPr>
            <w:r w:rsidRPr="00920145">
              <w:rPr>
                <w:rFonts w:ascii="Verdana" w:hAnsi="Verdana" w:cs="Arial"/>
                <w:b w:val="0"/>
                <w:sz w:val="20"/>
              </w:rPr>
              <w:t>1. Na pierwszej sesji giełdowej, na której notowane są kontrakty danej serii – kurs odniesienia równy jest kursowi odniesienia wyznaczonemu na tę sesję giełdową dla serii kontraktów tej samej klasy, której termin wygasania jest najbliższy terminowi wygasania tej nowej serii kontraktów.</w:t>
            </w:r>
          </w:p>
          <w:p w14:paraId="240010DD" w14:textId="77777777" w:rsidR="00D93DE5" w:rsidRPr="00920145" w:rsidRDefault="00D93DE5" w:rsidP="00A23201">
            <w:pPr>
              <w:widowControl w:val="0"/>
              <w:spacing w:line="360" w:lineRule="auto"/>
              <w:jc w:val="both"/>
              <w:rPr>
                <w:rFonts w:ascii="Verdana" w:hAnsi="Verdana"/>
                <w:sz w:val="20"/>
                <w:szCs w:val="20"/>
              </w:rPr>
            </w:pPr>
            <w:r w:rsidRPr="00920145">
              <w:rPr>
                <w:rFonts w:ascii="Verdana" w:hAnsi="Verdana" w:cs="Arial"/>
                <w:sz w:val="20"/>
                <w:szCs w:val="20"/>
              </w:rPr>
              <w:lastRenderedPageBreak/>
              <w:t>2. W kolejnych dniach obrotu kontraktami</w:t>
            </w:r>
            <w:r w:rsidRPr="00920145" w:rsidDel="0053764D">
              <w:rPr>
                <w:rFonts w:ascii="Verdana" w:hAnsi="Verdana" w:cs="Arial"/>
                <w:sz w:val="20"/>
                <w:szCs w:val="20"/>
              </w:rPr>
              <w:t xml:space="preserve"> </w:t>
            </w:r>
            <w:r w:rsidRPr="00920145">
              <w:rPr>
                <w:rFonts w:ascii="Verdana" w:hAnsi="Verdana" w:cs="Arial"/>
                <w:sz w:val="20"/>
                <w:szCs w:val="20"/>
              </w:rPr>
              <w:t xml:space="preserve">danej serii – ostatni dzienny kurs rozliczeniowy dla danej serii kontraktów, a jeżeli dzienny kurs rozliczeniowy nie został dla tej serii wyznaczony – kurs odniesienia wyliczany jest jako </w:t>
            </w:r>
            <w:r w:rsidRPr="00920145">
              <w:rPr>
                <w:rFonts w:ascii="Verdana" w:hAnsi="Verdana"/>
                <w:sz w:val="20"/>
                <w:szCs w:val="20"/>
              </w:rPr>
              <w:t>średnia arytmetyczna wyznaczona na podstawie limitów najlepszego zlecenia kupna oraz najlepszego zlecenia sprzedaży z ostatniej sesji giełdowej poprzedzającej sesję, na którą jest wyznaczany kurs odniesienia, gdzie:</w:t>
            </w:r>
          </w:p>
          <w:p w14:paraId="3193C1FB" w14:textId="77777777" w:rsidR="00D93DE5" w:rsidRPr="00920145" w:rsidRDefault="00D93DE5" w:rsidP="00F8716B">
            <w:pPr>
              <w:widowControl w:val="0"/>
              <w:numPr>
                <w:ilvl w:val="1"/>
                <w:numId w:val="60"/>
              </w:numPr>
              <w:spacing w:after="0" w:line="360" w:lineRule="auto"/>
              <w:jc w:val="both"/>
              <w:rPr>
                <w:rFonts w:ascii="Verdana" w:hAnsi="Verdana"/>
                <w:sz w:val="20"/>
                <w:szCs w:val="20"/>
              </w:rPr>
            </w:pPr>
            <w:r w:rsidRPr="00920145">
              <w:rPr>
                <w:rFonts w:ascii="Verdana" w:hAnsi="Verdana"/>
                <w:sz w:val="20"/>
                <w:szCs w:val="20"/>
              </w:rPr>
              <w:t>za najlepsze zlecenie kupna uznaje się zlecenie kupna o najwyższym limicie ceny spośród wszystkich zleceń kupna opiewających na co najmniej 100 kontraktów terminowych danej serii,</w:t>
            </w:r>
          </w:p>
          <w:p w14:paraId="0C858FE8" w14:textId="77777777" w:rsidR="00D93DE5" w:rsidRPr="00920145" w:rsidRDefault="00D93DE5" w:rsidP="00F8716B">
            <w:pPr>
              <w:widowControl w:val="0"/>
              <w:numPr>
                <w:ilvl w:val="1"/>
                <w:numId w:val="60"/>
              </w:numPr>
              <w:spacing w:after="120" w:line="360" w:lineRule="auto"/>
              <w:jc w:val="both"/>
              <w:rPr>
                <w:rFonts w:ascii="Verdana" w:hAnsi="Verdana"/>
                <w:sz w:val="20"/>
                <w:szCs w:val="20"/>
              </w:rPr>
            </w:pPr>
            <w:r w:rsidRPr="00920145">
              <w:rPr>
                <w:rFonts w:ascii="Verdana" w:hAnsi="Verdana"/>
                <w:sz w:val="20"/>
                <w:szCs w:val="20"/>
              </w:rPr>
              <w:t>za najlepsze zlecenie sprzedaży uznaje się zlecenie sprzedaży o najniższym limicie ceny spośród wszystkich zleceń sprzedaży opiewających na co najmniej 100 kontraktów terminowych danej serii.</w:t>
            </w:r>
          </w:p>
          <w:p w14:paraId="7AEE62F6" w14:textId="77777777" w:rsidR="00D93DE5" w:rsidRPr="00920145" w:rsidRDefault="00D93DE5" w:rsidP="00A23201">
            <w:pPr>
              <w:widowControl w:val="0"/>
              <w:spacing w:line="360" w:lineRule="auto"/>
              <w:jc w:val="both"/>
              <w:rPr>
                <w:rFonts w:ascii="Verdana" w:hAnsi="Verdana"/>
                <w:sz w:val="20"/>
                <w:szCs w:val="20"/>
              </w:rPr>
            </w:pPr>
            <w:r w:rsidRPr="00920145">
              <w:rPr>
                <w:rFonts w:ascii="Verdana" w:hAnsi="Verdana"/>
                <w:sz w:val="20"/>
                <w:szCs w:val="20"/>
              </w:rPr>
              <w:t xml:space="preserve">Kalkulacja średniej, o której mowa powyżej, następuje z wykorzystaniem zleceń maklerskich z ostatniej sesji giełdowej poprzedzającej sesję, na którą jest wyznaczany kurs odniesienia znajdujących się w arkuszu zleceń o godzinie 16.30 o limitach cen zawierających się w ramach statycznych ograniczeń wahań kursów obowiązujących o godzinie 16.30 na tej ostatniej sesji. </w:t>
            </w:r>
          </w:p>
          <w:p w14:paraId="2657739A" w14:textId="56DBDFF4" w:rsidR="00D93DE5" w:rsidRPr="00920145" w:rsidRDefault="00D93DE5" w:rsidP="00A23201">
            <w:pPr>
              <w:widowControl w:val="0"/>
              <w:spacing w:line="360" w:lineRule="auto"/>
              <w:jc w:val="both"/>
              <w:rPr>
                <w:rFonts w:ascii="Verdana" w:hAnsi="Verdana"/>
                <w:sz w:val="20"/>
                <w:szCs w:val="20"/>
              </w:rPr>
            </w:pPr>
            <w:r w:rsidRPr="00920145">
              <w:rPr>
                <w:rFonts w:ascii="Verdana" w:hAnsi="Verdana"/>
                <w:sz w:val="20"/>
                <w:szCs w:val="20"/>
              </w:rPr>
              <w:t>Jeżeli nie jest możliwe wyznaczenie kursu odniesienia w sposób wskazany powyżej, za kurs odniesienia przyjmuje się ostatni znany kurs odniesienia.</w:t>
            </w:r>
          </w:p>
          <w:p w14:paraId="03FA94B8" w14:textId="77777777" w:rsidR="00D93DE5" w:rsidRPr="00920145" w:rsidRDefault="00D93DE5" w:rsidP="00A23201">
            <w:pPr>
              <w:widowControl w:val="0"/>
              <w:spacing w:line="360" w:lineRule="auto"/>
              <w:jc w:val="both"/>
              <w:rPr>
                <w:rFonts w:ascii="Verdana" w:hAnsi="Verdana"/>
                <w:sz w:val="20"/>
                <w:szCs w:val="20"/>
              </w:rPr>
            </w:pPr>
            <w:r w:rsidRPr="00920145">
              <w:rPr>
                <w:rFonts w:ascii="Verdana" w:hAnsi="Verdana"/>
                <w:sz w:val="20"/>
                <w:szCs w:val="20"/>
              </w:rPr>
              <w:t>Jeżeli kurs odniesienia wyznaczony według zasad określonych powyżej wykracza poza górne albo dolne statyczne ograniczenie wahań kursów obowiązujące o godzinie 16.30 na ostatniej sesji giełdowej poprzedzającej sesję, na którą jest wyznaczany kurs odniesienia, wówczas za kurs odniesienia przyjmuje się odpowiednio górne albo dolne statyczne ograniczenie wahań kursów obowiązujące o godzinie 16.30 na tej ostatniej sesji.</w:t>
            </w:r>
          </w:p>
        </w:tc>
      </w:tr>
      <w:tr w:rsidR="00D93DE5" w:rsidRPr="00920145" w14:paraId="7F76B3DD" w14:textId="77777777" w:rsidTr="00505BFB">
        <w:trPr>
          <w:trHeight w:val="53"/>
        </w:trPr>
        <w:tc>
          <w:tcPr>
            <w:tcW w:w="3090" w:type="dxa"/>
          </w:tcPr>
          <w:p w14:paraId="7E62DA7C" w14:textId="77777777" w:rsidR="00D93DE5" w:rsidRPr="00920145" w:rsidRDefault="00D93DE5" w:rsidP="00A23201">
            <w:pPr>
              <w:pStyle w:val="Tekstpodstawowy21"/>
              <w:spacing w:before="60" w:line="360" w:lineRule="auto"/>
              <w:jc w:val="left"/>
              <w:rPr>
                <w:rFonts w:ascii="Verdana" w:hAnsi="Verdana" w:cs="Arial"/>
              </w:rPr>
            </w:pPr>
            <w:r w:rsidRPr="00920145">
              <w:rPr>
                <w:rFonts w:ascii="Verdana" w:hAnsi="Verdana" w:cs="Arial"/>
              </w:rPr>
              <w:lastRenderedPageBreak/>
              <w:t>Wysokość dynamicznych ograniczeń wahań kursów</w:t>
            </w:r>
          </w:p>
        </w:tc>
        <w:tc>
          <w:tcPr>
            <w:tcW w:w="5132" w:type="dxa"/>
          </w:tcPr>
          <w:p w14:paraId="3164B4BE" w14:textId="77777777" w:rsidR="00D93DE5" w:rsidRPr="00920145" w:rsidRDefault="00D93DE5" w:rsidP="00A23201">
            <w:pPr>
              <w:pStyle w:val="Tekstpodstawowy3"/>
              <w:tabs>
                <w:tab w:val="left" w:pos="601"/>
              </w:tabs>
              <w:spacing w:before="60" w:line="360" w:lineRule="auto"/>
              <w:jc w:val="left"/>
              <w:rPr>
                <w:rFonts w:ascii="Verdana" w:hAnsi="Verdana" w:cs="Arial"/>
                <w:b w:val="0"/>
                <w:sz w:val="20"/>
              </w:rPr>
            </w:pPr>
            <w:r w:rsidRPr="00920145">
              <w:rPr>
                <w:rFonts w:ascii="Verdana" w:hAnsi="Verdana" w:cs="Arial"/>
                <w:b w:val="0"/>
                <w:sz w:val="20"/>
              </w:rPr>
              <w:t xml:space="preserve">0,25% od kursu odniesienia  </w:t>
            </w:r>
            <w:r w:rsidRPr="00920145">
              <w:rPr>
                <w:rFonts w:ascii="Verdana" w:hAnsi="Verdana" w:cs="Arial"/>
                <w:b w:val="0"/>
                <w:sz w:val="20"/>
              </w:rPr>
              <w:br/>
            </w:r>
          </w:p>
        </w:tc>
      </w:tr>
      <w:tr w:rsidR="00D93DE5" w:rsidRPr="00920145" w14:paraId="1C53511A" w14:textId="77777777" w:rsidTr="00505BFB">
        <w:trPr>
          <w:trHeight w:val="53"/>
        </w:trPr>
        <w:tc>
          <w:tcPr>
            <w:tcW w:w="3090" w:type="dxa"/>
          </w:tcPr>
          <w:p w14:paraId="76466E20" w14:textId="77777777" w:rsidR="00D93DE5" w:rsidRPr="00920145" w:rsidRDefault="00D93DE5" w:rsidP="00A23201">
            <w:pPr>
              <w:pStyle w:val="Tekstpodstawowy21"/>
              <w:spacing w:before="60" w:line="360" w:lineRule="auto"/>
              <w:jc w:val="left"/>
              <w:rPr>
                <w:rFonts w:ascii="Verdana" w:hAnsi="Verdana" w:cs="Arial"/>
              </w:rPr>
            </w:pPr>
            <w:r w:rsidRPr="00920145">
              <w:rPr>
                <w:rFonts w:ascii="Verdana" w:hAnsi="Verdana" w:cs="Arial"/>
              </w:rPr>
              <w:t>Kurs odniesienia dla kursu otwarcia -  dla dynamicznych ograniczeń wahań kursów</w:t>
            </w:r>
          </w:p>
        </w:tc>
        <w:tc>
          <w:tcPr>
            <w:tcW w:w="5132" w:type="dxa"/>
          </w:tcPr>
          <w:p w14:paraId="06FBB8FD" w14:textId="77777777" w:rsidR="00D93DE5" w:rsidRPr="00920145" w:rsidRDefault="00D93DE5" w:rsidP="00A23201">
            <w:pPr>
              <w:pStyle w:val="Tekstpodstawowy21"/>
              <w:spacing w:before="60" w:line="360" w:lineRule="auto"/>
              <w:jc w:val="left"/>
              <w:rPr>
                <w:rFonts w:ascii="Verdana" w:hAnsi="Verdana" w:cs="Arial"/>
              </w:rPr>
            </w:pPr>
            <w:r w:rsidRPr="00920145">
              <w:rPr>
                <w:rFonts w:ascii="Verdana" w:hAnsi="Verdana" w:cs="Arial"/>
              </w:rPr>
              <w:t xml:space="preserve">równy kursowi odniesienia dla statycznych ograniczeń wahań kursów. </w:t>
            </w:r>
          </w:p>
          <w:p w14:paraId="01F48307" w14:textId="77777777" w:rsidR="00D93DE5" w:rsidRPr="00920145" w:rsidRDefault="00D93DE5" w:rsidP="00A23201">
            <w:pPr>
              <w:pStyle w:val="Tekstpodstawowy21"/>
              <w:spacing w:before="60" w:line="360" w:lineRule="auto"/>
              <w:ind w:left="360"/>
              <w:jc w:val="left"/>
              <w:rPr>
                <w:rFonts w:ascii="Verdana" w:hAnsi="Verdana" w:cs="Arial"/>
              </w:rPr>
            </w:pPr>
          </w:p>
        </w:tc>
      </w:tr>
      <w:tr w:rsidR="00D93DE5" w:rsidRPr="00920145" w14:paraId="73CE8EF9" w14:textId="77777777" w:rsidTr="00505BFB">
        <w:trPr>
          <w:trHeight w:val="53"/>
        </w:trPr>
        <w:tc>
          <w:tcPr>
            <w:tcW w:w="3090" w:type="dxa"/>
          </w:tcPr>
          <w:p w14:paraId="435B16B5" w14:textId="77777777" w:rsidR="00D93DE5" w:rsidRPr="00920145" w:rsidRDefault="00D93DE5" w:rsidP="00A23201">
            <w:pPr>
              <w:pStyle w:val="Tekstpodstawowy21"/>
              <w:spacing w:before="60" w:line="360" w:lineRule="auto"/>
              <w:jc w:val="left"/>
              <w:rPr>
                <w:rFonts w:ascii="Verdana" w:hAnsi="Verdana" w:cs="Arial"/>
              </w:rPr>
            </w:pPr>
            <w:r w:rsidRPr="00920145">
              <w:rPr>
                <w:rFonts w:ascii="Verdana" w:hAnsi="Verdana"/>
              </w:rPr>
              <w:br w:type="page"/>
            </w:r>
            <w:r w:rsidRPr="00920145">
              <w:rPr>
                <w:rFonts w:ascii="Verdana" w:hAnsi="Verdana" w:cs="Arial"/>
              </w:rPr>
              <w:t>Równoważenie podstawowe dla statycznych ograniczeń wahań kursów</w:t>
            </w:r>
          </w:p>
        </w:tc>
        <w:tc>
          <w:tcPr>
            <w:tcW w:w="5132" w:type="dxa"/>
          </w:tcPr>
          <w:p w14:paraId="1882FA71" w14:textId="77777777" w:rsidR="00D93DE5" w:rsidRPr="00920145" w:rsidRDefault="00D93DE5" w:rsidP="00A23201">
            <w:pPr>
              <w:pStyle w:val="Tekstpodstawowy21"/>
              <w:spacing w:before="60" w:line="360" w:lineRule="auto"/>
              <w:jc w:val="left"/>
              <w:rPr>
                <w:rFonts w:ascii="Verdana" w:hAnsi="Verdana" w:cs="Arial"/>
              </w:rPr>
            </w:pPr>
            <w:r w:rsidRPr="00920145">
              <w:rPr>
                <w:rFonts w:ascii="Verdana" w:hAnsi="Verdana" w:cs="Arial"/>
              </w:rPr>
              <w:t>Tak</w:t>
            </w:r>
          </w:p>
        </w:tc>
      </w:tr>
      <w:tr w:rsidR="00D93DE5" w:rsidRPr="00920145" w14:paraId="4FC171AF" w14:textId="77777777" w:rsidTr="00505BFB">
        <w:trPr>
          <w:trHeight w:val="53"/>
        </w:trPr>
        <w:tc>
          <w:tcPr>
            <w:tcW w:w="3090" w:type="dxa"/>
          </w:tcPr>
          <w:p w14:paraId="564FE310" w14:textId="77777777" w:rsidR="00D93DE5" w:rsidRPr="00920145" w:rsidRDefault="00D93DE5" w:rsidP="00A23201">
            <w:pPr>
              <w:pStyle w:val="Tekstpodstawowy21"/>
              <w:spacing w:before="60" w:line="360" w:lineRule="auto"/>
              <w:jc w:val="left"/>
              <w:rPr>
                <w:rFonts w:ascii="Verdana" w:hAnsi="Verdana"/>
              </w:rPr>
            </w:pPr>
            <w:r w:rsidRPr="00920145">
              <w:rPr>
                <w:rFonts w:ascii="Verdana" w:hAnsi="Verdana" w:cs="Arial"/>
              </w:rPr>
              <w:lastRenderedPageBreak/>
              <w:t>Czas trwania równoważenia podstawowego dla statycznych ograniczeń wahań kursów</w:t>
            </w:r>
          </w:p>
        </w:tc>
        <w:tc>
          <w:tcPr>
            <w:tcW w:w="5132" w:type="dxa"/>
          </w:tcPr>
          <w:p w14:paraId="51C6B959" w14:textId="77777777" w:rsidR="00D93DE5" w:rsidRPr="00920145" w:rsidRDefault="00D93DE5" w:rsidP="00A23201">
            <w:pPr>
              <w:pStyle w:val="Tekstpodstawowy21"/>
              <w:spacing w:before="60" w:line="360" w:lineRule="auto"/>
              <w:jc w:val="left"/>
              <w:rPr>
                <w:rFonts w:ascii="Verdana" w:hAnsi="Verdana" w:cs="Arial"/>
              </w:rPr>
            </w:pPr>
            <w:r w:rsidRPr="00920145">
              <w:rPr>
                <w:rFonts w:ascii="Verdana" w:hAnsi="Verdana" w:cs="Arial"/>
              </w:rPr>
              <w:t>300 sekund</w:t>
            </w:r>
          </w:p>
        </w:tc>
      </w:tr>
      <w:tr w:rsidR="00D93DE5" w:rsidRPr="00920145" w14:paraId="160AE753" w14:textId="77777777" w:rsidTr="00505BFB">
        <w:trPr>
          <w:trHeight w:val="53"/>
        </w:trPr>
        <w:tc>
          <w:tcPr>
            <w:tcW w:w="3090" w:type="dxa"/>
          </w:tcPr>
          <w:p w14:paraId="4B33250F" w14:textId="77777777" w:rsidR="00D93DE5" w:rsidRPr="00920145" w:rsidRDefault="00D93DE5" w:rsidP="00A23201">
            <w:pPr>
              <w:pStyle w:val="Tekstpodstawowy21"/>
              <w:spacing w:before="60" w:line="360" w:lineRule="auto"/>
              <w:jc w:val="left"/>
              <w:rPr>
                <w:rFonts w:ascii="Verdana" w:hAnsi="Verdana" w:cs="Arial"/>
              </w:rPr>
            </w:pPr>
            <w:r w:rsidRPr="00920145">
              <w:rPr>
                <w:rFonts w:ascii="Verdana" w:hAnsi="Verdana" w:cs="Arial"/>
              </w:rPr>
              <w:t>Współczynnik przesunięcia kursu odniesienia dla równoważenia w fazie aukcji otwarcia</w:t>
            </w:r>
          </w:p>
        </w:tc>
        <w:tc>
          <w:tcPr>
            <w:tcW w:w="5132" w:type="dxa"/>
          </w:tcPr>
          <w:p w14:paraId="04218C2A" w14:textId="77777777" w:rsidR="00D93DE5" w:rsidRPr="00920145" w:rsidRDefault="00D93DE5" w:rsidP="00A23201">
            <w:pPr>
              <w:pStyle w:val="Tekstpodstawowy21"/>
              <w:spacing w:before="60" w:line="360" w:lineRule="auto"/>
              <w:jc w:val="left"/>
              <w:rPr>
                <w:rFonts w:ascii="Verdana" w:hAnsi="Verdana" w:cs="Arial"/>
              </w:rPr>
            </w:pPr>
            <w:r w:rsidRPr="00920145">
              <w:rPr>
                <w:rFonts w:ascii="Verdana" w:hAnsi="Verdana" w:cs="Arial"/>
              </w:rPr>
              <w:t>1</w:t>
            </w:r>
          </w:p>
        </w:tc>
      </w:tr>
      <w:tr w:rsidR="00D93DE5" w:rsidRPr="00920145" w14:paraId="024F0357" w14:textId="77777777" w:rsidTr="00505BFB">
        <w:trPr>
          <w:trHeight w:val="53"/>
        </w:trPr>
        <w:tc>
          <w:tcPr>
            <w:tcW w:w="3090" w:type="dxa"/>
          </w:tcPr>
          <w:p w14:paraId="3B591A3E" w14:textId="77777777" w:rsidR="00D93DE5" w:rsidRPr="00920145" w:rsidRDefault="00D93DE5" w:rsidP="00A23201">
            <w:pPr>
              <w:pStyle w:val="Tekstpodstawowy21"/>
              <w:spacing w:before="60" w:line="360" w:lineRule="auto"/>
              <w:jc w:val="left"/>
              <w:rPr>
                <w:rFonts w:ascii="Verdana" w:hAnsi="Verdana" w:cs="Arial"/>
              </w:rPr>
            </w:pPr>
            <w:r w:rsidRPr="00920145">
              <w:rPr>
                <w:rFonts w:ascii="Verdana" w:hAnsi="Verdana" w:cs="Arial"/>
              </w:rPr>
              <w:t>Współczynnik przesunięcia kursu odniesienia dla równoważenia w fazach innych niż faza aukcji otwarcia</w:t>
            </w:r>
          </w:p>
        </w:tc>
        <w:tc>
          <w:tcPr>
            <w:tcW w:w="5132" w:type="dxa"/>
          </w:tcPr>
          <w:p w14:paraId="6450941D" w14:textId="77777777" w:rsidR="00D93DE5" w:rsidRPr="00920145" w:rsidRDefault="00D93DE5" w:rsidP="00A23201">
            <w:pPr>
              <w:pStyle w:val="Tekstpodstawowy21"/>
              <w:spacing w:before="60" w:line="360" w:lineRule="auto"/>
              <w:jc w:val="left"/>
              <w:rPr>
                <w:rFonts w:ascii="Verdana" w:hAnsi="Verdana" w:cs="Arial"/>
              </w:rPr>
            </w:pPr>
            <w:r w:rsidRPr="00920145">
              <w:rPr>
                <w:rFonts w:ascii="Verdana" w:hAnsi="Verdana" w:cs="Arial"/>
              </w:rPr>
              <w:t>0,5</w:t>
            </w:r>
          </w:p>
        </w:tc>
      </w:tr>
      <w:tr w:rsidR="00D93DE5" w:rsidRPr="00920145" w14:paraId="5DE5558E" w14:textId="77777777" w:rsidTr="00505BFB">
        <w:trPr>
          <w:trHeight w:val="53"/>
        </w:trPr>
        <w:tc>
          <w:tcPr>
            <w:tcW w:w="3090" w:type="dxa"/>
          </w:tcPr>
          <w:p w14:paraId="2C3FDC2D" w14:textId="77777777" w:rsidR="00D93DE5" w:rsidRPr="00920145" w:rsidRDefault="00D93DE5" w:rsidP="00A23201">
            <w:pPr>
              <w:pStyle w:val="Tekstpodstawowy21"/>
              <w:spacing w:before="60" w:line="360" w:lineRule="auto"/>
              <w:jc w:val="left"/>
              <w:rPr>
                <w:rFonts w:ascii="Verdana" w:hAnsi="Verdana" w:cs="Arial"/>
              </w:rPr>
            </w:pPr>
            <w:r w:rsidRPr="00920145">
              <w:rPr>
                <w:rFonts w:ascii="Verdana" w:hAnsi="Verdana" w:cs="Arial"/>
              </w:rPr>
              <w:t>Współczynnik maksymalnej liczby zmian netto statycznych ograniczeń wahań kursów</w:t>
            </w:r>
          </w:p>
        </w:tc>
        <w:tc>
          <w:tcPr>
            <w:tcW w:w="5132" w:type="dxa"/>
          </w:tcPr>
          <w:p w14:paraId="28EE6D56" w14:textId="77777777" w:rsidR="00D93DE5" w:rsidRPr="00920145" w:rsidRDefault="00D93DE5" w:rsidP="00A23201">
            <w:pPr>
              <w:pStyle w:val="Tekstpodstawowy21"/>
              <w:spacing w:before="60" w:line="360" w:lineRule="auto"/>
              <w:jc w:val="left"/>
              <w:rPr>
                <w:rFonts w:ascii="Verdana" w:hAnsi="Verdana" w:cs="Arial"/>
              </w:rPr>
            </w:pPr>
            <w:r w:rsidRPr="00920145">
              <w:rPr>
                <w:rFonts w:ascii="Verdana" w:hAnsi="Verdana" w:cs="Arial"/>
              </w:rPr>
              <w:t>2</w:t>
            </w:r>
          </w:p>
        </w:tc>
      </w:tr>
      <w:tr w:rsidR="00D93DE5" w:rsidRPr="00920145" w14:paraId="2F212098" w14:textId="77777777" w:rsidTr="00505BFB">
        <w:trPr>
          <w:trHeight w:val="53"/>
        </w:trPr>
        <w:tc>
          <w:tcPr>
            <w:tcW w:w="3090" w:type="dxa"/>
          </w:tcPr>
          <w:p w14:paraId="42101635" w14:textId="77777777" w:rsidR="00D93DE5" w:rsidRPr="00920145" w:rsidRDefault="00D93DE5" w:rsidP="00A23201">
            <w:pPr>
              <w:pStyle w:val="Tekstpodstawowy21"/>
              <w:spacing w:before="60" w:line="360" w:lineRule="auto"/>
              <w:jc w:val="left"/>
              <w:rPr>
                <w:rFonts w:ascii="Verdana" w:hAnsi="Verdana" w:cs="Arial"/>
              </w:rPr>
            </w:pPr>
            <w:r w:rsidRPr="00920145">
              <w:rPr>
                <w:rFonts w:ascii="Verdana" w:hAnsi="Verdana" w:cs="Arial"/>
              </w:rPr>
              <w:t>Czas trwania równoważenia podstawowego dla dynamicznych ograniczeń wahań kursów</w:t>
            </w:r>
          </w:p>
        </w:tc>
        <w:tc>
          <w:tcPr>
            <w:tcW w:w="5132" w:type="dxa"/>
          </w:tcPr>
          <w:p w14:paraId="7E30BF20" w14:textId="77777777" w:rsidR="00D93DE5" w:rsidRPr="00920145" w:rsidRDefault="00D93DE5" w:rsidP="00A23201">
            <w:pPr>
              <w:pStyle w:val="Tekstpodstawowy21"/>
              <w:spacing w:before="60" w:line="360" w:lineRule="auto"/>
              <w:jc w:val="left"/>
              <w:rPr>
                <w:rFonts w:ascii="Verdana" w:hAnsi="Verdana" w:cs="Arial"/>
              </w:rPr>
            </w:pPr>
            <w:r w:rsidRPr="00920145">
              <w:rPr>
                <w:rFonts w:ascii="Verdana" w:hAnsi="Verdana" w:cs="Arial"/>
              </w:rPr>
              <w:t>60 sekund</w:t>
            </w:r>
          </w:p>
        </w:tc>
      </w:tr>
      <w:tr w:rsidR="00D93DE5" w:rsidRPr="00920145" w14:paraId="32C7A91B" w14:textId="77777777" w:rsidTr="00505BFB">
        <w:trPr>
          <w:trHeight w:val="53"/>
        </w:trPr>
        <w:tc>
          <w:tcPr>
            <w:tcW w:w="3090" w:type="dxa"/>
          </w:tcPr>
          <w:p w14:paraId="24EC2556" w14:textId="77777777" w:rsidR="00D93DE5" w:rsidRPr="00920145" w:rsidRDefault="00D93DE5" w:rsidP="00A23201">
            <w:pPr>
              <w:pStyle w:val="Tekstpodstawowy21"/>
              <w:spacing w:before="60" w:line="360" w:lineRule="auto"/>
              <w:jc w:val="left"/>
              <w:rPr>
                <w:rFonts w:ascii="Verdana" w:hAnsi="Verdana" w:cs="Arial"/>
              </w:rPr>
            </w:pPr>
            <w:r w:rsidRPr="00920145">
              <w:rPr>
                <w:rFonts w:ascii="Verdana" w:hAnsi="Verdana" w:cs="Arial"/>
              </w:rPr>
              <w:t>Współczynnik rozszerzenia dla równoważenia w fazie aukcji otwarcia</w:t>
            </w:r>
          </w:p>
        </w:tc>
        <w:tc>
          <w:tcPr>
            <w:tcW w:w="5132" w:type="dxa"/>
          </w:tcPr>
          <w:p w14:paraId="12611DFA" w14:textId="77777777" w:rsidR="00D93DE5" w:rsidRPr="00920145" w:rsidRDefault="00D93DE5" w:rsidP="00A23201">
            <w:pPr>
              <w:pStyle w:val="Tekstpodstawowy21"/>
              <w:spacing w:before="60" w:line="360" w:lineRule="auto"/>
              <w:jc w:val="left"/>
              <w:rPr>
                <w:rFonts w:ascii="Verdana" w:hAnsi="Verdana" w:cs="Arial"/>
              </w:rPr>
            </w:pPr>
            <w:r w:rsidRPr="00920145">
              <w:rPr>
                <w:rFonts w:ascii="Verdana" w:hAnsi="Verdana" w:cs="Arial"/>
              </w:rPr>
              <w:t>3,0</w:t>
            </w:r>
          </w:p>
        </w:tc>
      </w:tr>
      <w:tr w:rsidR="00D93DE5" w:rsidRPr="00920145" w14:paraId="6F408081" w14:textId="77777777" w:rsidTr="00505BFB">
        <w:trPr>
          <w:trHeight w:val="53"/>
        </w:trPr>
        <w:tc>
          <w:tcPr>
            <w:tcW w:w="3090" w:type="dxa"/>
          </w:tcPr>
          <w:p w14:paraId="30AF4DDF" w14:textId="77777777" w:rsidR="00D93DE5" w:rsidRPr="00920145" w:rsidRDefault="00D93DE5" w:rsidP="00A23201">
            <w:pPr>
              <w:pStyle w:val="Tekstpodstawowy21"/>
              <w:spacing w:before="60" w:line="360" w:lineRule="auto"/>
              <w:jc w:val="left"/>
              <w:rPr>
                <w:rFonts w:ascii="Verdana" w:hAnsi="Verdana" w:cs="Arial"/>
              </w:rPr>
            </w:pPr>
            <w:r w:rsidRPr="00920145">
              <w:rPr>
                <w:rFonts w:ascii="Verdana" w:hAnsi="Verdana" w:cs="Arial"/>
              </w:rPr>
              <w:t>Współczynnik rozszerzenia dla równoważenia w fazach innych niż faza aukcji otwarcia</w:t>
            </w:r>
          </w:p>
        </w:tc>
        <w:tc>
          <w:tcPr>
            <w:tcW w:w="5132" w:type="dxa"/>
          </w:tcPr>
          <w:p w14:paraId="504B2E6A" w14:textId="77777777" w:rsidR="00D93DE5" w:rsidRPr="00920145" w:rsidRDefault="00D93DE5" w:rsidP="00A23201">
            <w:pPr>
              <w:pStyle w:val="Tekstpodstawowy21"/>
              <w:spacing w:before="60" w:line="360" w:lineRule="auto"/>
              <w:jc w:val="left"/>
              <w:rPr>
                <w:rFonts w:ascii="Verdana" w:hAnsi="Verdana" w:cs="Arial"/>
              </w:rPr>
            </w:pPr>
            <w:r w:rsidRPr="00920145">
              <w:rPr>
                <w:rFonts w:ascii="Verdana" w:hAnsi="Verdana" w:cs="Arial"/>
              </w:rPr>
              <w:t>2,0</w:t>
            </w:r>
          </w:p>
        </w:tc>
      </w:tr>
      <w:tr w:rsidR="00D93DE5" w:rsidRPr="00920145" w14:paraId="367A1588" w14:textId="77777777" w:rsidTr="00505BFB">
        <w:trPr>
          <w:trHeight w:val="53"/>
        </w:trPr>
        <w:tc>
          <w:tcPr>
            <w:tcW w:w="3090" w:type="dxa"/>
          </w:tcPr>
          <w:p w14:paraId="188ED990" w14:textId="77777777" w:rsidR="00D93DE5" w:rsidRPr="00920145" w:rsidRDefault="00D93DE5" w:rsidP="00A23201">
            <w:pPr>
              <w:pStyle w:val="Tekstpodstawowy21"/>
              <w:spacing w:before="60" w:line="360" w:lineRule="auto"/>
              <w:jc w:val="left"/>
              <w:rPr>
                <w:rFonts w:ascii="Verdana" w:hAnsi="Verdana" w:cs="Arial"/>
              </w:rPr>
            </w:pPr>
            <w:r w:rsidRPr="00920145">
              <w:rPr>
                <w:rFonts w:ascii="Verdana" w:hAnsi="Verdana" w:cs="Arial"/>
              </w:rPr>
              <w:t>Współczynnik maksymalnej liczby zmian netto dynamicznych ograniczeń wahań kursów</w:t>
            </w:r>
          </w:p>
        </w:tc>
        <w:tc>
          <w:tcPr>
            <w:tcW w:w="5132" w:type="dxa"/>
          </w:tcPr>
          <w:p w14:paraId="3B3D372A" w14:textId="77777777" w:rsidR="00D93DE5" w:rsidRPr="00920145" w:rsidRDefault="00D93DE5" w:rsidP="00A23201">
            <w:pPr>
              <w:pStyle w:val="Tekstpodstawowy21"/>
              <w:spacing w:before="60" w:line="360" w:lineRule="auto"/>
              <w:jc w:val="left"/>
              <w:rPr>
                <w:rFonts w:ascii="Verdana" w:hAnsi="Verdana" w:cs="Arial"/>
              </w:rPr>
            </w:pPr>
            <w:r w:rsidRPr="00920145">
              <w:rPr>
                <w:rFonts w:ascii="Verdana" w:hAnsi="Verdana" w:cs="Arial"/>
              </w:rPr>
              <w:t>20</w:t>
            </w:r>
          </w:p>
        </w:tc>
      </w:tr>
    </w:tbl>
    <w:p w14:paraId="5187E6E7" w14:textId="58C718F1" w:rsidR="00950E6C" w:rsidRPr="00920145" w:rsidRDefault="00950E6C" w:rsidP="00A23201">
      <w:pPr>
        <w:pStyle w:val="Akapitzlist"/>
        <w:tabs>
          <w:tab w:val="left" w:pos="851"/>
        </w:tabs>
        <w:spacing w:after="240" w:line="360" w:lineRule="auto"/>
        <w:ind w:left="567"/>
        <w:contextualSpacing w:val="0"/>
        <w:jc w:val="both"/>
        <w:rPr>
          <w:rFonts w:ascii="Verdana" w:hAnsi="Verdana"/>
          <w:sz w:val="20"/>
          <w:szCs w:val="18"/>
        </w:rPr>
      </w:pPr>
    </w:p>
    <w:p w14:paraId="08C26495" w14:textId="1B121E19" w:rsidR="00C15C16" w:rsidRPr="00920145" w:rsidRDefault="00C10CDB" w:rsidP="008362AE">
      <w:pPr>
        <w:pStyle w:val="Nagwek3"/>
      </w:pPr>
      <w:r w:rsidRPr="00920145">
        <w:lastRenderedPageBreak/>
        <w:t>§ 87b otrzymuje brzmienie:</w:t>
      </w:r>
    </w:p>
    <w:p w14:paraId="2119544A" w14:textId="388B8402" w:rsidR="00C10CDB" w:rsidRPr="00920145" w:rsidRDefault="00C10CDB" w:rsidP="00A23201">
      <w:pPr>
        <w:pStyle w:val="Akapitzlist"/>
        <w:tabs>
          <w:tab w:val="left" w:pos="851"/>
        </w:tabs>
        <w:spacing w:after="120" w:line="360" w:lineRule="auto"/>
        <w:ind w:left="567"/>
        <w:contextualSpacing w:val="0"/>
        <w:jc w:val="both"/>
        <w:rPr>
          <w:rFonts w:ascii="Verdana" w:hAnsi="Verdana"/>
          <w:sz w:val="20"/>
          <w:szCs w:val="20"/>
        </w:rPr>
      </w:pPr>
      <w:r w:rsidRPr="00920145">
        <w:rPr>
          <w:rFonts w:ascii="Verdana" w:hAnsi="Verdana"/>
          <w:sz w:val="20"/>
          <w:szCs w:val="20"/>
        </w:rPr>
        <w:t xml:space="preserve">„§ 87b </w:t>
      </w:r>
    </w:p>
    <w:p w14:paraId="635BF368" w14:textId="49DDEAAF" w:rsidR="00C10CDB" w:rsidRPr="00920145" w:rsidRDefault="00C10CDB" w:rsidP="00A23201">
      <w:pPr>
        <w:tabs>
          <w:tab w:val="left" w:pos="142"/>
        </w:tabs>
        <w:spacing w:after="120" w:line="360" w:lineRule="auto"/>
        <w:ind w:left="567"/>
        <w:jc w:val="both"/>
        <w:rPr>
          <w:rFonts w:ascii="Verdana" w:hAnsi="Verdana" w:cs="Arial"/>
          <w:sz w:val="20"/>
          <w:szCs w:val="18"/>
        </w:rPr>
      </w:pPr>
      <w:r w:rsidRPr="00920145">
        <w:rPr>
          <w:rFonts w:ascii="Verdana" w:hAnsi="Verdana" w:cs="Arial"/>
          <w:sz w:val="20"/>
          <w:szCs w:val="18"/>
        </w:rPr>
        <w:t xml:space="preserve">Szczegółowe warunki obrotu dla kontraktów terminowych na krótkoterminowe, średnioterminowe i długoterminowe obligacje skarbowe: </w:t>
      </w:r>
    </w:p>
    <w:tbl>
      <w:tblPr>
        <w:tblW w:w="935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5954"/>
      </w:tblGrid>
      <w:tr w:rsidR="00C10CDB" w:rsidRPr="00920145" w14:paraId="300156E3" w14:textId="77777777" w:rsidTr="002D5BBE">
        <w:tc>
          <w:tcPr>
            <w:tcW w:w="3402" w:type="dxa"/>
            <w:tcBorders>
              <w:top w:val="single" w:sz="4" w:space="0" w:color="auto"/>
              <w:left w:val="single" w:sz="4" w:space="0" w:color="auto"/>
              <w:bottom w:val="single" w:sz="4" w:space="0" w:color="auto"/>
              <w:right w:val="single" w:sz="4" w:space="0" w:color="auto"/>
            </w:tcBorders>
          </w:tcPr>
          <w:p w14:paraId="737B5A57" w14:textId="77777777" w:rsidR="00C10CDB" w:rsidRPr="00920145" w:rsidRDefault="00C10CDB" w:rsidP="00A23201">
            <w:pPr>
              <w:pStyle w:val="Tekstpodstawowy21"/>
              <w:spacing w:before="60" w:line="360" w:lineRule="auto"/>
              <w:rPr>
                <w:rFonts w:ascii="Verdana" w:hAnsi="Verdana" w:cs="Arial"/>
              </w:rPr>
            </w:pPr>
            <w:r w:rsidRPr="00920145">
              <w:rPr>
                <w:rFonts w:ascii="Verdana" w:hAnsi="Verdana" w:cs="Arial"/>
              </w:rPr>
              <w:t xml:space="preserve">Jednostka  transakcyjna </w:t>
            </w:r>
          </w:p>
        </w:tc>
        <w:tc>
          <w:tcPr>
            <w:tcW w:w="5954" w:type="dxa"/>
            <w:tcBorders>
              <w:top w:val="single" w:sz="4" w:space="0" w:color="auto"/>
              <w:left w:val="single" w:sz="4" w:space="0" w:color="auto"/>
              <w:bottom w:val="single" w:sz="4" w:space="0" w:color="auto"/>
              <w:right w:val="single" w:sz="4" w:space="0" w:color="auto"/>
            </w:tcBorders>
          </w:tcPr>
          <w:p w14:paraId="5E459F69" w14:textId="77777777" w:rsidR="00C10CDB" w:rsidRPr="00920145" w:rsidRDefault="00C10CDB" w:rsidP="00A23201">
            <w:pPr>
              <w:pStyle w:val="Tekstpodstawowy21"/>
              <w:spacing w:before="60" w:line="360" w:lineRule="auto"/>
              <w:rPr>
                <w:rFonts w:ascii="Verdana" w:hAnsi="Verdana" w:cs="Arial"/>
              </w:rPr>
            </w:pPr>
            <w:r w:rsidRPr="00920145">
              <w:rPr>
                <w:rFonts w:ascii="Verdana" w:hAnsi="Verdana" w:cs="Arial"/>
              </w:rPr>
              <w:t>jeden instrument, chyba że Zarząd Giełdy określi inną jednostkę transakcyjną</w:t>
            </w:r>
          </w:p>
        </w:tc>
      </w:tr>
      <w:tr w:rsidR="007164ED" w:rsidRPr="00920145" w14:paraId="2663C855" w14:textId="77777777" w:rsidTr="002D5BBE">
        <w:tc>
          <w:tcPr>
            <w:tcW w:w="3402" w:type="dxa"/>
            <w:tcBorders>
              <w:top w:val="single" w:sz="4" w:space="0" w:color="auto"/>
              <w:left w:val="single" w:sz="4" w:space="0" w:color="auto"/>
              <w:bottom w:val="single" w:sz="4" w:space="0" w:color="auto"/>
              <w:right w:val="single" w:sz="4" w:space="0" w:color="auto"/>
            </w:tcBorders>
          </w:tcPr>
          <w:p w14:paraId="219DCDB1" w14:textId="64F89BCE" w:rsidR="007164ED" w:rsidRPr="00920145" w:rsidDel="007164ED" w:rsidRDefault="007164ED" w:rsidP="007164ED">
            <w:pPr>
              <w:pStyle w:val="Tekstpodstawowy21"/>
              <w:spacing w:before="60" w:line="360" w:lineRule="auto"/>
              <w:rPr>
                <w:rFonts w:ascii="Verdana" w:hAnsi="Verdana"/>
              </w:rPr>
            </w:pPr>
            <w:r w:rsidRPr="00920145">
              <w:rPr>
                <w:rFonts w:ascii="Verdana" w:hAnsi="Verdana"/>
              </w:rPr>
              <w:t>Losowy czas otwarcia</w:t>
            </w:r>
            <w:r w:rsidRPr="00920145">
              <w:rPr>
                <w:rFonts w:ascii="Verdana" w:hAnsi="Verdana"/>
              </w:rPr>
              <w:br/>
              <w:t>dla fazy aukcji otwarcia</w:t>
            </w:r>
          </w:p>
        </w:tc>
        <w:tc>
          <w:tcPr>
            <w:tcW w:w="5954" w:type="dxa"/>
            <w:tcBorders>
              <w:top w:val="single" w:sz="4" w:space="0" w:color="auto"/>
              <w:left w:val="single" w:sz="4" w:space="0" w:color="auto"/>
              <w:bottom w:val="single" w:sz="4" w:space="0" w:color="auto"/>
              <w:right w:val="single" w:sz="4" w:space="0" w:color="auto"/>
            </w:tcBorders>
          </w:tcPr>
          <w:p w14:paraId="3DE8C895" w14:textId="4FB4B9D4" w:rsidR="007164ED" w:rsidRPr="00920145" w:rsidDel="007164ED" w:rsidRDefault="002F0779" w:rsidP="007164ED">
            <w:pPr>
              <w:pStyle w:val="Tekstpodstawowy21"/>
              <w:spacing w:before="60" w:line="360" w:lineRule="auto"/>
              <w:rPr>
                <w:rFonts w:ascii="Verdana" w:hAnsi="Verdana"/>
              </w:rPr>
            </w:pPr>
            <w:r w:rsidRPr="00920145">
              <w:rPr>
                <w:rFonts w:ascii="Verdana" w:hAnsi="Verdana"/>
              </w:rPr>
              <w:t>(</w:t>
            </w:r>
            <w:r w:rsidR="007164ED" w:rsidRPr="00920145">
              <w:rPr>
                <w:rFonts w:ascii="Verdana" w:hAnsi="Verdana"/>
              </w:rPr>
              <w:t>+</w:t>
            </w:r>
            <w:r w:rsidRPr="00920145">
              <w:rPr>
                <w:rFonts w:ascii="Verdana" w:hAnsi="Verdana"/>
              </w:rPr>
              <w:t>)</w:t>
            </w:r>
            <w:r w:rsidR="007164ED" w:rsidRPr="00920145">
              <w:rPr>
                <w:rFonts w:ascii="Verdana" w:hAnsi="Verdana"/>
              </w:rPr>
              <w:t xml:space="preserve"> 0-30 sekund</w:t>
            </w:r>
          </w:p>
        </w:tc>
      </w:tr>
      <w:tr w:rsidR="007164ED" w:rsidRPr="00920145" w14:paraId="6CB8F9A1" w14:textId="77777777" w:rsidTr="002D5BBE">
        <w:tc>
          <w:tcPr>
            <w:tcW w:w="3402" w:type="dxa"/>
            <w:tcBorders>
              <w:top w:val="single" w:sz="4" w:space="0" w:color="auto"/>
              <w:left w:val="single" w:sz="4" w:space="0" w:color="auto"/>
              <w:bottom w:val="single" w:sz="4" w:space="0" w:color="auto"/>
              <w:right w:val="single" w:sz="4" w:space="0" w:color="auto"/>
            </w:tcBorders>
          </w:tcPr>
          <w:p w14:paraId="0CD2AEFD" w14:textId="70189113" w:rsidR="007164ED" w:rsidRPr="00920145" w:rsidDel="007164ED" w:rsidRDefault="007164ED" w:rsidP="007164ED">
            <w:pPr>
              <w:pStyle w:val="Tekstpodstawowy21"/>
              <w:spacing w:before="60" w:line="360" w:lineRule="auto"/>
              <w:rPr>
                <w:rFonts w:ascii="Verdana" w:hAnsi="Verdana"/>
              </w:rPr>
            </w:pPr>
            <w:r w:rsidRPr="00920145">
              <w:rPr>
                <w:rFonts w:ascii="Verdana" w:hAnsi="Verdana"/>
              </w:rPr>
              <w:t>Losowy czas otwarcia</w:t>
            </w:r>
            <w:r w:rsidRPr="00920145">
              <w:rPr>
                <w:rFonts w:ascii="Verdana" w:hAnsi="Verdana"/>
              </w:rPr>
              <w:br/>
              <w:t>dla fazy aukcji zamknięcia</w:t>
            </w:r>
          </w:p>
        </w:tc>
        <w:tc>
          <w:tcPr>
            <w:tcW w:w="5954" w:type="dxa"/>
            <w:tcBorders>
              <w:top w:val="single" w:sz="4" w:space="0" w:color="auto"/>
              <w:left w:val="single" w:sz="4" w:space="0" w:color="auto"/>
              <w:bottom w:val="single" w:sz="4" w:space="0" w:color="auto"/>
              <w:right w:val="single" w:sz="4" w:space="0" w:color="auto"/>
            </w:tcBorders>
          </w:tcPr>
          <w:p w14:paraId="098FCD05" w14:textId="002A4470" w:rsidR="007164ED" w:rsidRPr="00920145" w:rsidDel="007164ED" w:rsidRDefault="002F0779" w:rsidP="007164ED">
            <w:pPr>
              <w:pStyle w:val="Tekstpodstawowy21"/>
              <w:spacing w:before="60" w:line="360" w:lineRule="auto"/>
              <w:rPr>
                <w:rFonts w:ascii="Verdana" w:hAnsi="Verdana"/>
              </w:rPr>
            </w:pPr>
            <w:r w:rsidRPr="00920145">
              <w:rPr>
                <w:rFonts w:ascii="Verdana" w:hAnsi="Verdana"/>
              </w:rPr>
              <w:t>(</w:t>
            </w:r>
            <w:r w:rsidR="007164ED" w:rsidRPr="00920145">
              <w:rPr>
                <w:rFonts w:ascii="Verdana" w:hAnsi="Verdana"/>
              </w:rPr>
              <w:t>-</w:t>
            </w:r>
            <w:r w:rsidRPr="00920145">
              <w:rPr>
                <w:rFonts w:ascii="Verdana" w:hAnsi="Verdana"/>
              </w:rPr>
              <w:t>)</w:t>
            </w:r>
            <w:r w:rsidR="007164ED" w:rsidRPr="00920145">
              <w:rPr>
                <w:rFonts w:ascii="Verdana" w:hAnsi="Verdana"/>
              </w:rPr>
              <w:t xml:space="preserve"> 0-30 sekund</w:t>
            </w:r>
          </w:p>
        </w:tc>
      </w:tr>
      <w:tr w:rsidR="00C10CDB" w:rsidRPr="00920145" w14:paraId="2B660A6A" w14:textId="77777777" w:rsidTr="002D5BBE">
        <w:tc>
          <w:tcPr>
            <w:tcW w:w="3402" w:type="dxa"/>
          </w:tcPr>
          <w:p w14:paraId="6023CA19" w14:textId="77777777" w:rsidR="00C10CDB" w:rsidRPr="00920145" w:rsidRDefault="00C10CDB" w:rsidP="00A23201">
            <w:pPr>
              <w:pStyle w:val="Tekstpodstawowy21"/>
              <w:spacing w:before="60" w:line="360" w:lineRule="auto"/>
              <w:jc w:val="left"/>
              <w:rPr>
                <w:rFonts w:ascii="Verdana" w:hAnsi="Verdana" w:cs="Arial"/>
              </w:rPr>
            </w:pPr>
            <w:r w:rsidRPr="00920145">
              <w:rPr>
                <w:rFonts w:ascii="Verdana" w:hAnsi="Verdana" w:cs="Arial"/>
              </w:rPr>
              <w:t>Jednostka określania dla:</w:t>
            </w:r>
          </w:p>
          <w:p w14:paraId="580D14EC" w14:textId="77777777" w:rsidR="00C10CDB" w:rsidRPr="00920145" w:rsidRDefault="00C10CDB" w:rsidP="00A23201">
            <w:pPr>
              <w:pStyle w:val="Tekstpodstawowy21"/>
              <w:spacing w:before="60" w:line="360" w:lineRule="auto"/>
              <w:jc w:val="left"/>
              <w:rPr>
                <w:rFonts w:ascii="Verdana" w:hAnsi="Verdana" w:cs="Arial"/>
              </w:rPr>
            </w:pPr>
            <w:r w:rsidRPr="00920145">
              <w:rPr>
                <w:rFonts w:ascii="Verdana" w:hAnsi="Verdana" w:cs="Arial"/>
              </w:rPr>
              <w:t xml:space="preserve">- kursu kontraktu, </w:t>
            </w:r>
          </w:p>
          <w:p w14:paraId="08E87489" w14:textId="77777777" w:rsidR="00C10CDB" w:rsidRPr="00920145" w:rsidRDefault="00C10CDB" w:rsidP="00A23201">
            <w:pPr>
              <w:pStyle w:val="Tekstpodstawowy21"/>
              <w:spacing w:before="60" w:line="360" w:lineRule="auto"/>
              <w:jc w:val="left"/>
              <w:rPr>
                <w:rFonts w:ascii="Verdana" w:hAnsi="Verdana" w:cs="Arial"/>
              </w:rPr>
            </w:pPr>
            <w:r w:rsidRPr="00920145">
              <w:rPr>
                <w:rFonts w:ascii="Verdana" w:hAnsi="Verdana" w:cs="Arial"/>
              </w:rPr>
              <w:t>- dziennego kursu rozliczeniowego,</w:t>
            </w:r>
          </w:p>
          <w:p w14:paraId="58CB543B" w14:textId="77777777" w:rsidR="00C10CDB" w:rsidRPr="00920145" w:rsidRDefault="00C10CDB" w:rsidP="00A23201">
            <w:pPr>
              <w:pStyle w:val="Tekstpodstawowy21"/>
              <w:spacing w:before="60" w:line="360" w:lineRule="auto"/>
              <w:jc w:val="left"/>
              <w:rPr>
                <w:rFonts w:ascii="Verdana" w:hAnsi="Verdana" w:cs="Arial"/>
              </w:rPr>
            </w:pPr>
            <w:r w:rsidRPr="00920145">
              <w:rPr>
                <w:rFonts w:ascii="Verdana" w:hAnsi="Verdana" w:cs="Arial"/>
              </w:rPr>
              <w:t>- ostatecznego kursu rozliczeniowego</w:t>
            </w:r>
          </w:p>
        </w:tc>
        <w:tc>
          <w:tcPr>
            <w:tcW w:w="5954" w:type="dxa"/>
          </w:tcPr>
          <w:p w14:paraId="0B6B3893" w14:textId="77777777" w:rsidR="00C10CDB" w:rsidRPr="00920145" w:rsidRDefault="00C10CDB" w:rsidP="00A23201">
            <w:pPr>
              <w:pStyle w:val="Tekstpodstawowy21"/>
              <w:spacing w:before="60" w:line="360" w:lineRule="auto"/>
              <w:rPr>
                <w:rFonts w:ascii="Verdana" w:hAnsi="Verdana" w:cs="Arial"/>
              </w:rPr>
            </w:pPr>
            <w:r w:rsidRPr="00920145">
              <w:rPr>
                <w:rFonts w:ascii="Verdana" w:hAnsi="Verdana" w:cs="Arial"/>
              </w:rPr>
              <w:t>w punktach procentowych za 100 złotych wartości nominalnej</w:t>
            </w:r>
          </w:p>
        </w:tc>
      </w:tr>
      <w:tr w:rsidR="00C10CDB" w:rsidRPr="00920145" w14:paraId="14AEFB16" w14:textId="77777777" w:rsidTr="002D5BBE">
        <w:tc>
          <w:tcPr>
            <w:tcW w:w="3402" w:type="dxa"/>
          </w:tcPr>
          <w:p w14:paraId="04AA4207" w14:textId="77777777" w:rsidR="00C10CDB" w:rsidRPr="00920145" w:rsidRDefault="00C10CDB" w:rsidP="00A23201">
            <w:pPr>
              <w:pStyle w:val="Tekstpodstawowy21"/>
              <w:spacing w:before="60" w:line="360" w:lineRule="auto"/>
              <w:jc w:val="left"/>
              <w:rPr>
                <w:rFonts w:ascii="Verdana" w:hAnsi="Verdana" w:cs="Arial"/>
              </w:rPr>
            </w:pPr>
            <w:r w:rsidRPr="00920145">
              <w:rPr>
                <w:rFonts w:ascii="Verdana" w:hAnsi="Verdana" w:cs="Arial"/>
              </w:rPr>
              <w:t>Krok notowania</w:t>
            </w:r>
          </w:p>
        </w:tc>
        <w:tc>
          <w:tcPr>
            <w:tcW w:w="5954" w:type="dxa"/>
          </w:tcPr>
          <w:p w14:paraId="12B3BEE4" w14:textId="77777777" w:rsidR="00C10CDB" w:rsidRPr="00920145" w:rsidRDefault="00C10CDB" w:rsidP="00A23201">
            <w:pPr>
              <w:pStyle w:val="Tekstpodstawowy21"/>
              <w:spacing w:before="60" w:line="360" w:lineRule="auto"/>
              <w:rPr>
                <w:rFonts w:ascii="Verdana" w:hAnsi="Verdana" w:cs="Arial"/>
              </w:rPr>
            </w:pPr>
            <w:r w:rsidRPr="00920145">
              <w:rPr>
                <w:rFonts w:ascii="Verdana" w:hAnsi="Verdana" w:cs="Arial"/>
              </w:rPr>
              <w:t>0,01 punktu procentowego</w:t>
            </w:r>
          </w:p>
        </w:tc>
      </w:tr>
      <w:tr w:rsidR="00C10CDB" w:rsidRPr="00920145" w14:paraId="40B7D48E" w14:textId="77777777" w:rsidTr="002D5BBE">
        <w:tc>
          <w:tcPr>
            <w:tcW w:w="3402" w:type="dxa"/>
          </w:tcPr>
          <w:p w14:paraId="17E32EB2" w14:textId="77777777" w:rsidR="00C10CDB" w:rsidRPr="00920145" w:rsidRDefault="00C10CDB" w:rsidP="00A23201">
            <w:pPr>
              <w:pStyle w:val="Tekstpodstawowy21"/>
              <w:spacing w:before="60" w:line="360" w:lineRule="auto"/>
              <w:jc w:val="left"/>
              <w:rPr>
                <w:rFonts w:ascii="Verdana" w:hAnsi="Verdana" w:cs="Arial"/>
              </w:rPr>
            </w:pPr>
            <w:r w:rsidRPr="00920145">
              <w:rPr>
                <w:rFonts w:ascii="Verdana" w:hAnsi="Verdana"/>
              </w:rPr>
              <w:t xml:space="preserve">Maksymalne wartości dla limitów cen w zleceniu maklerskim    </w:t>
            </w:r>
          </w:p>
        </w:tc>
        <w:tc>
          <w:tcPr>
            <w:tcW w:w="5954" w:type="dxa"/>
          </w:tcPr>
          <w:p w14:paraId="1EDDDEC4" w14:textId="77777777" w:rsidR="00C10CDB" w:rsidRPr="00920145" w:rsidRDefault="00C10CDB" w:rsidP="00A23201">
            <w:pPr>
              <w:pStyle w:val="Tekstpodstawowy21"/>
              <w:spacing w:before="60" w:line="360" w:lineRule="auto"/>
              <w:rPr>
                <w:rFonts w:ascii="Verdana" w:hAnsi="Verdana" w:cs="Arial"/>
              </w:rPr>
            </w:pPr>
            <w:r w:rsidRPr="00920145">
              <w:rPr>
                <w:rFonts w:ascii="Verdana" w:hAnsi="Verdana" w:cs="Arial"/>
              </w:rPr>
              <w:t>10% względem kursu odniesienia dla statycznych ograniczeń wahań kursu</w:t>
            </w:r>
          </w:p>
        </w:tc>
      </w:tr>
      <w:tr w:rsidR="00C10CDB" w:rsidRPr="00920145" w14:paraId="6B9160B5" w14:textId="77777777" w:rsidTr="002D5BBE">
        <w:tc>
          <w:tcPr>
            <w:tcW w:w="3402" w:type="dxa"/>
          </w:tcPr>
          <w:p w14:paraId="67621846" w14:textId="77777777" w:rsidR="00C10CDB" w:rsidRPr="00920145" w:rsidRDefault="00C10CDB" w:rsidP="00A23201">
            <w:pPr>
              <w:pStyle w:val="Tekstpodstawowy21"/>
              <w:spacing w:before="60" w:line="360" w:lineRule="auto"/>
              <w:jc w:val="left"/>
              <w:rPr>
                <w:rFonts w:ascii="Verdana" w:hAnsi="Verdana" w:cs="Arial"/>
              </w:rPr>
            </w:pPr>
            <w:r w:rsidRPr="00920145">
              <w:rPr>
                <w:rFonts w:ascii="Verdana" w:hAnsi="Verdana" w:cs="Arial"/>
              </w:rPr>
              <w:t xml:space="preserve">Maksymalna wartość zlecenia maklerskiego    </w:t>
            </w:r>
          </w:p>
        </w:tc>
        <w:tc>
          <w:tcPr>
            <w:tcW w:w="5954" w:type="dxa"/>
          </w:tcPr>
          <w:p w14:paraId="394A1EEE" w14:textId="77777777" w:rsidR="00C10CDB" w:rsidRPr="00920145" w:rsidRDefault="00C10CDB" w:rsidP="00A23201">
            <w:pPr>
              <w:pStyle w:val="Tekstpodstawowy21"/>
              <w:spacing w:before="60" w:line="360" w:lineRule="auto"/>
              <w:rPr>
                <w:rFonts w:ascii="Verdana" w:hAnsi="Verdana" w:cs="Arial"/>
              </w:rPr>
            </w:pPr>
            <w:r w:rsidRPr="00920145">
              <w:rPr>
                <w:rFonts w:ascii="Verdana" w:hAnsi="Verdana" w:cs="Arial"/>
              </w:rPr>
              <w:t>75.000.000 jednostek waluty notowania</w:t>
            </w:r>
          </w:p>
        </w:tc>
      </w:tr>
      <w:tr w:rsidR="00C10CDB" w:rsidRPr="00920145" w14:paraId="1E651CE5" w14:textId="77777777" w:rsidTr="002D5BBE">
        <w:tc>
          <w:tcPr>
            <w:tcW w:w="3402" w:type="dxa"/>
          </w:tcPr>
          <w:p w14:paraId="4337EE33" w14:textId="77777777" w:rsidR="00C10CDB" w:rsidRPr="00920145" w:rsidRDefault="00C10CDB" w:rsidP="00A23201">
            <w:pPr>
              <w:pStyle w:val="Tekstpodstawowy21"/>
              <w:spacing w:before="60" w:line="360" w:lineRule="auto"/>
              <w:jc w:val="left"/>
              <w:rPr>
                <w:rFonts w:ascii="Verdana" w:hAnsi="Verdana" w:cs="Arial"/>
              </w:rPr>
            </w:pPr>
            <w:r w:rsidRPr="00920145">
              <w:rPr>
                <w:rFonts w:ascii="Verdana" w:hAnsi="Verdana" w:cs="Arial"/>
              </w:rPr>
              <w:t>Maksymalny wolumen zlecenia maklerskiego</w:t>
            </w:r>
          </w:p>
        </w:tc>
        <w:tc>
          <w:tcPr>
            <w:tcW w:w="5954" w:type="dxa"/>
          </w:tcPr>
          <w:p w14:paraId="53B9EA7A" w14:textId="77777777" w:rsidR="00C10CDB" w:rsidRPr="00920145" w:rsidRDefault="00C10CDB" w:rsidP="00A23201">
            <w:pPr>
              <w:pStyle w:val="Tekstpodstawowy21"/>
              <w:spacing w:before="60" w:line="360" w:lineRule="auto"/>
              <w:rPr>
                <w:rFonts w:ascii="Verdana" w:hAnsi="Verdana" w:cs="Arial"/>
              </w:rPr>
            </w:pPr>
            <w:r w:rsidRPr="00920145">
              <w:rPr>
                <w:rFonts w:ascii="Verdana" w:hAnsi="Verdana" w:cs="Arial"/>
              </w:rPr>
              <w:t>500 instrumentów</w:t>
            </w:r>
          </w:p>
        </w:tc>
      </w:tr>
      <w:tr w:rsidR="00C10CDB" w:rsidRPr="00920145" w14:paraId="1121B862" w14:textId="77777777" w:rsidTr="002D5BBE">
        <w:tc>
          <w:tcPr>
            <w:tcW w:w="3402" w:type="dxa"/>
          </w:tcPr>
          <w:p w14:paraId="2812371D" w14:textId="77777777" w:rsidR="00C10CDB" w:rsidRPr="00920145" w:rsidRDefault="00C10CDB" w:rsidP="00A23201">
            <w:pPr>
              <w:pStyle w:val="Tekstpodstawowy21"/>
              <w:spacing w:before="60" w:line="360" w:lineRule="auto"/>
              <w:jc w:val="left"/>
              <w:rPr>
                <w:rFonts w:ascii="Verdana" w:hAnsi="Verdana" w:cs="Arial"/>
              </w:rPr>
            </w:pPr>
            <w:r w:rsidRPr="00920145">
              <w:rPr>
                <w:rFonts w:ascii="Verdana" w:hAnsi="Verdana" w:cs="Arial"/>
              </w:rPr>
              <w:t xml:space="preserve">Wysokość statycznych ograniczeń wahań kursów </w:t>
            </w:r>
          </w:p>
        </w:tc>
        <w:tc>
          <w:tcPr>
            <w:tcW w:w="5954" w:type="dxa"/>
          </w:tcPr>
          <w:p w14:paraId="5DD916AB" w14:textId="77777777" w:rsidR="00C10CDB" w:rsidRPr="00920145" w:rsidRDefault="00C10CDB" w:rsidP="00A23201">
            <w:pPr>
              <w:pStyle w:val="Tekstpodstawowy21"/>
              <w:spacing w:before="60" w:line="360" w:lineRule="auto"/>
              <w:rPr>
                <w:rFonts w:ascii="Verdana" w:hAnsi="Verdana" w:cs="Arial"/>
              </w:rPr>
            </w:pPr>
            <w:r w:rsidRPr="00920145">
              <w:rPr>
                <w:rFonts w:ascii="Verdana" w:hAnsi="Verdana" w:cs="Arial"/>
              </w:rPr>
              <w:t>2,20% od kursu odniesienia</w:t>
            </w:r>
          </w:p>
          <w:p w14:paraId="6C4794BB" w14:textId="77777777" w:rsidR="00C10CDB" w:rsidRPr="00920145" w:rsidRDefault="00C10CDB" w:rsidP="00A23201">
            <w:pPr>
              <w:pStyle w:val="Tekstpodstawowy21"/>
              <w:spacing w:before="60" w:line="360" w:lineRule="auto"/>
              <w:rPr>
                <w:rFonts w:ascii="Verdana" w:hAnsi="Verdana" w:cs="Arial"/>
              </w:rPr>
            </w:pPr>
          </w:p>
        </w:tc>
      </w:tr>
      <w:tr w:rsidR="00C10CDB" w:rsidRPr="00920145" w14:paraId="1F811A03" w14:textId="77777777" w:rsidTr="002D5BBE">
        <w:tc>
          <w:tcPr>
            <w:tcW w:w="3402" w:type="dxa"/>
          </w:tcPr>
          <w:p w14:paraId="55AB3130" w14:textId="77777777" w:rsidR="00C10CDB" w:rsidRPr="00920145" w:rsidRDefault="00C10CDB" w:rsidP="00A23201">
            <w:pPr>
              <w:pStyle w:val="Tekstpodstawowy21"/>
              <w:spacing w:before="60" w:line="360" w:lineRule="auto"/>
              <w:jc w:val="left"/>
              <w:rPr>
                <w:rFonts w:ascii="Verdana" w:hAnsi="Verdana" w:cs="Arial"/>
              </w:rPr>
            </w:pPr>
            <w:r w:rsidRPr="00920145">
              <w:rPr>
                <w:rFonts w:ascii="Verdana" w:hAnsi="Verdana" w:cs="Arial"/>
              </w:rPr>
              <w:t>Zmiana statycznych ograniczeń wahań kursów</w:t>
            </w:r>
          </w:p>
        </w:tc>
        <w:tc>
          <w:tcPr>
            <w:tcW w:w="5954" w:type="dxa"/>
          </w:tcPr>
          <w:p w14:paraId="238AD103" w14:textId="7A943E0C" w:rsidR="00C10CDB" w:rsidRPr="00920145" w:rsidRDefault="00C10CDB" w:rsidP="00A23201">
            <w:pPr>
              <w:pStyle w:val="Tekstpodstawowy21"/>
              <w:spacing w:before="60" w:line="360" w:lineRule="auto"/>
              <w:rPr>
                <w:rFonts w:ascii="Verdana" w:hAnsi="Verdana" w:cs="Arial"/>
              </w:rPr>
            </w:pPr>
            <w:r w:rsidRPr="00920145">
              <w:rPr>
                <w:rFonts w:ascii="Verdana" w:hAnsi="Verdana" w:cs="Arial"/>
              </w:rPr>
              <w:t>Możliwa pod warunkiem uzyskania potwierdzenia</w:t>
            </w:r>
            <w:r w:rsidR="002D5BBE" w:rsidRPr="00920145">
              <w:rPr>
                <w:rFonts w:ascii="Verdana" w:hAnsi="Verdana" w:cs="Arial"/>
              </w:rPr>
              <w:t xml:space="preserve"> </w:t>
            </w:r>
            <w:r w:rsidR="00E95ACE" w:rsidRPr="00920145">
              <w:rPr>
                <w:rFonts w:ascii="Verdana" w:hAnsi="Verdana" w:cs="Arial"/>
              </w:rPr>
              <w:br/>
            </w:r>
            <w:r w:rsidRPr="00920145">
              <w:rPr>
                <w:rFonts w:ascii="Verdana" w:hAnsi="Verdana" w:cs="Arial"/>
              </w:rPr>
              <w:t xml:space="preserve">z KDPW_CCP S.A. o uzupełnieniu przez uczestników rozliczających depozytów zabezpieczających do </w:t>
            </w:r>
            <w:r w:rsidRPr="00920145">
              <w:rPr>
                <w:rFonts w:ascii="Verdana" w:hAnsi="Verdana" w:cs="Arial"/>
              </w:rPr>
              <w:lastRenderedPageBreak/>
              <w:t>wymaganego przez ten podmiot poziomu lub podjęcia przez KDPW_CCP S.A. innej decyzji umożliwiającej obrót.</w:t>
            </w:r>
          </w:p>
        </w:tc>
      </w:tr>
      <w:tr w:rsidR="00C10CDB" w:rsidRPr="00920145" w14:paraId="58FD553F" w14:textId="77777777" w:rsidTr="002D5BBE">
        <w:trPr>
          <w:trHeight w:val="709"/>
        </w:trPr>
        <w:tc>
          <w:tcPr>
            <w:tcW w:w="9356" w:type="dxa"/>
            <w:gridSpan w:val="2"/>
          </w:tcPr>
          <w:p w14:paraId="36CFA83A" w14:textId="77777777" w:rsidR="00C10CDB" w:rsidRPr="00920145" w:rsidRDefault="00C10CDB" w:rsidP="00A23201">
            <w:pPr>
              <w:pStyle w:val="Tekstpodstawowy21"/>
              <w:spacing w:before="60" w:line="360" w:lineRule="auto"/>
              <w:rPr>
                <w:rFonts w:ascii="Verdana" w:hAnsi="Verdana" w:cs="Arial"/>
              </w:rPr>
            </w:pPr>
            <w:r w:rsidRPr="00920145">
              <w:rPr>
                <w:rFonts w:ascii="Verdana" w:hAnsi="Verdana" w:cs="Arial"/>
              </w:rPr>
              <w:lastRenderedPageBreak/>
              <w:t xml:space="preserve">Kurs odniesienia dla kursu otwarcia, kursu transakcyjnego i kursu zamknięcia </w:t>
            </w:r>
            <w:r w:rsidRPr="00920145">
              <w:rPr>
                <w:rFonts w:ascii="Verdana" w:hAnsi="Verdana" w:cs="Arial"/>
              </w:rPr>
              <w:br/>
              <w:t>- dla statycznych ograniczeń wahań kursów:</w:t>
            </w:r>
          </w:p>
          <w:p w14:paraId="57758951" w14:textId="74348642" w:rsidR="00C10CDB" w:rsidRPr="00920145" w:rsidRDefault="00C10CDB" w:rsidP="00A23201">
            <w:pPr>
              <w:pStyle w:val="Tekstpodstawowy3"/>
              <w:tabs>
                <w:tab w:val="left" w:pos="1134"/>
              </w:tabs>
              <w:spacing w:before="60" w:line="360" w:lineRule="auto"/>
              <w:jc w:val="both"/>
              <w:rPr>
                <w:rFonts w:ascii="Verdana" w:hAnsi="Verdana" w:cs="Arial"/>
                <w:b w:val="0"/>
                <w:sz w:val="20"/>
              </w:rPr>
            </w:pPr>
            <w:r w:rsidRPr="00920145">
              <w:rPr>
                <w:rFonts w:ascii="Verdana" w:hAnsi="Verdana" w:cs="Arial"/>
                <w:b w:val="0"/>
                <w:sz w:val="20"/>
              </w:rPr>
              <w:t>1. Na pierwszej sesji giełdowej, na której notowane są kontrakty danej serii kursem odniesienia jest najniższa z wartości kursów teoretycznych kontraktów (Fi) obliczanych</w:t>
            </w:r>
            <w:r w:rsidR="002D5BBE" w:rsidRPr="00920145">
              <w:rPr>
                <w:rFonts w:ascii="Verdana" w:hAnsi="Verdana" w:cs="Arial"/>
                <w:b w:val="0"/>
                <w:sz w:val="20"/>
              </w:rPr>
              <w:t xml:space="preserve"> </w:t>
            </w:r>
            <w:r w:rsidRPr="00920145">
              <w:rPr>
                <w:rFonts w:ascii="Verdana" w:hAnsi="Verdana" w:cs="Arial"/>
                <w:b w:val="0"/>
                <w:sz w:val="20"/>
              </w:rPr>
              <w:t>w oparciu o serie obligacji wchodzących w skład koszyka opublikowanego przez</w:t>
            </w:r>
            <w:r w:rsidR="002D5BBE" w:rsidRPr="00920145">
              <w:rPr>
                <w:rFonts w:ascii="Verdana" w:hAnsi="Verdana" w:cs="Arial"/>
                <w:b w:val="0"/>
                <w:sz w:val="20"/>
              </w:rPr>
              <w:t xml:space="preserve"> </w:t>
            </w:r>
            <w:r w:rsidRPr="00920145">
              <w:rPr>
                <w:rFonts w:ascii="Verdana" w:hAnsi="Verdana" w:cs="Arial"/>
                <w:b w:val="0"/>
                <w:sz w:val="20"/>
              </w:rPr>
              <w:t>KDPW_CCP S.A. Kurs teoretyczny (Fi) jest obliczany według poniższego wzoru:</w:t>
            </w:r>
          </w:p>
          <w:p w14:paraId="5321D6DF" w14:textId="77777777" w:rsidR="00C10CDB" w:rsidRPr="00920145" w:rsidRDefault="00C10CDB" w:rsidP="00A23201">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360" w:lineRule="auto"/>
              <w:rPr>
                <w:rFonts w:ascii="Verdana" w:hAnsi="Verdana" w:cs="Arial"/>
                <w:sz w:val="20"/>
                <w:szCs w:val="20"/>
              </w:rPr>
            </w:pPr>
            <w:r w:rsidRPr="00920145">
              <w:rPr>
                <w:rFonts w:ascii="Verdana" w:hAnsi="Verdana" w:cs="Arial"/>
                <w:sz w:val="20"/>
                <w:szCs w:val="20"/>
              </w:rPr>
              <w:t xml:space="preserve">     </w:t>
            </w:r>
            <w:r w:rsidRPr="00920145">
              <w:rPr>
                <w:rFonts w:ascii="Verdana" w:hAnsi="Verdana"/>
                <w:position w:val="-36"/>
                <w:sz w:val="20"/>
                <w:szCs w:val="20"/>
              </w:rPr>
              <w:object w:dxaOrig="4599" w:dyaOrig="840" w14:anchorId="34D53C69">
                <v:shape id="_x0000_i1026" type="#_x0000_t75" style="width:456pt;height:51pt" o:ole="" fillcolor="window">
                  <v:imagedata r:id="rId11" o:title=""/>
                </v:shape>
                <o:OLEObject Type="Embed" ProgID="Equation.3" ShapeID="_x0000_i1026" DrawAspect="Content" ObjectID="_1810630010" r:id="rId12"/>
              </w:object>
            </w:r>
          </w:p>
          <w:p w14:paraId="14232DFE" w14:textId="77777777" w:rsidR="00E95ACE" w:rsidRPr="00920145" w:rsidRDefault="00E95ACE" w:rsidP="00A23201">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360" w:lineRule="auto"/>
              <w:rPr>
                <w:rFonts w:ascii="Verdana" w:hAnsi="Verdana" w:cs="Arial"/>
                <w:sz w:val="20"/>
                <w:szCs w:val="20"/>
              </w:rPr>
            </w:pPr>
          </w:p>
          <w:p w14:paraId="42220832" w14:textId="24A82E0F" w:rsidR="00C10CDB" w:rsidRPr="00920145" w:rsidRDefault="00C10CDB" w:rsidP="00A23201">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360" w:lineRule="auto"/>
              <w:rPr>
                <w:rFonts w:ascii="Verdana" w:hAnsi="Verdana" w:cs="Arial"/>
                <w:sz w:val="20"/>
                <w:szCs w:val="20"/>
              </w:rPr>
            </w:pPr>
            <w:r w:rsidRPr="00920145">
              <w:rPr>
                <w:rFonts w:ascii="Verdana" w:hAnsi="Verdana" w:cs="Arial"/>
                <w:sz w:val="20"/>
                <w:szCs w:val="20"/>
              </w:rPr>
              <w:t>gdzie:</w:t>
            </w:r>
          </w:p>
          <w:p w14:paraId="2EA14EB1" w14:textId="77777777" w:rsidR="00C10CDB" w:rsidRPr="00920145" w:rsidRDefault="00C10CDB" w:rsidP="00A23201">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360" w:lineRule="auto"/>
              <w:rPr>
                <w:rFonts w:ascii="Verdana" w:hAnsi="Verdana" w:cs="Arial"/>
                <w:sz w:val="20"/>
                <w:szCs w:val="20"/>
              </w:rPr>
            </w:pPr>
            <w:r w:rsidRPr="00920145">
              <w:rPr>
                <w:rFonts w:ascii="Verdana" w:hAnsi="Verdana" w:cs="Arial"/>
                <w:sz w:val="20"/>
                <w:szCs w:val="20"/>
              </w:rPr>
              <w:t>i – seria obligacji skarbowych, która została zaliczona do koszyka obligacji danej serii kontraktu,</w:t>
            </w:r>
          </w:p>
          <w:p w14:paraId="7D549EAF" w14:textId="77777777" w:rsidR="00C10CDB" w:rsidRPr="00920145" w:rsidRDefault="00C10CDB" w:rsidP="00A23201">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360" w:lineRule="auto"/>
              <w:rPr>
                <w:rFonts w:ascii="Verdana" w:hAnsi="Verdana" w:cs="Arial"/>
                <w:sz w:val="20"/>
                <w:szCs w:val="20"/>
              </w:rPr>
            </w:pPr>
            <w:r w:rsidRPr="00920145">
              <w:rPr>
                <w:rFonts w:ascii="Verdana" w:hAnsi="Verdana" w:cs="Arial"/>
                <w:sz w:val="20"/>
                <w:szCs w:val="20"/>
              </w:rPr>
              <w:t xml:space="preserve">F i – kurs teoretyczny kontraktu wyznaczony w oparciu o „i-tą” serię obligacji wchodzącej </w:t>
            </w:r>
            <w:r w:rsidRPr="00920145">
              <w:rPr>
                <w:rFonts w:ascii="Verdana" w:hAnsi="Verdana" w:cs="Arial"/>
                <w:sz w:val="20"/>
                <w:szCs w:val="20"/>
              </w:rPr>
              <w:br/>
              <w:t>w skład koszyka obligacji opublikowanego przez KDPW_CCP S.A.,</w:t>
            </w:r>
          </w:p>
          <w:p w14:paraId="32589D3B" w14:textId="77777777" w:rsidR="00C10CDB" w:rsidRPr="00920145" w:rsidRDefault="00C10CDB" w:rsidP="00A23201">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360" w:lineRule="auto"/>
              <w:rPr>
                <w:rFonts w:ascii="Verdana" w:hAnsi="Verdana" w:cs="Arial"/>
                <w:sz w:val="20"/>
                <w:szCs w:val="20"/>
              </w:rPr>
            </w:pPr>
            <w:r w:rsidRPr="00920145">
              <w:rPr>
                <w:rFonts w:ascii="Verdana" w:hAnsi="Verdana" w:cs="Arial"/>
                <w:sz w:val="20"/>
                <w:szCs w:val="20"/>
              </w:rPr>
              <w:t>CF i – współczynnik konwersji „i-tej” serii obligacji wyznaczany przez KDPW_CCP S.A.,</w:t>
            </w:r>
          </w:p>
          <w:p w14:paraId="0C94AB71" w14:textId="77777777" w:rsidR="00C10CDB" w:rsidRPr="00920145" w:rsidRDefault="00C10CDB" w:rsidP="00A23201">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360" w:lineRule="auto"/>
              <w:rPr>
                <w:rFonts w:ascii="Verdana" w:hAnsi="Verdana" w:cs="Arial"/>
                <w:sz w:val="20"/>
                <w:szCs w:val="20"/>
              </w:rPr>
            </w:pPr>
            <w:r w:rsidRPr="00920145">
              <w:rPr>
                <w:rFonts w:ascii="Verdana" w:hAnsi="Verdana" w:cs="Arial"/>
                <w:sz w:val="20"/>
                <w:szCs w:val="20"/>
              </w:rPr>
              <w:t xml:space="preserve">S i – kurs „i-tej” serii obligacji określony na drugiej sesji fixingowej rynku Treasury BondSpot Poland prowadzonego przez spółkę BondSpot S.A., poprzedzającej dzień, </w:t>
            </w:r>
            <w:r w:rsidRPr="00920145">
              <w:rPr>
                <w:rFonts w:ascii="Verdana" w:hAnsi="Verdana" w:cs="Arial"/>
                <w:sz w:val="20"/>
                <w:szCs w:val="20"/>
              </w:rPr>
              <w:br/>
              <w:t>na który wyznaczany jest kurs teoretyczny (Fi), powiększony o  narosłe odsetki (na 100 złotych wartości nominalnej),</w:t>
            </w:r>
          </w:p>
          <w:p w14:paraId="3E81BAB5" w14:textId="77777777" w:rsidR="00C10CDB" w:rsidRPr="00920145" w:rsidRDefault="00C10CDB" w:rsidP="00A23201">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360" w:lineRule="auto"/>
              <w:rPr>
                <w:rFonts w:ascii="Verdana" w:hAnsi="Verdana" w:cs="Arial"/>
                <w:sz w:val="20"/>
                <w:szCs w:val="20"/>
              </w:rPr>
            </w:pPr>
            <w:r w:rsidRPr="00920145">
              <w:rPr>
                <w:rFonts w:ascii="Verdana" w:hAnsi="Verdana" w:cs="Arial"/>
                <w:sz w:val="20"/>
                <w:szCs w:val="20"/>
              </w:rPr>
              <w:t>k i – wartość kuponu dla „i-tej” serii obligacji przypadająca na 100 złotych wartości nominalnej,</w:t>
            </w:r>
          </w:p>
          <w:p w14:paraId="11E4957D" w14:textId="77777777" w:rsidR="00C10CDB" w:rsidRPr="00920145" w:rsidRDefault="00C10CDB" w:rsidP="00A23201">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360" w:lineRule="auto"/>
              <w:rPr>
                <w:rFonts w:ascii="Verdana" w:hAnsi="Verdana" w:cs="Arial"/>
                <w:sz w:val="20"/>
                <w:szCs w:val="20"/>
              </w:rPr>
            </w:pPr>
            <w:r w:rsidRPr="00920145">
              <w:rPr>
                <w:rFonts w:ascii="Verdana" w:hAnsi="Verdana" w:cs="Arial"/>
                <w:sz w:val="20"/>
                <w:szCs w:val="20"/>
              </w:rPr>
              <w:t xml:space="preserve">n – liczba płatności kuponowych (0 lub 1) dla „i-tej” serii obligacji, dla których data ustalenia prawa do kuponu przypada w okresie od daty sesji następującej po dniu V </w:t>
            </w:r>
            <w:r w:rsidRPr="00920145">
              <w:rPr>
                <w:rFonts w:ascii="Verdana" w:hAnsi="Verdana" w:cs="Arial"/>
                <w:sz w:val="20"/>
                <w:szCs w:val="20"/>
              </w:rPr>
              <w:br/>
              <w:t>do dnia E,</w:t>
            </w:r>
          </w:p>
          <w:p w14:paraId="094786D3" w14:textId="77777777" w:rsidR="00C10CDB" w:rsidRPr="00920145" w:rsidRDefault="00C10CDB" w:rsidP="00A23201">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360" w:lineRule="auto"/>
              <w:rPr>
                <w:rFonts w:ascii="Verdana" w:hAnsi="Verdana" w:cs="Arial"/>
                <w:sz w:val="20"/>
                <w:szCs w:val="20"/>
              </w:rPr>
            </w:pPr>
            <w:r w:rsidRPr="00920145">
              <w:rPr>
                <w:rFonts w:ascii="Verdana" w:hAnsi="Verdana" w:cs="Arial"/>
                <w:sz w:val="20"/>
                <w:szCs w:val="20"/>
              </w:rPr>
              <w:t>e – podstawa logarytmu naturalnego (stała Eulera),</w:t>
            </w:r>
          </w:p>
          <w:p w14:paraId="180BF8CA" w14:textId="77777777" w:rsidR="00C10CDB" w:rsidRPr="00920145" w:rsidRDefault="00C10CDB" w:rsidP="00A23201">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360" w:lineRule="auto"/>
              <w:rPr>
                <w:rFonts w:ascii="Verdana" w:hAnsi="Verdana" w:cs="Arial"/>
                <w:sz w:val="20"/>
                <w:szCs w:val="20"/>
              </w:rPr>
            </w:pPr>
            <w:r w:rsidRPr="00920145">
              <w:rPr>
                <w:rFonts w:ascii="Verdana" w:hAnsi="Verdana" w:cs="Arial"/>
                <w:sz w:val="20"/>
                <w:szCs w:val="20"/>
              </w:rPr>
              <w:t>r t – stawka WIBOR wyrażona w skali roku dla okresu t,</w:t>
            </w:r>
          </w:p>
          <w:p w14:paraId="1E541056" w14:textId="77777777" w:rsidR="00C10CDB" w:rsidRPr="00920145" w:rsidRDefault="00C10CDB" w:rsidP="00A23201">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360" w:lineRule="auto"/>
              <w:rPr>
                <w:rFonts w:ascii="Verdana" w:hAnsi="Verdana" w:cs="Arial"/>
                <w:sz w:val="20"/>
                <w:szCs w:val="20"/>
              </w:rPr>
            </w:pPr>
            <w:r w:rsidRPr="00920145">
              <w:rPr>
                <w:rFonts w:ascii="Verdana" w:hAnsi="Verdana" w:cs="Arial"/>
                <w:sz w:val="20"/>
                <w:szCs w:val="20"/>
              </w:rPr>
              <w:lastRenderedPageBreak/>
              <w:t>r T – stawka WIBOR wyrażona w skali roku dla okresu T,</w:t>
            </w:r>
          </w:p>
          <w:p w14:paraId="1A037A80" w14:textId="77777777" w:rsidR="00C10CDB" w:rsidRPr="00920145" w:rsidRDefault="00C10CDB" w:rsidP="00A23201">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360" w:lineRule="auto"/>
              <w:rPr>
                <w:rFonts w:ascii="Verdana" w:hAnsi="Verdana" w:cs="Arial"/>
                <w:sz w:val="20"/>
                <w:szCs w:val="20"/>
              </w:rPr>
            </w:pPr>
            <w:r w:rsidRPr="00920145">
              <w:rPr>
                <w:rFonts w:ascii="Verdana" w:hAnsi="Verdana" w:cs="Arial"/>
                <w:sz w:val="20"/>
                <w:szCs w:val="20"/>
              </w:rPr>
              <w:t>t – liczba dni pomiędzy datami Pi i V,</w:t>
            </w:r>
          </w:p>
          <w:p w14:paraId="127F5060" w14:textId="77777777" w:rsidR="00C10CDB" w:rsidRPr="00920145" w:rsidRDefault="00C10CDB" w:rsidP="00A23201">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360" w:lineRule="auto"/>
              <w:rPr>
                <w:rFonts w:ascii="Verdana" w:hAnsi="Verdana" w:cs="Arial"/>
                <w:sz w:val="20"/>
                <w:szCs w:val="20"/>
              </w:rPr>
            </w:pPr>
            <w:r w:rsidRPr="00920145">
              <w:rPr>
                <w:rFonts w:ascii="Verdana" w:hAnsi="Verdana" w:cs="Arial"/>
                <w:sz w:val="20"/>
                <w:szCs w:val="20"/>
              </w:rPr>
              <w:t>T – liczba dni pomiędzy datami E i V,</w:t>
            </w:r>
          </w:p>
          <w:p w14:paraId="393B3E7A" w14:textId="77777777" w:rsidR="00C10CDB" w:rsidRPr="00920145" w:rsidRDefault="00C10CDB" w:rsidP="00A23201">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360" w:lineRule="auto"/>
              <w:rPr>
                <w:rFonts w:ascii="Verdana" w:hAnsi="Verdana" w:cs="Arial"/>
                <w:sz w:val="20"/>
                <w:szCs w:val="20"/>
              </w:rPr>
            </w:pPr>
            <w:r w:rsidRPr="00920145">
              <w:rPr>
                <w:rFonts w:ascii="Verdana" w:hAnsi="Verdana" w:cs="Arial"/>
                <w:sz w:val="20"/>
                <w:szCs w:val="20"/>
              </w:rPr>
              <w:t>d – liczba dni pomiędzy datami E i P i. W sytuacji szczególnej, gdy E przypada pomiędzy datą ustalenia praw do kolejnego kuponu dla „i-tej” serii obligacji, a datą płatności (wymagalności) tego kuponu, przyjmuje się, że „d” równe jest  Bazie,</w:t>
            </w:r>
          </w:p>
          <w:p w14:paraId="30D8B2BA" w14:textId="77777777" w:rsidR="00C10CDB" w:rsidRPr="00920145" w:rsidRDefault="00C10CDB" w:rsidP="00A23201">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360" w:lineRule="auto"/>
              <w:rPr>
                <w:rFonts w:ascii="Verdana" w:hAnsi="Verdana" w:cs="Arial"/>
                <w:sz w:val="20"/>
                <w:szCs w:val="20"/>
              </w:rPr>
            </w:pPr>
            <w:r w:rsidRPr="00920145">
              <w:rPr>
                <w:rFonts w:ascii="Verdana" w:hAnsi="Verdana" w:cs="Arial"/>
                <w:sz w:val="20"/>
                <w:szCs w:val="20"/>
              </w:rPr>
              <w:t>V – data ostatniej sesji poprzedzającej sesję, na którą wyznaczany jest kurs teoretyczny (Fi),</w:t>
            </w:r>
          </w:p>
          <w:p w14:paraId="044D4C56" w14:textId="77777777" w:rsidR="00C10CDB" w:rsidRPr="00920145" w:rsidRDefault="00C10CDB" w:rsidP="00A23201">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360" w:lineRule="auto"/>
              <w:rPr>
                <w:rFonts w:ascii="Verdana" w:hAnsi="Verdana" w:cs="Arial"/>
                <w:sz w:val="20"/>
                <w:szCs w:val="20"/>
              </w:rPr>
            </w:pPr>
            <w:r w:rsidRPr="00920145">
              <w:rPr>
                <w:rFonts w:ascii="Verdana" w:hAnsi="Verdana" w:cs="Arial"/>
                <w:sz w:val="20"/>
                <w:szCs w:val="20"/>
              </w:rPr>
              <w:t>E – data ostatecznego rozliczenia kontraktu terminowego (następny dzień roboczy po ostatnim dniu obrotu daną serią kontraktu),</w:t>
            </w:r>
          </w:p>
          <w:p w14:paraId="24762CA7" w14:textId="77777777" w:rsidR="00C10CDB" w:rsidRPr="00920145" w:rsidRDefault="00C10CDB" w:rsidP="00A23201">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360" w:lineRule="auto"/>
              <w:rPr>
                <w:rFonts w:ascii="Verdana" w:hAnsi="Verdana" w:cs="Arial"/>
                <w:sz w:val="20"/>
                <w:szCs w:val="20"/>
              </w:rPr>
            </w:pPr>
            <w:r w:rsidRPr="00920145">
              <w:rPr>
                <w:rFonts w:ascii="Verdana" w:hAnsi="Verdana" w:cs="Arial"/>
                <w:sz w:val="20"/>
                <w:szCs w:val="20"/>
              </w:rPr>
              <w:t>P i – data płatności kuponu „i-tej” serii obligacji, która ma miejsce przed datą E,</w:t>
            </w:r>
          </w:p>
          <w:p w14:paraId="649BB8FD" w14:textId="77777777" w:rsidR="00C10CDB" w:rsidRPr="00920145" w:rsidRDefault="00C10CDB" w:rsidP="00A23201">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360" w:lineRule="auto"/>
              <w:rPr>
                <w:rFonts w:ascii="Verdana" w:hAnsi="Verdana" w:cs="Arial"/>
                <w:sz w:val="20"/>
                <w:szCs w:val="20"/>
              </w:rPr>
            </w:pPr>
            <w:r w:rsidRPr="00920145">
              <w:rPr>
                <w:rFonts w:ascii="Verdana" w:hAnsi="Verdana" w:cs="Arial"/>
                <w:sz w:val="20"/>
                <w:szCs w:val="20"/>
              </w:rPr>
              <w:t>Baza – 365 lub 366 w zależności od  liczby dni w danym roku kalendarzowym,</w:t>
            </w:r>
          </w:p>
          <w:p w14:paraId="469E98C5" w14:textId="5D9B0C05" w:rsidR="00C10CDB" w:rsidRPr="00920145" w:rsidRDefault="00C10CDB" w:rsidP="00A23201">
            <w:pPr>
              <w:pStyle w:val="Tekstpodstawowy3"/>
              <w:tabs>
                <w:tab w:val="left" w:pos="1134"/>
              </w:tabs>
              <w:spacing w:before="60" w:after="240" w:line="360" w:lineRule="auto"/>
              <w:jc w:val="both"/>
              <w:rPr>
                <w:rFonts w:ascii="Verdana" w:hAnsi="Verdana" w:cs="Arial"/>
                <w:b w:val="0"/>
                <w:sz w:val="20"/>
              </w:rPr>
            </w:pPr>
            <w:r w:rsidRPr="00920145">
              <w:rPr>
                <w:rFonts w:ascii="Verdana" w:hAnsi="Verdana" w:cs="Arial"/>
                <w:b w:val="0"/>
                <w:sz w:val="20"/>
              </w:rPr>
              <w:t>WIBOR – wskaźnik referencyjny wyznaczony przez GPW Benchmark S.A. zgodnie z Regulaminem Stawek Referencyjnych WIBID i WIBOR. Jeżeli odpowiednie okresy czasu, odpowiednio „t” i „T”, nie pokrywają się z okresem, dla którego wyznaczana jest stawka WIBOR, stosuje się stawkę WIBOR dla najbliższego terminu, dla którego stawka jest wyznaczana. Stosowane są stawki 1M (jeden miesiąc), 3M (3 miesiące),</w:t>
            </w:r>
            <w:r w:rsidR="003772D5" w:rsidRPr="00920145">
              <w:rPr>
                <w:rFonts w:ascii="Verdana" w:hAnsi="Verdana" w:cs="Arial"/>
                <w:b w:val="0"/>
                <w:sz w:val="20"/>
              </w:rPr>
              <w:t xml:space="preserve"> </w:t>
            </w:r>
            <w:r w:rsidRPr="00920145">
              <w:rPr>
                <w:rFonts w:ascii="Verdana" w:hAnsi="Verdana" w:cs="Arial"/>
                <w:b w:val="0"/>
                <w:sz w:val="20"/>
              </w:rPr>
              <w:t>6M (6 miesięcy),1Y (12 miesięcy).</w:t>
            </w:r>
          </w:p>
          <w:p w14:paraId="4D579A07" w14:textId="65D36162" w:rsidR="00C10CDB" w:rsidRPr="00920145" w:rsidRDefault="00C10CDB" w:rsidP="00A23201">
            <w:pPr>
              <w:widowControl w:val="0"/>
              <w:spacing w:line="360" w:lineRule="auto"/>
              <w:rPr>
                <w:rFonts w:ascii="Verdana" w:hAnsi="Verdana"/>
                <w:sz w:val="20"/>
                <w:szCs w:val="20"/>
              </w:rPr>
            </w:pPr>
            <w:r w:rsidRPr="00920145">
              <w:rPr>
                <w:rFonts w:ascii="Verdana" w:hAnsi="Verdana" w:cs="Arial"/>
                <w:sz w:val="20"/>
                <w:szCs w:val="20"/>
              </w:rPr>
              <w:t>2. W kolejnych dniach obrotu kontraktami</w:t>
            </w:r>
            <w:r w:rsidRPr="00920145" w:rsidDel="0053764D">
              <w:rPr>
                <w:rFonts w:ascii="Verdana" w:hAnsi="Verdana" w:cs="Arial"/>
                <w:sz w:val="20"/>
                <w:szCs w:val="20"/>
              </w:rPr>
              <w:t xml:space="preserve"> </w:t>
            </w:r>
            <w:r w:rsidRPr="00920145">
              <w:rPr>
                <w:rFonts w:ascii="Verdana" w:hAnsi="Verdana" w:cs="Arial"/>
                <w:sz w:val="20"/>
                <w:szCs w:val="20"/>
              </w:rPr>
              <w:t xml:space="preserve">danej serii – ostatni dzienny kurs rozliczeniowy dla danej serii kontraktów, a jeżeli dzienny kurs rozliczeniowy nie został dla tej serii wyznaczony – kurs odniesienia wyliczany jest jako </w:t>
            </w:r>
            <w:r w:rsidRPr="00920145">
              <w:rPr>
                <w:rFonts w:ascii="Verdana" w:hAnsi="Verdana"/>
                <w:sz w:val="20"/>
                <w:szCs w:val="20"/>
              </w:rPr>
              <w:t>średnia arytmetyczna wyznaczona na podstawie limitów najlepszego zlecenia kupna oraz najlepszego zlecenia sprzedaży  z ostatniej sesji giełdowej poprzedzającej sesję, na którą jest wyznaczany kurs odniesienia, gdzie:</w:t>
            </w:r>
          </w:p>
          <w:p w14:paraId="34BCDDED" w14:textId="77777777" w:rsidR="00C10CDB" w:rsidRPr="00920145" w:rsidRDefault="00C10CDB" w:rsidP="00F8716B">
            <w:pPr>
              <w:widowControl w:val="0"/>
              <w:numPr>
                <w:ilvl w:val="0"/>
                <w:numId w:val="61"/>
              </w:numPr>
              <w:spacing w:after="120" w:line="360" w:lineRule="auto"/>
              <w:jc w:val="both"/>
              <w:rPr>
                <w:rFonts w:ascii="Verdana" w:hAnsi="Verdana"/>
                <w:sz w:val="20"/>
                <w:szCs w:val="20"/>
              </w:rPr>
            </w:pPr>
            <w:r w:rsidRPr="00920145">
              <w:rPr>
                <w:rFonts w:ascii="Verdana" w:hAnsi="Verdana"/>
                <w:sz w:val="20"/>
                <w:szCs w:val="20"/>
              </w:rPr>
              <w:t>za najlepsze zlecenie kupna uznaje się zlecenie kupna o najwyższym limicie ceny spośród wszystkich zleceń kupna opiewających na co najmniej 100 kontraktów terminowych danej serii,</w:t>
            </w:r>
          </w:p>
          <w:p w14:paraId="4C9AAFB4" w14:textId="367E9B07" w:rsidR="00C10CDB" w:rsidRPr="00920145" w:rsidRDefault="00C10CDB" w:rsidP="00F8716B">
            <w:pPr>
              <w:widowControl w:val="0"/>
              <w:numPr>
                <w:ilvl w:val="0"/>
                <w:numId w:val="61"/>
              </w:numPr>
              <w:spacing w:after="120" w:line="360" w:lineRule="auto"/>
              <w:jc w:val="both"/>
              <w:rPr>
                <w:rFonts w:ascii="Verdana" w:hAnsi="Verdana"/>
                <w:sz w:val="20"/>
                <w:szCs w:val="20"/>
              </w:rPr>
            </w:pPr>
            <w:r w:rsidRPr="00920145">
              <w:rPr>
                <w:rFonts w:ascii="Verdana" w:hAnsi="Verdana"/>
                <w:sz w:val="20"/>
                <w:szCs w:val="20"/>
              </w:rPr>
              <w:t>za najlepsze zlecenie sprzedaży uznaje się zlecenie sprzedaży o najniższym limicie ceny spośród wszystkich zleceń sprzedaży opiewających na co najmniej</w:t>
            </w:r>
            <w:r w:rsidR="003772D5" w:rsidRPr="00920145">
              <w:rPr>
                <w:rFonts w:ascii="Verdana" w:hAnsi="Verdana"/>
                <w:sz w:val="20"/>
                <w:szCs w:val="20"/>
              </w:rPr>
              <w:t xml:space="preserve"> </w:t>
            </w:r>
            <w:r w:rsidRPr="00920145">
              <w:rPr>
                <w:rFonts w:ascii="Verdana" w:hAnsi="Verdana"/>
                <w:sz w:val="20"/>
                <w:szCs w:val="20"/>
              </w:rPr>
              <w:t>100 kontraktów terminowych danej serii.</w:t>
            </w:r>
          </w:p>
          <w:p w14:paraId="655367BA" w14:textId="77777777" w:rsidR="00C10CDB" w:rsidRPr="00920145" w:rsidRDefault="00C10CDB" w:rsidP="00A23201">
            <w:pPr>
              <w:widowControl w:val="0"/>
              <w:spacing w:line="360" w:lineRule="auto"/>
              <w:jc w:val="both"/>
              <w:rPr>
                <w:rFonts w:ascii="Verdana" w:hAnsi="Verdana"/>
                <w:sz w:val="20"/>
                <w:szCs w:val="20"/>
              </w:rPr>
            </w:pPr>
            <w:r w:rsidRPr="00920145">
              <w:rPr>
                <w:rFonts w:ascii="Verdana" w:hAnsi="Verdana"/>
                <w:sz w:val="20"/>
                <w:szCs w:val="20"/>
              </w:rPr>
              <w:t xml:space="preserve">Kalkulacja średniej, o której mowa powyżej, następuje z wykorzystaniem zleceń maklerskich z ostatniej sesji giełdowej poprzedzającej sesję, na którą jest wyznaczany kurs </w:t>
            </w:r>
            <w:r w:rsidRPr="00920145">
              <w:rPr>
                <w:rFonts w:ascii="Verdana" w:hAnsi="Verdana"/>
                <w:sz w:val="20"/>
                <w:szCs w:val="20"/>
              </w:rPr>
              <w:lastRenderedPageBreak/>
              <w:t xml:space="preserve">odniesienia znajdujących się w arkuszu zleceń o godzinie 16.30 o limitach cen zawierających się w ramach statycznych ograniczeń wahań kursów obowiązujących o godzinie 16.30 na tej ostatniej sesji. </w:t>
            </w:r>
          </w:p>
          <w:p w14:paraId="4BBF3485" w14:textId="77777777" w:rsidR="00C10CDB" w:rsidRPr="00920145" w:rsidRDefault="00C10CDB" w:rsidP="00A23201">
            <w:pPr>
              <w:widowControl w:val="0"/>
              <w:spacing w:line="360" w:lineRule="auto"/>
              <w:jc w:val="both"/>
              <w:rPr>
                <w:rFonts w:ascii="Verdana" w:hAnsi="Verdana"/>
                <w:sz w:val="20"/>
                <w:szCs w:val="20"/>
              </w:rPr>
            </w:pPr>
            <w:r w:rsidRPr="00920145">
              <w:rPr>
                <w:rFonts w:ascii="Verdana" w:hAnsi="Verdana"/>
                <w:sz w:val="20"/>
                <w:szCs w:val="20"/>
              </w:rPr>
              <w:t>Jeżeli nie jest możliwe wyznaczenie kursu odniesienia w sposób wskazany powyżej, za kurs odniesienia przyjmuje się ostatni znany kurs odniesienia.</w:t>
            </w:r>
          </w:p>
          <w:p w14:paraId="414396CF" w14:textId="44B23607" w:rsidR="00C10CDB" w:rsidRPr="00920145" w:rsidRDefault="00C10CDB" w:rsidP="00A23201">
            <w:pPr>
              <w:widowControl w:val="0"/>
              <w:spacing w:line="360" w:lineRule="auto"/>
              <w:jc w:val="both"/>
              <w:rPr>
                <w:rFonts w:ascii="Verdana" w:hAnsi="Verdana" w:cs="Arial"/>
                <w:sz w:val="20"/>
                <w:szCs w:val="20"/>
              </w:rPr>
            </w:pPr>
            <w:r w:rsidRPr="00920145">
              <w:rPr>
                <w:rFonts w:ascii="Verdana" w:hAnsi="Verdana"/>
                <w:sz w:val="20"/>
                <w:szCs w:val="20"/>
              </w:rPr>
              <w:t>Jeżeli kurs odniesienia wyznaczony według zasad określonych powyżej wykracza poza górne albo dolne statyczne ograniczenie wahań kursów obowiązujące o godzinie 16.30</w:t>
            </w:r>
            <w:r w:rsidR="003772D5" w:rsidRPr="00920145">
              <w:rPr>
                <w:rFonts w:ascii="Verdana" w:hAnsi="Verdana"/>
                <w:sz w:val="20"/>
                <w:szCs w:val="20"/>
              </w:rPr>
              <w:t xml:space="preserve"> </w:t>
            </w:r>
            <w:r w:rsidRPr="00920145">
              <w:rPr>
                <w:rFonts w:ascii="Verdana" w:hAnsi="Verdana"/>
                <w:sz w:val="20"/>
                <w:szCs w:val="20"/>
              </w:rPr>
              <w:t>na ostatniej sesji giełdowej poprzedzającej sesję, na którą jest wyznaczany kurs odniesienia, wówczas za kurs odniesienia przyjmuje się odpowiednio górne albo dolne statyczne ograniczenie wahań kursów obowiązujące o godzinie 16.30 na tej ostatniej sesji.</w:t>
            </w:r>
          </w:p>
        </w:tc>
      </w:tr>
      <w:tr w:rsidR="00C10CDB" w:rsidRPr="00920145" w14:paraId="3C2290FB" w14:textId="77777777" w:rsidTr="002D5BBE">
        <w:trPr>
          <w:trHeight w:val="53"/>
        </w:trPr>
        <w:tc>
          <w:tcPr>
            <w:tcW w:w="3402" w:type="dxa"/>
          </w:tcPr>
          <w:p w14:paraId="09BC3339" w14:textId="77777777" w:rsidR="00C10CDB" w:rsidRPr="00920145" w:rsidRDefault="00C10CDB" w:rsidP="00A23201">
            <w:pPr>
              <w:pStyle w:val="Tekstpodstawowy21"/>
              <w:spacing w:before="60" w:line="360" w:lineRule="auto"/>
              <w:jc w:val="left"/>
              <w:rPr>
                <w:rFonts w:ascii="Verdana" w:hAnsi="Verdana" w:cs="Arial"/>
              </w:rPr>
            </w:pPr>
            <w:r w:rsidRPr="00920145">
              <w:rPr>
                <w:rFonts w:ascii="Verdana" w:hAnsi="Verdana" w:cs="Arial"/>
              </w:rPr>
              <w:lastRenderedPageBreak/>
              <w:t>Wysokość dynamicznych ograniczeń wahań kursów</w:t>
            </w:r>
          </w:p>
        </w:tc>
        <w:tc>
          <w:tcPr>
            <w:tcW w:w="5954" w:type="dxa"/>
          </w:tcPr>
          <w:p w14:paraId="1405C350" w14:textId="77777777" w:rsidR="00C10CDB" w:rsidRPr="00920145" w:rsidRDefault="00C10CDB" w:rsidP="00A23201">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360" w:lineRule="auto"/>
              <w:rPr>
                <w:rFonts w:ascii="Verdana" w:hAnsi="Verdana" w:cs="Arial"/>
                <w:sz w:val="20"/>
                <w:szCs w:val="20"/>
              </w:rPr>
            </w:pPr>
            <w:r w:rsidRPr="00920145">
              <w:rPr>
                <w:rFonts w:ascii="Verdana" w:hAnsi="Verdana" w:cs="Arial"/>
                <w:sz w:val="20"/>
                <w:szCs w:val="20"/>
              </w:rPr>
              <w:t>0,9% od kursu odniesienia</w:t>
            </w:r>
          </w:p>
        </w:tc>
      </w:tr>
      <w:tr w:rsidR="00C10CDB" w:rsidRPr="00920145" w14:paraId="1DEA1D6B" w14:textId="77777777" w:rsidTr="002D5BBE">
        <w:trPr>
          <w:trHeight w:val="53"/>
        </w:trPr>
        <w:tc>
          <w:tcPr>
            <w:tcW w:w="3402" w:type="dxa"/>
          </w:tcPr>
          <w:p w14:paraId="38AAAF36" w14:textId="77777777" w:rsidR="00C10CDB" w:rsidRPr="00920145" w:rsidRDefault="00C10CDB" w:rsidP="00A23201">
            <w:pPr>
              <w:pStyle w:val="Tekstpodstawowy21"/>
              <w:spacing w:before="60" w:line="360" w:lineRule="auto"/>
              <w:jc w:val="left"/>
              <w:rPr>
                <w:rFonts w:ascii="Verdana" w:hAnsi="Verdana" w:cs="Arial"/>
              </w:rPr>
            </w:pPr>
            <w:r w:rsidRPr="00920145">
              <w:rPr>
                <w:rFonts w:ascii="Verdana" w:hAnsi="Verdana" w:cs="Arial"/>
              </w:rPr>
              <w:t xml:space="preserve">Kurs odniesienia dla kursu otwarcia </w:t>
            </w:r>
          </w:p>
          <w:p w14:paraId="07108E47" w14:textId="77777777" w:rsidR="00C10CDB" w:rsidRPr="00920145" w:rsidRDefault="00C10CDB" w:rsidP="00A23201">
            <w:pPr>
              <w:pStyle w:val="Tekstpodstawowy21"/>
              <w:spacing w:before="60" w:line="360" w:lineRule="auto"/>
              <w:jc w:val="left"/>
              <w:rPr>
                <w:rFonts w:ascii="Verdana" w:hAnsi="Verdana" w:cs="Arial"/>
              </w:rPr>
            </w:pPr>
            <w:r w:rsidRPr="00920145">
              <w:rPr>
                <w:rFonts w:ascii="Verdana" w:hAnsi="Verdana" w:cs="Arial"/>
              </w:rPr>
              <w:t>- dla dynamicznych ograniczeń wahań kursów</w:t>
            </w:r>
          </w:p>
        </w:tc>
        <w:tc>
          <w:tcPr>
            <w:tcW w:w="5954" w:type="dxa"/>
          </w:tcPr>
          <w:p w14:paraId="212EDD3C" w14:textId="77777777" w:rsidR="00C10CDB" w:rsidRPr="00920145" w:rsidRDefault="00C10CDB" w:rsidP="00A23201">
            <w:pPr>
              <w:pStyle w:val="Tekstpodstawowy21"/>
              <w:spacing w:before="60" w:line="360" w:lineRule="auto"/>
              <w:rPr>
                <w:rFonts w:ascii="Verdana" w:hAnsi="Verdana" w:cs="Arial"/>
              </w:rPr>
            </w:pPr>
            <w:r w:rsidRPr="00920145">
              <w:rPr>
                <w:rFonts w:ascii="Verdana" w:hAnsi="Verdana" w:cs="Arial"/>
              </w:rPr>
              <w:t>równy kursowi odniesienia dla statycznych ograniczeń wahań kursów</w:t>
            </w:r>
          </w:p>
        </w:tc>
      </w:tr>
      <w:tr w:rsidR="00C10CDB" w:rsidRPr="00920145" w14:paraId="51C6BE10" w14:textId="77777777" w:rsidTr="002D5BBE">
        <w:trPr>
          <w:trHeight w:val="53"/>
        </w:trPr>
        <w:tc>
          <w:tcPr>
            <w:tcW w:w="3402" w:type="dxa"/>
          </w:tcPr>
          <w:p w14:paraId="39774473" w14:textId="77777777" w:rsidR="00C10CDB" w:rsidRPr="00920145" w:rsidRDefault="00C10CDB" w:rsidP="00A23201">
            <w:pPr>
              <w:pStyle w:val="Tekstpodstawowy21"/>
              <w:spacing w:before="60" w:line="360" w:lineRule="auto"/>
              <w:jc w:val="left"/>
              <w:rPr>
                <w:rFonts w:ascii="Verdana" w:hAnsi="Verdana" w:cs="Arial"/>
              </w:rPr>
            </w:pPr>
            <w:r w:rsidRPr="00920145">
              <w:rPr>
                <w:rFonts w:ascii="Verdana" w:hAnsi="Verdana" w:cs="Arial"/>
              </w:rPr>
              <w:t>Równoważenie podstawowe dla statycznych ograniczeń wahań kursów</w:t>
            </w:r>
          </w:p>
        </w:tc>
        <w:tc>
          <w:tcPr>
            <w:tcW w:w="5954" w:type="dxa"/>
          </w:tcPr>
          <w:p w14:paraId="2F89BA8F" w14:textId="77777777" w:rsidR="00C10CDB" w:rsidRPr="00920145" w:rsidRDefault="00C10CDB" w:rsidP="00A23201">
            <w:pPr>
              <w:pStyle w:val="Tekstpodstawowy21"/>
              <w:spacing w:before="60" w:line="360" w:lineRule="auto"/>
              <w:rPr>
                <w:rFonts w:ascii="Verdana" w:hAnsi="Verdana" w:cs="Arial"/>
              </w:rPr>
            </w:pPr>
            <w:r w:rsidRPr="00920145">
              <w:rPr>
                <w:rFonts w:ascii="Verdana" w:hAnsi="Verdana" w:cs="Arial"/>
              </w:rPr>
              <w:t>Tak</w:t>
            </w:r>
          </w:p>
        </w:tc>
      </w:tr>
      <w:tr w:rsidR="00C10CDB" w:rsidRPr="00920145" w14:paraId="7E676185" w14:textId="77777777" w:rsidTr="002D5BBE">
        <w:trPr>
          <w:trHeight w:val="53"/>
        </w:trPr>
        <w:tc>
          <w:tcPr>
            <w:tcW w:w="3402" w:type="dxa"/>
          </w:tcPr>
          <w:p w14:paraId="50765BE8" w14:textId="77777777" w:rsidR="00C10CDB" w:rsidRPr="00920145" w:rsidRDefault="00C10CDB" w:rsidP="00A23201">
            <w:pPr>
              <w:pStyle w:val="Tekstpodstawowy21"/>
              <w:spacing w:before="60" w:line="360" w:lineRule="auto"/>
              <w:jc w:val="left"/>
              <w:rPr>
                <w:rFonts w:ascii="Verdana" w:hAnsi="Verdana" w:cs="Arial"/>
              </w:rPr>
            </w:pPr>
            <w:r w:rsidRPr="00920145">
              <w:rPr>
                <w:rFonts w:ascii="Verdana" w:hAnsi="Verdana" w:cs="Arial"/>
              </w:rPr>
              <w:t>Czas trwania równoważenia podstawowego dla statycznych ograniczeń wahań kursów</w:t>
            </w:r>
          </w:p>
        </w:tc>
        <w:tc>
          <w:tcPr>
            <w:tcW w:w="5954" w:type="dxa"/>
          </w:tcPr>
          <w:p w14:paraId="67B0A2EE" w14:textId="77777777" w:rsidR="00C10CDB" w:rsidRPr="00920145" w:rsidRDefault="00C10CDB" w:rsidP="00A23201">
            <w:pPr>
              <w:pStyle w:val="Tekstpodstawowy21"/>
              <w:spacing w:before="60" w:line="360" w:lineRule="auto"/>
              <w:rPr>
                <w:rFonts w:ascii="Verdana" w:hAnsi="Verdana" w:cs="Arial"/>
              </w:rPr>
            </w:pPr>
            <w:r w:rsidRPr="00920145">
              <w:rPr>
                <w:rFonts w:ascii="Verdana" w:hAnsi="Verdana" w:cs="Arial"/>
              </w:rPr>
              <w:t>300 sekund</w:t>
            </w:r>
          </w:p>
        </w:tc>
      </w:tr>
      <w:tr w:rsidR="00C10CDB" w:rsidRPr="00920145" w14:paraId="732993B1" w14:textId="77777777" w:rsidTr="002D5BBE">
        <w:trPr>
          <w:trHeight w:val="53"/>
        </w:trPr>
        <w:tc>
          <w:tcPr>
            <w:tcW w:w="3402" w:type="dxa"/>
          </w:tcPr>
          <w:p w14:paraId="5F151C15" w14:textId="77777777" w:rsidR="00C10CDB" w:rsidRPr="00920145" w:rsidRDefault="00C10CDB" w:rsidP="00A23201">
            <w:pPr>
              <w:pStyle w:val="Tekstpodstawowy21"/>
              <w:spacing w:before="60" w:line="360" w:lineRule="auto"/>
              <w:jc w:val="left"/>
              <w:rPr>
                <w:rFonts w:ascii="Verdana" w:hAnsi="Verdana" w:cs="Arial"/>
              </w:rPr>
            </w:pPr>
            <w:r w:rsidRPr="00920145">
              <w:rPr>
                <w:rFonts w:ascii="Verdana" w:hAnsi="Verdana" w:cs="Arial"/>
              </w:rPr>
              <w:t>Współczynnik przesunięcia kursu odniesienia dla równoważenia w fazie aukcji otwarcia</w:t>
            </w:r>
          </w:p>
        </w:tc>
        <w:tc>
          <w:tcPr>
            <w:tcW w:w="5954" w:type="dxa"/>
          </w:tcPr>
          <w:p w14:paraId="47E339B4" w14:textId="77777777" w:rsidR="00C10CDB" w:rsidRPr="00920145" w:rsidRDefault="00C10CDB" w:rsidP="00A23201">
            <w:pPr>
              <w:pStyle w:val="Tekstpodstawowy21"/>
              <w:spacing w:before="60" w:line="360" w:lineRule="auto"/>
              <w:rPr>
                <w:rFonts w:ascii="Verdana" w:hAnsi="Verdana" w:cs="Arial"/>
              </w:rPr>
            </w:pPr>
            <w:r w:rsidRPr="00920145">
              <w:rPr>
                <w:rFonts w:ascii="Verdana" w:hAnsi="Verdana" w:cs="Arial"/>
              </w:rPr>
              <w:t>1</w:t>
            </w:r>
          </w:p>
        </w:tc>
      </w:tr>
      <w:tr w:rsidR="00C10CDB" w:rsidRPr="00920145" w14:paraId="0DAACBA6" w14:textId="77777777" w:rsidTr="002D5BBE">
        <w:trPr>
          <w:trHeight w:val="53"/>
        </w:trPr>
        <w:tc>
          <w:tcPr>
            <w:tcW w:w="3402" w:type="dxa"/>
          </w:tcPr>
          <w:p w14:paraId="1D13DD52" w14:textId="77777777" w:rsidR="00C10CDB" w:rsidRPr="00920145" w:rsidRDefault="00C10CDB" w:rsidP="00A23201">
            <w:pPr>
              <w:pStyle w:val="Tekstpodstawowy21"/>
              <w:spacing w:before="60" w:line="360" w:lineRule="auto"/>
              <w:jc w:val="left"/>
              <w:rPr>
                <w:rFonts w:ascii="Verdana" w:hAnsi="Verdana" w:cs="Arial"/>
              </w:rPr>
            </w:pPr>
            <w:r w:rsidRPr="00920145">
              <w:rPr>
                <w:rFonts w:ascii="Verdana" w:hAnsi="Verdana" w:cs="Arial"/>
              </w:rPr>
              <w:t>Współczynnik przesunięcia kursu odniesienia dla równoważenia w fazach innych niż faza aukcji otwarcia</w:t>
            </w:r>
          </w:p>
        </w:tc>
        <w:tc>
          <w:tcPr>
            <w:tcW w:w="5954" w:type="dxa"/>
          </w:tcPr>
          <w:p w14:paraId="1E1E5B8C" w14:textId="77777777" w:rsidR="00C10CDB" w:rsidRPr="00920145" w:rsidRDefault="00C10CDB" w:rsidP="00A23201">
            <w:pPr>
              <w:pStyle w:val="Tekstpodstawowy21"/>
              <w:spacing w:before="60" w:line="360" w:lineRule="auto"/>
              <w:rPr>
                <w:rFonts w:ascii="Verdana" w:hAnsi="Verdana" w:cs="Arial"/>
              </w:rPr>
            </w:pPr>
            <w:r w:rsidRPr="00920145">
              <w:rPr>
                <w:rFonts w:ascii="Verdana" w:hAnsi="Verdana" w:cs="Arial"/>
              </w:rPr>
              <w:t>0,5</w:t>
            </w:r>
          </w:p>
        </w:tc>
      </w:tr>
      <w:tr w:rsidR="00C10CDB" w:rsidRPr="00920145" w14:paraId="0A3FF503" w14:textId="77777777" w:rsidTr="002D5BBE">
        <w:trPr>
          <w:trHeight w:val="53"/>
        </w:trPr>
        <w:tc>
          <w:tcPr>
            <w:tcW w:w="3402" w:type="dxa"/>
          </w:tcPr>
          <w:p w14:paraId="6C536536" w14:textId="77777777" w:rsidR="00C10CDB" w:rsidRPr="00920145" w:rsidRDefault="00C10CDB" w:rsidP="00A23201">
            <w:pPr>
              <w:pStyle w:val="Tekstpodstawowy21"/>
              <w:spacing w:before="60" w:line="360" w:lineRule="auto"/>
              <w:jc w:val="left"/>
              <w:rPr>
                <w:rFonts w:ascii="Verdana" w:hAnsi="Verdana" w:cs="Arial"/>
              </w:rPr>
            </w:pPr>
            <w:r w:rsidRPr="00920145">
              <w:rPr>
                <w:rFonts w:ascii="Verdana" w:hAnsi="Verdana" w:cs="Arial"/>
              </w:rPr>
              <w:lastRenderedPageBreak/>
              <w:t>Współczynnik maksymalnej liczby zmian netto statycznych ograniczeń wahań kursów</w:t>
            </w:r>
          </w:p>
        </w:tc>
        <w:tc>
          <w:tcPr>
            <w:tcW w:w="5954" w:type="dxa"/>
          </w:tcPr>
          <w:p w14:paraId="565EB483" w14:textId="77777777" w:rsidR="00C10CDB" w:rsidRPr="00920145" w:rsidRDefault="00C10CDB" w:rsidP="00A23201">
            <w:pPr>
              <w:pStyle w:val="Tekstpodstawowy21"/>
              <w:spacing w:before="60" w:line="360" w:lineRule="auto"/>
              <w:rPr>
                <w:rFonts w:ascii="Verdana" w:hAnsi="Verdana" w:cs="Arial"/>
              </w:rPr>
            </w:pPr>
            <w:r w:rsidRPr="00920145">
              <w:rPr>
                <w:rFonts w:ascii="Verdana" w:hAnsi="Verdana" w:cs="Arial"/>
              </w:rPr>
              <w:t>2</w:t>
            </w:r>
          </w:p>
        </w:tc>
      </w:tr>
      <w:tr w:rsidR="00C10CDB" w:rsidRPr="00920145" w14:paraId="757EC324" w14:textId="77777777" w:rsidTr="002D5BBE">
        <w:trPr>
          <w:trHeight w:val="53"/>
        </w:trPr>
        <w:tc>
          <w:tcPr>
            <w:tcW w:w="3402" w:type="dxa"/>
          </w:tcPr>
          <w:p w14:paraId="52A72B63" w14:textId="77777777" w:rsidR="00C10CDB" w:rsidRPr="00920145" w:rsidRDefault="00C10CDB" w:rsidP="00A23201">
            <w:pPr>
              <w:pStyle w:val="Tekstpodstawowy21"/>
              <w:spacing w:before="60" w:line="360" w:lineRule="auto"/>
              <w:jc w:val="left"/>
              <w:rPr>
                <w:rFonts w:ascii="Verdana" w:hAnsi="Verdana" w:cs="Arial"/>
              </w:rPr>
            </w:pPr>
            <w:r w:rsidRPr="00920145">
              <w:rPr>
                <w:rFonts w:ascii="Verdana" w:hAnsi="Verdana" w:cs="Arial"/>
              </w:rPr>
              <w:t>Czas trwania równoważenia podstawowego dla dynamicznych ograniczeń wahań kursów</w:t>
            </w:r>
          </w:p>
        </w:tc>
        <w:tc>
          <w:tcPr>
            <w:tcW w:w="5954" w:type="dxa"/>
          </w:tcPr>
          <w:p w14:paraId="723850C0" w14:textId="77777777" w:rsidR="00C10CDB" w:rsidRPr="00920145" w:rsidRDefault="00C10CDB" w:rsidP="00A23201">
            <w:pPr>
              <w:pStyle w:val="Tekstpodstawowy21"/>
              <w:spacing w:before="60" w:line="360" w:lineRule="auto"/>
              <w:rPr>
                <w:rFonts w:ascii="Verdana" w:hAnsi="Verdana" w:cs="Arial"/>
              </w:rPr>
            </w:pPr>
            <w:r w:rsidRPr="00920145">
              <w:rPr>
                <w:rFonts w:ascii="Verdana" w:hAnsi="Verdana" w:cs="Arial"/>
              </w:rPr>
              <w:t>60 sekund</w:t>
            </w:r>
          </w:p>
        </w:tc>
      </w:tr>
      <w:tr w:rsidR="00C10CDB" w:rsidRPr="00920145" w14:paraId="451A4658" w14:textId="77777777" w:rsidTr="002D5BBE">
        <w:trPr>
          <w:trHeight w:val="53"/>
        </w:trPr>
        <w:tc>
          <w:tcPr>
            <w:tcW w:w="3402" w:type="dxa"/>
          </w:tcPr>
          <w:p w14:paraId="1B1143C7" w14:textId="77777777" w:rsidR="00C10CDB" w:rsidRPr="00920145" w:rsidRDefault="00C10CDB" w:rsidP="00A23201">
            <w:pPr>
              <w:pStyle w:val="Tekstpodstawowy21"/>
              <w:spacing w:before="60" w:line="360" w:lineRule="auto"/>
              <w:jc w:val="left"/>
              <w:rPr>
                <w:rFonts w:ascii="Verdana" w:hAnsi="Verdana" w:cs="Arial"/>
              </w:rPr>
            </w:pPr>
            <w:r w:rsidRPr="00920145">
              <w:rPr>
                <w:rFonts w:ascii="Verdana" w:hAnsi="Verdana" w:cs="Arial"/>
              </w:rPr>
              <w:t>Współczynnik rozszerzenia dla równoważenia w fazie aukcji otwarcia</w:t>
            </w:r>
          </w:p>
        </w:tc>
        <w:tc>
          <w:tcPr>
            <w:tcW w:w="5954" w:type="dxa"/>
          </w:tcPr>
          <w:p w14:paraId="0061DAFA" w14:textId="77777777" w:rsidR="00C10CDB" w:rsidRPr="00920145" w:rsidRDefault="00C10CDB" w:rsidP="00A23201">
            <w:pPr>
              <w:pStyle w:val="Tekstpodstawowy21"/>
              <w:spacing w:before="60" w:line="360" w:lineRule="auto"/>
              <w:rPr>
                <w:rFonts w:ascii="Verdana" w:hAnsi="Verdana" w:cs="Arial"/>
              </w:rPr>
            </w:pPr>
            <w:r w:rsidRPr="00920145">
              <w:rPr>
                <w:rFonts w:ascii="Verdana" w:hAnsi="Verdana" w:cs="Arial"/>
              </w:rPr>
              <w:t>3,0</w:t>
            </w:r>
          </w:p>
        </w:tc>
      </w:tr>
      <w:tr w:rsidR="00C10CDB" w:rsidRPr="00920145" w14:paraId="264084D8" w14:textId="77777777" w:rsidTr="002D5BBE">
        <w:trPr>
          <w:trHeight w:val="53"/>
        </w:trPr>
        <w:tc>
          <w:tcPr>
            <w:tcW w:w="3402" w:type="dxa"/>
          </w:tcPr>
          <w:p w14:paraId="1C09672D" w14:textId="77777777" w:rsidR="00C10CDB" w:rsidRPr="00920145" w:rsidRDefault="00C10CDB" w:rsidP="00A23201">
            <w:pPr>
              <w:pStyle w:val="Tekstpodstawowy21"/>
              <w:spacing w:before="60" w:line="360" w:lineRule="auto"/>
              <w:jc w:val="left"/>
              <w:rPr>
                <w:rFonts w:ascii="Verdana" w:hAnsi="Verdana" w:cs="Arial"/>
              </w:rPr>
            </w:pPr>
            <w:r w:rsidRPr="00920145">
              <w:rPr>
                <w:rFonts w:ascii="Verdana" w:hAnsi="Verdana" w:cs="Arial"/>
              </w:rPr>
              <w:t>Współczynnik rozszerzenia dla równoważenia w fazach innych niż faza aukcji otwarcia</w:t>
            </w:r>
          </w:p>
        </w:tc>
        <w:tc>
          <w:tcPr>
            <w:tcW w:w="5954" w:type="dxa"/>
          </w:tcPr>
          <w:p w14:paraId="2FC7FCF8" w14:textId="77777777" w:rsidR="00C10CDB" w:rsidRPr="00920145" w:rsidRDefault="00C10CDB" w:rsidP="00A23201">
            <w:pPr>
              <w:pStyle w:val="Tekstpodstawowy21"/>
              <w:spacing w:before="60" w:line="360" w:lineRule="auto"/>
              <w:rPr>
                <w:rFonts w:ascii="Verdana" w:hAnsi="Verdana" w:cs="Arial"/>
              </w:rPr>
            </w:pPr>
            <w:r w:rsidRPr="00920145">
              <w:rPr>
                <w:rFonts w:ascii="Verdana" w:hAnsi="Verdana" w:cs="Arial"/>
              </w:rPr>
              <w:t>2,0</w:t>
            </w:r>
          </w:p>
        </w:tc>
      </w:tr>
      <w:tr w:rsidR="00C10CDB" w:rsidRPr="00920145" w14:paraId="73C16541" w14:textId="77777777" w:rsidTr="002D5BBE">
        <w:trPr>
          <w:trHeight w:val="53"/>
        </w:trPr>
        <w:tc>
          <w:tcPr>
            <w:tcW w:w="3402" w:type="dxa"/>
          </w:tcPr>
          <w:p w14:paraId="143528A4" w14:textId="77777777" w:rsidR="00C10CDB" w:rsidRPr="00920145" w:rsidRDefault="00C10CDB" w:rsidP="00A23201">
            <w:pPr>
              <w:pStyle w:val="Tekstpodstawowy21"/>
              <w:spacing w:before="60" w:line="360" w:lineRule="auto"/>
              <w:jc w:val="left"/>
              <w:rPr>
                <w:rFonts w:ascii="Verdana" w:hAnsi="Verdana" w:cs="Arial"/>
              </w:rPr>
            </w:pPr>
            <w:r w:rsidRPr="00920145">
              <w:rPr>
                <w:rFonts w:ascii="Verdana" w:hAnsi="Verdana" w:cs="Arial"/>
              </w:rPr>
              <w:t>Współczynnik maksymalnej liczby zmian netto dynamicznych ograniczeń wahań kursów</w:t>
            </w:r>
          </w:p>
        </w:tc>
        <w:tc>
          <w:tcPr>
            <w:tcW w:w="5954" w:type="dxa"/>
          </w:tcPr>
          <w:p w14:paraId="5664CAB5" w14:textId="77777777" w:rsidR="00C10CDB" w:rsidRPr="00920145" w:rsidRDefault="00C10CDB" w:rsidP="00A23201">
            <w:pPr>
              <w:pStyle w:val="Tekstpodstawowy21"/>
              <w:spacing w:before="60" w:line="360" w:lineRule="auto"/>
              <w:rPr>
                <w:rFonts w:ascii="Verdana" w:hAnsi="Verdana" w:cs="Arial"/>
              </w:rPr>
            </w:pPr>
            <w:r w:rsidRPr="00920145">
              <w:rPr>
                <w:rFonts w:ascii="Verdana" w:hAnsi="Verdana" w:cs="Arial"/>
              </w:rPr>
              <w:t>20</w:t>
            </w:r>
          </w:p>
        </w:tc>
      </w:tr>
    </w:tbl>
    <w:p w14:paraId="61810AC6" w14:textId="31C9BCA9" w:rsidR="00C10CDB" w:rsidRPr="00920145" w:rsidRDefault="00C10CDB" w:rsidP="00A23201">
      <w:pPr>
        <w:tabs>
          <w:tab w:val="left" w:pos="142"/>
        </w:tabs>
        <w:spacing w:after="240" w:line="360" w:lineRule="auto"/>
        <w:ind w:left="567"/>
        <w:jc w:val="both"/>
        <w:rPr>
          <w:rFonts w:ascii="Verdana" w:hAnsi="Verdana" w:cs="Arial"/>
          <w:sz w:val="20"/>
          <w:szCs w:val="18"/>
        </w:rPr>
      </w:pPr>
    </w:p>
    <w:p w14:paraId="5B5416AB" w14:textId="68090367" w:rsidR="00C10CDB" w:rsidRPr="00920145" w:rsidRDefault="007556F6" w:rsidP="008362AE">
      <w:pPr>
        <w:pStyle w:val="Nagwek3"/>
      </w:pPr>
      <w:r w:rsidRPr="00920145">
        <w:t>§ 88 otrzymuje brzmienie:</w:t>
      </w:r>
    </w:p>
    <w:p w14:paraId="3CD47E01" w14:textId="357E553E" w:rsidR="007556F6" w:rsidRPr="00920145" w:rsidRDefault="00F610A6" w:rsidP="00A23201">
      <w:pPr>
        <w:pStyle w:val="Akapitzlist"/>
        <w:tabs>
          <w:tab w:val="left" w:pos="851"/>
        </w:tabs>
        <w:spacing w:after="120" w:line="360" w:lineRule="auto"/>
        <w:ind w:left="567"/>
        <w:contextualSpacing w:val="0"/>
        <w:jc w:val="both"/>
        <w:rPr>
          <w:rFonts w:ascii="Verdana" w:hAnsi="Verdana"/>
          <w:sz w:val="20"/>
          <w:szCs w:val="20"/>
        </w:rPr>
      </w:pPr>
      <w:r w:rsidRPr="00920145">
        <w:rPr>
          <w:rFonts w:ascii="Verdana" w:hAnsi="Verdana"/>
          <w:sz w:val="20"/>
          <w:szCs w:val="20"/>
        </w:rPr>
        <w:t>„ §</w:t>
      </w:r>
      <w:r w:rsidR="003772D5" w:rsidRPr="00920145">
        <w:rPr>
          <w:rFonts w:ascii="Verdana" w:hAnsi="Verdana"/>
          <w:sz w:val="20"/>
          <w:szCs w:val="20"/>
        </w:rPr>
        <w:t xml:space="preserve"> </w:t>
      </w:r>
      <w:r w:rsidRPr="00920145">
        <w:rPr>
          <w:rFonts w:ascii="Verdana" w:hAnsi="Verdana"/>
          <w:sz w:val="20"/>
          <w:szCs w:val="20"/>
        </w:rPr>
        <w:t>88</w:t>
      </w:r>
    </w:p>
    <w:p w14:paraId="3B4925F5" w14:textId="6849CE29" w:rsidR="00B21755" w:rsidRPr="00920145" w:rsidRDefault="00B21755" w:rsidP="00A23201">
      <w:pPr>
        <w:tabs>
          <w:tab w:val="left" w:pos="142"/>
        </w:tabs>
        <w:spacing w:after="240" w:line="360" w:lineRule="auto"/>
        <w:ind w:firstLine="567"/>
        <w:rPr>
          <w:rFonts w:ascii="Verdana" w:hAnsi="Verdana" w:cs="Arial"/>
          <w:sz w:val="20"/>
          <w:szCs w:val="18"/>
        </w:rPr>
      </w:pPr>
      <w:r w:rsidRPr="00920145">
        <w:rPr>
          <w:rFonts w:ascii="Verdana" w:hAnsi="Verdana" w:cs="Arial"/>
          <w:sz w:val="20"/>
          <w:szCs w:val="18"/>
        </w:rPr>
        <w:t>Szczegółowe warunki obrotu dla kontraktów terminowych na kursy walut:</w:t>
      </w:r>
    </w:p>
    <w:tbl>
      <w:tblPr>
        <w:tblW w:w="822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4820"/>
      </w:tblGrid>
      <w:tr w:rsidR="009F3D20" w:rsidRPr="00920145" w14:paraId="7AA45369" w14:textId="77777777" w:rsidTr="003772D5">
        <w:tc>
          <w:tcPr>
            <w:tcW w:w="3402" w:type="dxa"/>
          </w:tcPr>
          <w:p w14:paraId="125C5F8D" w14:textId="77777777" w:rsidR="009F3D20" w:rsidRPr="00920145" w:rsidRDefault="009F3D20" w:rsidP="00A23201">
            <w:pPr>
              <w:pStyle w:val="Tekstpodstawowy21"/>
              <w:spacing w:before="60" w:line="360" w:lineRule="auto"/>
              <w:rPr>
                <w:rFonts w:ascii="Verdana" w:hAnsi="Verdana" w:cs="Arial"/>
              </w:rPr>
            </w:pPr>
            <w:r w:rsidRPr="00920145">
              <w:rPr>
                <w:rFonts w:ascii="Verdana" w:hAnsi="Verdana" w:cs="Arial"/>
              </w:rPr>
              <w:t xml:space="preserve">Jednostka  transakcyjna </w:t>
            </w:r>
          </w:p>
        </w:tc>
        <w:tc>
          <w:tcPr>
            <w:tcW w:w="4820" w:type="dxa"/>
          </w:tcPr>
          <w:p w14:paraId="7CCA5ED0" w14:textId="77777777" w:rsidR="009F3D20" w:rsidRPr="00920145" w:rsidRDefault="009F3D20" w:rsidP="00A23201">
            <w:pPr>
              <w:pStyle w:val="Tekstpodstawowy21"/>
              <w:spacing w:before="60" w:line="360" w:lineRule="auto"/>
              <w:rPr>
                <w:rFonts w:ascii="Verdana" w:hAnsi="Verdana" w:cs="Arial"/>
              </w:rPr>
            </w:pPr>
            <w:r w:rsidRPr="00920145">
              <w:rPr>
                <w:rFonts w:ascii="Verdana" w:hAnsi="Verdana" w:cs="Arial"/>
              </w:rPr>
              <w:t>jeden instrument, chyba że Zarząd Giełdy określi inną jednostkę transakcyjną</w:t>
            </w:r>
          </w:p>
        </w:tc>
      </w:tr>
      <w:tr w:rsidR="007164ED" w:rsidRPr="00920145" w14:paraId="28F040B0" w14:textId="77777777" w:rsidTr="003772D5">
        <w:tc>
          <w:tcPr>
            <w:tcW w:w="3402" w:type="dxa"/>
          </w:tcPr>
          <w:p w14:paraId="00B516BA" w14:textId="32E31EC0" w:rsidR="007164ED" w:rsidRPr="00920145" w:rsidDel="007164ED" w:rsidRDefault="007164ED" w:rsidP="007164ED">
            <w:pPr>
              <w:pStyle w:val="Tekstpodstawowy21"/>
              <w:spacing w:before="60" w:line="360" w:lineRule="auto"/>
              <w:rPr>
                <w:rFonts w:ascii="Verdana" w:hAnsi="Verdana"/>
              </w:rPr>
            </w:pPr>
            <w:r w:rsidRPr="00920145">
              <w:rPr>
                <w:rFonts w:ascii="Verdana" w:hAnsi="Verdana"/>
              </w:rPr>
              <w:t>Losowy czas otwarcia</w:t>
            </w:r>
            <w:r w:rsidRPr="00920145">
              <w:rPr>
                <w:rFonts w:ascii="Verdana" w:hAnsi="Verdana"/>
              </w:rPr>
              <w:br/>
              <w:t>dla fazy aukcji otwarcia</w:t>
            </w:r>
          </w:p>
        </w:tc>
        <w:tc>
          <w:tcPr>
            <w:tcW w:w="4820" w:type="dxa"/>
          </w:tcPr>
          <w:p w14:paraId="3E35970A" w14:textId="57AF9C6C" w:rsidR="007164ED" w:rsidRPr="00920145" w:rsidDel="007164ED" w:rsidRDefault="002F0779" w:rsidP="007164ED">
            <w:pPr>
              <w:pStyle w:val="Tekstpodstawowy21"/>
              <w:spacing w:before="60" w:line="360" w:lineRule="auto"/>
              <w:rPr>
                <w:rFonts w:ascii="Verdana" w:hAnsi="Verdana"/>
              </w:rPr>
            </w:pPr>
            <w:r w:rsidRPr="00920145">
              <w:rPr>
                <w:rFonts w:ascii="Verdana" w:hAnsi="Verdana"/>
              </w:rPr>
              <w:t>(</w:t>
            </w:r>
            <w:r w:rsidR="007164ED" w:rsidRPr="00920145">
              <w:rPr>
                <w:rFonts w:ascii="Verdana" w:hAnsi="Verdana"/>
              </w:rPr>
              <w:t>+</w:t>
            </w:r>
            <w:r w:rsidRPr="00920145">
              <w:rPr>
                <w:rFonts w:ascii="Verdana" w:hAnsi="Verdana"/>
              </w:rPr>
              <w:t>)</w:t>
            </w:r>
            <w:r w:rsidR="007164ED" w:rsidRPr="00920145">
              <w:rPr>
                <w:rFonts w:ascii="Verdana" w:hAnsi="Verdana"/>
              </w:rPr>
              <w:t xml:space="preserve"> 0-30 sekund</w:t>
            </w:r>
          </w:p>
        </w:tc>
      </w:tr>
      <w:tr w:rsidR="007164ED" w:rsidRPr="00920145" w14:paraId="7A37B62A" w14:textId="77777777" w:rsidTr="003772D5">
        <w:tc>
          <w:tcPr>
            <w:tcW w:w="3402" w:type="dxa"/>
          </w:tcPr>
          <w:p w14:paraId="5238655D" w14:textId="2857FA6B" w:rsidR="007164ED" w:rsidRPr="00920145" w:rsidDel="007164ED" w:rsidRDefault="007164ED" w:rsidP="007164ED">
            <w:pPr>
              <w:pStyle w:val="Tekstpodstawowy21"/>
              <w:spacing w:before="60" w:line="360" w:lineRule="auto"/>
              <w:rPr>
                <w:rFonts w:ascii="Verdana" w:hAnsi="Verdana"/>
              </w:rPr>
            </w:pPr>
            <w:r w:rsidRPr="00920145">
              <w:rPr>
                <w:rFonts w:ascii="Verdana" w:hAnsi="Verdana"/>
              </w:rPr>
              <w:t>Losowy czas otwarcia</w:t>
            </w:r>
            <w:r w:rsidRPr="00920145">
              <w:rPr>
                <w:rFonts w:ascii="Verdana" w:hAnsi="Verdana"/>
              </w:rPr>
              <w:br/>
              <w:t>dla fazy aukcji zamknięcia</w:t>
            </w:r>
          </w:p>
        </w:tc>
        <w:tc>
          <w:tcPr>
            <w:tcW w:w="4820" w:type="dxa"/>
          </w:tcPr>
          <w:p w14:paraId="58957F0B" w14:textId="4F251F3E" w:rsidR="007164ED" w:rsidRPr="00920145" w:rsidDel="007164ED" w:rsidRDefault="002F0779" w:rsidP="007164ED">
            <w:pPr>
              <w:pStyle w:val="Tekstpodstawowy21"/>
              <w:spacing w:before="60" w:line="360" w:lineRule="auto"/>
              <w:rPr>
                <w:rFonts w:ascii="Verdana" w:hAnsi="Verdana"/>
              </w:rPr>
            </w:pPr>
            <w:r w:rsidRPr="00920145">
              <w:rPr>
                <w:rFonts w:ascii="Verdana" w:hAnsi="Verdana"/>
              </w:rPr>
              <w:t>(</w:t>
            </w:r>
            <w:r w:rsidR="007164ED" w:rsidRPr="00920145">
              <w:rPr>
                <w:rFonts w:ascii="Verdana" w:hAnsi="Verdana"/>
              </w:rPr>
              <w:t>-</w:t>
            </w:r>
            <w:r w:rsidRPr="00920145">
              <w:rPr>
                <w:rFonts w:ascii="Verdana" w:hAnsi="Verdana"/>
              </w:rPr>
              <w:t>)</w:t>
            </w:r>
            <w:r w:rsidR="007164ED" w:rsidRPr="00920145">
              <w:rPr>
                <w:rFonts w:ascii="Verdana" w:hAnsi="Verdana"/>
              </w:rPr>
              <w:t xml:space="preserve"> 0-30 sekund</w:t>
            </w:r>
          </w:p>
        </w:tc>
      </w:tr>
      <w:tr w:rsidR="009F3D20" w:rsidRPr="00920145" w14:paraId="13A2C690" w14:textId="77777777" w:rsidTr="003772D5">
        <w:tc>
          <w:tcPr>
            <w:tcW w:w="3402" w:type="dxa"/>
          </w:tcPr>
          <w:p w14:paraId="5B4627EC" w14:textId="77777777" w:rsidR="009F3D20" w:rsidRPr="00920145" w:rsidRDefault="009F3D20" w:rsidP="00DF7CBA">
            <w:pPr>
              <w:pStyle w:val="Tekstpodstawowy21"/>
              <w:spacing w:after="0" w:line="360" w:lineRule="auto"/>
              <w:jc w:val="left"/>
              <w:rPr>
                <w:rFonts w:ascii="Verdana" w:hAnsi="Verdana" w:cs="Arial"/>
              </w:rPr>
            </w:pPr>
            <w:r w:rsidRPr="00920145">
              <w:rPr>
                <w:rFonts w:ascii="Verdana" w:hAnsi="Verdana" w:cs="Arial"/>
              </w:rPr>
              <w:t>Jednostka określania dla:</w:t>
            </w:r>
          </w:p>
          <w:p w14:paraId="2D767EF9" w14:textId="77777777" w:rsidR="009F3D20" w:rsidRPr="00920145" w:rsidRDefault="009F3D20" w:rsidP="00DF7CBA">
            <w:pPr>
              <w:pStyle w:val="Tekstpodstawowy21"/>
              <w:spacing w:after="0" w:line="360" w:lineRule="auto"/>
              <w:jc w:val="left"/>
              <w:rPr>
                <w:rFonts w:ascii="Verdana" w:hAnsi="Verdana" w:cs="Arial"/>
              </w:rPr>
            </w:pPr>
            <w:r w:rsidRPr="00920145">
              <w:rPr>
                <w:rFonts w:ascii="Verdana" w:hAnsi="Verdana" w:cs="Arial"/>
              </w:rPr>
              <w:t xml:space="preserve">- kursu kontraktu, </w:t>
            </w:r>
          </w:p>
          <w:p w14:paraId="35F1E210" w14:textId="77777777" w:rsidR="009F3D20" w:rsidRPr="00920145" w:rsidRDefault="009F3D20" w:rsidP="00DF7CBA">
            <w:pPr>
              <w:pStyle w:val="Tekstpodstawowy21"/>
              <w:spacing w:after="0" w:line="360" w:lineRule="auto"/>
              <w:jc w:val="left"/>
              <w:rPr>
                <w:rFonts w:ascii="Verdana" w:hAnsi="Verdana" w:cs="Arial"/>
              </w:rPr>
            </w:pPr>
            <w:r w:rsidRPr="00920145">
              <w:rPr>
                <w:rFonts w:ascii="Verdana" w:hAnsi="Verdana" w:cs="Arial"/>
              </w:rPr>
              <w:t>- dziennego kursu rozliczeniowego,</w:t>
            </w:r>
          </w:p>
          <w:p w14:paraId="1B7A3DDB" w14:textId="77777777" w:rsidR="009F3D20" w:rsidRPr="00920145" w:rsidRDefault="009F3D20" w:rsidP="00DF7CBA">
            <w:pPr>
              <w:pStyle w:val="Tekstpodstawowy21"/>
              <w:spacing w:after="0" w:line="360" w:lineRule="auto"/>
              <w:jc w:val="left"/>
              <w:rPr>
                <w:rFonts w:ascii="Verdana" w:hAnsi="Verdana" w:cs="Arial"/>
              </w:rPr>
            </w:pPr>
            <w:r w:rsidRPr="00920145">
              <w:rPr>
                <w:rFonts w:ascii="Verdana" w:hAnsi="Verdana" w:cs="Arial"/>
              </w:rPr>
              <w:lastRenderedPageBreak/>
              <w:t>- ostatecznego kursu rozliczeniowego</w:t>
            </w:r>
          </w:p>
        </w:tc>
        <w:tc>
          <w:tcPr>
            <w:tcW w:w="4820" w:type="dxa"/>
          </w:tcPr>
          <w:p w14:paraId="3BA3BD52" w14:textId="77777777" w:rsidR="009F3D20" w:rsidRPr="00920145" w:rsidRDefault="009F3D20" w:rsidP="00A23201">
            <w:pPr>
              <w:pStyle w:val="Tekstpodstawowy21"/>
              <w:spacing w:before="60" w:line="360" w:lineRule="auto"/>
              <w:rPr>
                <w:rFonts w:ascii="Verdana" w:hAnsi="Verdana" w:cs="Arial"/>
              </w:rPr>
            </w:pPr>
            <w:r w:rsidRPr="00920145">
              <w:rPr>
                <w:rFonts w:ascii="Verdana" w:hAnsi="Verdana" w:cs="Arial"/>
              </w:rPr>
              <w:lastRenderedPageBreak/>
              <w:t>złoty polski (PLN) lub waluta  wskazana w standardzie danego kontraktu, której kurs ogłaszany jest przez Narodowy Bank Polski - z dokładnością równą krokowi notowania</w:t>
            </w:r>
          </w:p>
        </w:tc>
      </w:tr>
      <w:tr w:rsidR="009F3D20" w:rsidRPr="00920145" w14:paraId="11C6A253" w14:textId="77777777" w:rsidTr="003772D5">
        <w:tc>
          <w:tcPr>
            <w:tcW w:w="3402" w:type="dxa"/>
          </w:tcPr>
          <w:p w14:paraId="66A838A2" w14:textId="77777777" w:rsidR="009F3D20" w:rsidRPr="00920145" w:rsidRDefault="009F3D20" w:rsidP="00A23201">
            <w:pPr>
              <w:pStyle w:val="Tekstpodstawowy21"/>
              <w:spacing w:before="60" w:line="360" w:lineRule="auto"/>
              <w:jc w:val="left"/>
              <w:rPr>
                <w:rFonts w:ascii="Verdana" w:hAnsi="Verdana" w:cs="Arial"/>
              </w:rPr>
            </w:pPr>
            <w:r w:rsidRPr="00920145">
              <w:rPr>
                <w:rFonts w:ascii="Verdana" w:hAnsi="Verdana" w:cs="Arial"/>
              </w:rPr>
              <w:t>Krok notowania</w:t>
            </w:r>
          </w:p>
        </w:tc>
        <w:tc>
          <w:tcPr>
            <w:tcW w:w="4820" w:type="dxa"/>
          </w:tcPr>
          <w:p w14:paraId="5E919324" w14:textId="6FD66C5D" w:rsidR="009F3D20" w:rsidRPr="00920145" w:rsidRDefault="009F3D20" w:rsidP="00A23201">
            <w:pPr>
              <w:pStyle w:val="Tekstpodstawowy21"/>
              <w:spacing w:before="60" w:line="360" w:lineRule="auto"/>
              <w:rPr>
                <w:rFonts w:ascii="Verdana" w:hAnsi="Verdana" w:cs="Arial"/>
              </w:rPr>
            </w:pPr>
            <w:r w:rsidRPr="00920145">
              <w:rPr>
                <w:rFonts w:ascii="Verdana" w:hAnsi="Verdana" w:cs="Arial"/>
              </w:rPr>
              <w:t xml:space="preserve">0,0001 jednostki waluty notowania, </w:t>
            </w:r>
            <w:r w:rsidR="00E95ACE" w:rsidRPr="00920145">
              <w:rPr>
                <w:rFonts w:ascii="Verdana" w:hAnsi="Verdana" w:cs="Arial"/>
              </w:rPr>
              <w:br/>
            </w:r>
            <w:r w:rsidRPr="00920145">
              <w:rPr>
                <w:rFonts w:ascii="Verdana" w:hAnsi="Verdana" w:cs="Arial"/>
              </w:rPr>
              <w:t>z zastrzeżeniem że kurs kontraktu nie może być niższy niż 0,01 jednostki waluty notowania</w:t>
            </w:r>
          </w:p>
        </w:tc>
      </w:tr>
      <w:tr w:rsidR="009F3D20" w:rsidRPr="00920145" w14:paraId="0CFAEED8" w14:textId="77777777" w:rsidTr="003772D5">
        <w:tc>
          <w:tcPr>
            <w:tcW w:w="3402" w:type="dxa"/>
          </w:tcPr>
          <w:p w14:paraId="0C4E0041" w14:textId="77777777" w:rsidR="009F3D20" w:rsidRPr="00920145" w:rsidRDefault="009F3D20" w:rsidP="00A23201">
            <w:pPr>
              <w:pStyle w:val="Tekstpodstawowy21"/>
              <w:spacing w:before="60" w:line="360" w:lineRule="auto"/>
              <w:jc w:val="left"/>
              <w:rPr>
                <w:rFonts w:ascii="Verdana" w:hAnsi="Verdana" w:cs="Arial"/>
              </w:rPr>
            </w:pPr>
            <w:r w:rsidRPr="00920145">
              <w:rPr>
                <w:rFonts w:ascii="Verdana" w:hAnsi="Verdana"/>
              </w:rPr>
              <w:t xml:space="preserve">Maksymalne wartości dla limitów cen w zleceniu maklerskim    </w:t>
            </w:r>
          </w:p>
        </w:tc>
        <w:tc>
          <w:tcPr>
            <w:tcW w:w="4820" w:type="dxa"/>
          </w:tcPr>
          <w:p w14:paraId="07100776" w14:textId="1D1BA6E2" w:rsidR="009F3D20" w:rsidRPr="00920145" w:rsidRDefault="009F3D20" w:rsidP="00A23201">
            <w:pPr>
              <w:pStyle w:val="Tekstpodstawowy21"/>
              <w:spacing w:before="60" w:line="360" w:lineRule="auto"/>
              <w:rPr>
                <w:rFonts w:ascii="Verdana" w:hAnsi="Verdana" w:cs="Arial"/>
              </w:rPr>
            </w:pPr>
            <w:r w:rsidRPr="00920145">
              <w:rPr>
                <w:rFonts w:ascii="Verdana" w:hAnsi="Verdana" w:cs="Arial"/>
              </w:rPr>
              <w:t>40% względem kursu odniesienia dla statycznych ograniczeń wahań kursu</w:t>
            </w:r>
          </w:p>
        </w:tc>
      </w:tr>
      <w:tr w:rsidR="009F3D20" w:rsidRPr="00920145" w14:paraId="21FEE260" w14:textId="77777777" w:rsidTr="003772D5">
        <w:tc>
          <w:tcPr>
            <w:tcW w:w="3402" w:type="dxa"/>
          </w:tcPr>
          <w:p w14:paraId="11A9980F" w14:textId="77777777" w:rsidR="009F3D20" w:rsidRPr="00920145" w:rsidRDefault="009F3D20" w:rsidP="00A23201">
            <w:pPr>
              <w:pStyle w:val="Tekstpodstawowy21"/>
              <w:spacing w:before="60" w:line="360" w:lineRule="auto"/>
              <w:jc w:val="left"/>
              <w:rPr>
                <w:rFonts w:ascii="Verdana" w:hAnsi="Verdana" w:cs="Arial"/>
              </w:rPr>
            </w:pPr>
            <w:r w:rsidRPr="00920145">
              <w:rPr>
                <w:rFonts w:ascii="Verdana" w:hAnsi="Verdana" w:cs="Arial"/>
              </w:rPr>
              <w:t xml:space="preserve">Maksymalna wartość zlecenia maklerskiego    </w:t>
            </w:r>
          </w:p>
        </w:tc>
        <w:tc>
          <w:tcPr>
            <w:tcW w:w="4820" w:type="dxa"/>
          </w:tcPr>
          <w:p w14:paraId="323B24C8" w14:textId="77BFC39F" w:rsidR="009F3D20" w:rsidRPr="00920145" w:rsidRDefault="009F3D20" w:rsidP="00A23201">
            <w:pPr>
              <w:pStyle w:val="Tekstpodstawowy21"/>
              <w:spacing w:before="60" w:line="360" w:lineRule="auto"/>
              <w:rPr>
                <w:rFonts w:ascii="Verdana" w:hAnsi="Verdana" w:cs="Arial"/>
              </w:rPr>
            </w:pPr>
            <w:r w:rsidRPr="00920145">
              <w:rPr>
                <w:rFonts w:ascii="Verdana" w:hAnsi="Verdana" w:cs="Arial"/>
              </w:rPr>
              <w:t xml:space="preserve">75.000.000 jednostek waluty notowania </w:t>
            </w:r>
          </w:p>
        </w:tc>
      </w:tr>
      <w:tr w:rsidR="009F3D20" w:rsidRPr="00920145" w14:paraId="5D82B8ED" w14:textId="77777777" w:rsidTr="003772D5">
        <w:tc>
          <w:tcPr>
            <w:tcW w:w="3402" w:type="dxa"/>
          </w:tcPr>
          <w:p w14:paraId="4A3F4EEC" w14:textId="77777777" w:rsidR="009F3D20" w:rsidRPr="00920145" w:rsidRDefault="009F3D20" w:rsidP="00A23201">
            <w:pPr>
              <w:pStyle w:val="Tekstpodstawowy21"/>
              <w:spacing w:before="60" w:line="360" w:lineRule="auto"/>
              <w:jc w:val="left"/>
              <w:rPr>
                <w:rFonts w:ascii="Verdana" w:hAnsi="Verdana" w:cs="Arial"/>
              </w:rPr>
            </w:pPr>
            <w:r w:rsidRPr="00920145">
              <w:rPr>
                <w:rFonts w:ascii="Verdana" w:hAnsi="Verdana" w:cs="Arial"/>
              </w:rPr>
              <w:t>Maksymalny wolumen zlecenia maklerskiego</w:t>
            </w:r>
          </w:p>
        </w:tc>
        <w:tc>
          <w:tcPr>
            <w:tcW w:w="4820" w:type="dxa"/>
          </w:tcPr>
          <w:p w14:paraId="79C38999" w14:textId="77777777" w:rsidR="009F3D20" w:rsidRPr="00920145" w:rsidRDefault="009F3D20" w:rsidP="00A23201">
            <w:pPr>
              <w:pStyle w:val="Tekstpodstawowy21"/>
              <w:spacing w:before="60" w:line="360" w:lineRule="auto"/>
              <w:rPr>
                <w:rFonts w:ascii="Verdana" w:hAnsi="Verdana" w:cs="Arial"/>
              </w:rPr>
            </w:pPr>
            <w:r w:rsidRPr="00920145">
              <w:rPr>
                <w:rFonts w:ascii="Verdana" w:hAnsi="Verdana" w:cs="Arial"/>
              </w:rPr>
              <w:t>10.000 instrumentów</w:t>
            </w:r>
          </w:p>
        </w:tc>
      </w:tr>
      <w:tr w:rsidR="009F3D20" w:rsidRPr="00920145" w14:paraId="09CADC0C" w14:textId="77777777" w:rsidTr="003772D5">
        <w:tc>
          <w:tcPr>
            <w:tcW w:w="3402" w:type="dxa"/>
          </w:tcPr>
          <w:p w14:paraId="7AFD5029" w14:textId="77777777" w:rsidR="009F3D20" w:rsidRPr="00920145" w:rsidRDefault="009F3D20" w:rsidP="00A23201">
            <w:pPr>
              <w:pStyle w:val="Tekstpodstawowy21"/>
              <w:spacing w:before="60" w:line="360" w:lineRule="auto"/>
              <w:jc w:val="left"/>
              <w:rPr>
                <w:rFonts w:ascii="Verdana" w:hAnsi="Verdana" w:cs="Arial"/>
              </w:rPr>
            </w:pPr>
            <w:r w:rsidRPr="00920145">
              <w:rPr>
                <w:rFonts w:ascii="Verdana" w:hAnsi="Verdana" w:cs="Arial"/>
              </w:rPr>
              <w:t>Wysokość statycznych ograniczeń wahań kursów</w:t>
            </w:r>
          </w:p>
        </w:tc>
        <w:tc>
          <w:tcPr>
            <w:tcW w:w="4820" w:type="dxa"/>
          </w:tcPr>
          <w:p w14:paraId="62F91C98" w14:textId="77777777" w:rsidR="009F3D20" w:rsidRPr="00920145" w:rsidRDefault="009F3D20" w:rsidP="00A23201">
            <w:pPr>
              <w:pStyle w:val="Tekstpodstawowy21"/>
              <w:spacing w:before="60" w:line="360" w:lineRule="auto"/>
              <w:rPr>
                <w:rFonts w:ascii="Verdana" w:hAnsi="Verdana" w:cs="Arial"/>
              </w:rPr>
            </w:pPr>
            <w:r w:rsidRPr="00920145">
              <w:rPr>
                <w:rFonts w:ascii="Verdana" w:hAnsi="Verdana" w:cs="Arial"/>
              </w:rPr>
              <w:t>6,0% od kursu odniesienia</w:t>
            </w:r>
          </w:p>
        </w:tc>
      </w:tr>
      <w:tr w:rsidR="009F3D20" w:rsidRPr="00920145" w14:paraId="42529D72" w14:textId="77777777" w:rsidTr="003772D5">
        <w:tc>
          <w:tcPr>
            <w:tcW w:w="3402" w:type="dxa"/>
          </w:tcPr>
          <w:p w14:paraId="46687041" w14:textId="77777777" w:rsidR="009F3D20" w:rsidRPr="00920145" w:rsidRDefault="009F3D20" w:rsidP="00A23201">
            <w:pPr>
              <w:pStyle w:val="Tekstpodstawowy21"/>
              <w:spacing w:before="60" w:line="360" w:lineRule="auto"/>
              <w:jc w:val="left"/>
              <w:rPr>
                <w:rFonts w:ascii="Verdana" w:hAnsi="Verdana" w:cs="Arial"/>
              </w:rPr>
            </w:pPr>
            <w:r w:rsidRPr="00920145">
              <w:rPr>
                <w:rFonts w:ascii="Verdana" w:hAnsi="Verdana" w:cs="Arial"/>
              </w:rPr>
              <w:t>Zmiana statycznych ograniczeń wahań kursów</w:t>
            </w:r>
          </w:p>
        </w:tc>
        <w:tc>
          <w:tcPr>
            <w:tcW w:w="4820" w:type="dxa"/>
          </w:tcPr>
          <w:p w14:paraId="2FA75AC9" w14:textId="10082A31" w:rsidR="009F3D20" w:rsidRPr="00920145" w:rsidRDefault="009F3D20" w:rsidP="00A23201">
            <w:pPr>
              <w:pStyle w:val="Tekstpodstawowy21"/>
              <w:spacing w:before="60" w:line="360" w:lineRule="auto"/>
              <w:rPr>
                <w:rFonts w:ascii="Verdana" w:hAnsi="Verdana" w:cs="Arial"/>
              </w:rPr>
            </w:pPr>
            <w:r w:rsidRPr="00920145">
              <w:rPr>
                <w:rFonts w:ascii="Verdana" w:hAnsi="Verdana" w:cs="Arial"/>
              </w:rPr>
              <w:t>Możliwa, pod warunkiem uzyskania potwierdzenia z KDPW_CCP S.A. o uzupełnieniu przez uczestników rozliczających depozytów zabezpieczających do wymaganego przez ten podmiot poziomu lub podjęcia przez KDPW_CCP S.A. innej decyzji umożliwiającej obrót.</w:t>
            </w:r>
          </w:p>
        </w:tc>
      </w:tr>
      <w:tr w:rsidR="009F3D20" w:rsidRPr="00920145" w14:paraId="22D467CB" w14:textId="77777777" w:rsidTr="003772D5">
        <w:trPr>
          <w:trHeight w:val="424"/>
        </w:trPr>
        <w:tc>
          <w:tcPr>
            <w:tcW w:w="3402" w:type="dxa"/>
          </w:tcPr>
          <w:p w14:paraId="766F02BD" w14:textId="77777777" w:rsidR="009F3D20" w:rsidRPr="00920145" w:rsidRDefault="009F3D20" w:rsidP="00A23201">
            <w:pPr>
              <w:pStyle w:val="Tekstpodstawowy21"/>
              <w:spacing w:line="360" w:lineRule="auto"/>
              <w:jc w:val="left"/>
              <w:rPr>
                <w:rFonts w:ascii="Verdana" w:hAnsi="Verdana" w:cs="Arial"/>
              </w:rPr>
            </w:pPr>
            <w:r w:rsidRPr="00920145">
              <w:rPr>
                <w:rFonts w:ascii="Verdana" w:hAnsi="Verdana" w:cs="Arial"/>
              </w:rPr>
              <w:t xml:space="preserve">Kurs odniesienia dla </w:t>
            </w:r>
            <w:r w:rsidRPr="00920145">
              <w:rPr>
                <w:rFonts w:ascii="Verdana" w:hAnsi="Verdana" w:cs="Arial"/>
              </w:rPr>
              <w:br/>
              <w:t>kursu otwarcia, kursu transakcyjnego i kursu zamknięcia</w:t>
            </w:r>
          </w:p>
          <w:p w14:paraId="1BC9152F" w14:textId="77777777" w:rsidR="009F3D20" w:rsidRPr="00920145" w:rsidRDefault="009F3D20" w:rsidP="00A23201">
            <w:pPr>
              <w:pStyle w:val="Tekstpodstawowy21"/>
              <w:spacing w:before="60" w:line="360" w:lineRule="auto"/>
              <w:jc w:val="left"/>
              <w:rPr>
                <w:rFonts w:ascii="Verdana" w:hAnsi="Verdana" w:cs="Arial"/>
              </w:rPr>
            </w:pPr>
            <w:r w:rsidRPr="00920145">
              <w:rPr>
                <w:rFonts w:ascii="Verdana" w:hAnsi="Verdana" w:cs="Arial"/>
              </w:rPr>
              <w:t xml:space="preserve"> - dla statycznych ograniczeń wahań kursów</w:t>
            </w:r>
          </w:p>
          <w:p w14:paraId="0C3E5DC1" w14:textId="77777777" w:rsidR="009F3D20" w:rsidRPr="00920145" w:rsidRDefault="009F3D20" w:rsidP="00A23201">
            <w:pPr>
              <w:pStyle w:val="Tekstpodstawowy21"/>
              <w:spacing w:before="60" w:line="360" w:lineRule="auto"/>
              <w:jc w:val="left"/>
              <w:rPr>
                <w:rFonts w:ascii="Verdana" w:hAnsi="Verdana" w:cs="Arial"/>
              </w:rPr>
            </w:pPr>
          </w:p>
        </w:tc>
        <w:tc>
          <w:tcPr>
            <w:tcW w:w="4820" w:type="dxa"/>
          </w:tcPr>
          <w:p w14:paraId="4F9F78FF" w14:textId="77777777" w:rsidR="009F3D20" w:rsidRPr="00920145" w:rsidRDefault="009F3D20" w:rsidP="00A23201">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120" w:line="360" w:lineRule="auto"/>
              <w:rPr>
                <w:rFonts w:ascii="Verdana" w:hAnsi="Verdana" w:cs="Arial"/>
                <w:sz w:val="20"/>
                <w:szCs w:val="20"/>
              </w:rPr>
            </w:pPr>
            <w:r w:rsidRPr="00920145">
              <w:rPr>
                <w:rFonts w:ascii="Verdana" w:hAnsi="Verdana" w:cs="Arial"/>
                <w:sz w:val="20"/>
                <w:szCs w:val="20"/>
              </w:rPr>
              <w:t>Ostatni dzienny kurs rozliczeniowy dla danej serii kontraktów, a w przypadku jego braku kurs teoretyczny wyznaczony zgodnie z następującą regułą, z zastrzeżeniem że kurs ten  wyznacza się z dokładnością równą krokowi notowania, jednak kurs ten nie może być niższy niż 0,01 jednostki waluty notowania:</w:t>
            </w:r>
          </w:p>
          <w:p w14:paraId="33F1BE35" w14:textId="77777777" w:rsidR="009F3D20" w:rsidRPr="00920145" w:rsidRDefault="009F3D20" w:rsidP="00F8716B">
            <w:pPr>
              <w:widowControl w:val="0"/>
              <w:numPr>
                <w:ilvl w:val="1"/>
                <w:numId w:val="62"/>
              </w:numPr>
              <w:tabs>
                <w:tab w:val="clear" w:pos="720"/>
                <w:tab w:val="num" w:pos="295"/>
              </w:tabs>
              <w:adjustRightInd w:val="0"/>
              <w:spacing w:before="60" w:after="120" w:line="360" w:lineRule="auto"/>
              <w:ind w:left="360"/>
              <w:jc w:val="both"/>
              <w:textAlignment w:val="baseline"/>
              <w:rPr>
                <w:rFonts w:ascii="Verdana" w:hAnsi="Verdana" w:cs="Arial"/>
                <w:sz w:val="20"/>
                <w:szCs w:val="20"/>
              </w:rPr>
            </w:pPr>
            <w:r w:rsidRPr="00920145">
              <w:rPr>
                <w:rFonts w:ascii="Verdana" w:hAnsi="Verdana" w:cs="Arial"/>
                <w:sz w:val="20"/>
                <w:szCs w:val="20"/>
              </w:rPr>
              <w:t>dla kontraktu terminowego na kurs USD</w:t>
            </w:r>
          </w:p>
          <w:p w14:paraId="5C1ABC7C" w14:textId="77777777" w:rsidR="009F3D20" w:rsidRPr="00920145" w:rsidRDefault="009F3D20" w:rsidP="00A23201">
            <w:pPr>
              <w:tabs>
                <w:tab w:val="num" w:pos="295"/>
              </w:tabs>
              <w:spacing w:before="60" w:after="120" w:line="360" w:lineRule="auto"/>
              <w:ind w:left="360" w:hanging="360"/>
              <w:rPr>
                <w:rFonts w:ascii="Verdana" w:hAnsi="Verdana" w:cs="Arial"/>
                <w:sz w:val="20"/>
                <w:szCs w:val="20"/>
              </w:rPr>
            </w:pPr>
            <w:r w:rsidRPr="00920145">
              <w:rPr>
                <w:rFonts w:ascii="Verdana" w:hAnsi="Verdana" w:cs="Arial"/>
                <w:position w:val="-28"/>
                <w:sz w:val="20"/>
                <w:szCs w:val="20"/>
              </w:rPr>
              <w:object w:dxaOrig="3340" w:dyaOrig="660" w14:anchorId="79F2803B">
                <v:shape id="_x0000_i1027" type="#_x0000_t75" style="width:127.5pt;height:25.5pt" o:ole="" fillcolor="window">
                  <v:imagedata r:id="rId13" o:title=""/>
                </v:shape>
                <o:OLEObject Type="Embed" ProgID="Equation.3" ShapeID="_x0000_i1027" DrawAspect="Content" ObjectID="_1810630011" r:id="rId14"/>
              </w:object>
            </w:r>
          </w:p>
          <w:p w14:paraId="08BDDAF5" w14:textId="77777777" w:rsidR="009F3D20" w:rsidRPr="00920145" w:rsidRDefault="009F3D20" w:rsidP="00F8716B">
            <w:pPr>
              <w:widowControl w:val="0"/>
              <w:numPr>
                <w:ilvl w:val="1"/>
                <w:numId w:val="62"/>
              </w:numPr>
              <w:tabs>
                <w:tab w:val="clear" w:pos="720"/>
                <w:tab w:val="num" w:pos="295"/>
              </w:tabs>
              <w:adjustRightInd w:val="0"/>
              <w:spacing w:before="60" w:after="120" w:line="360" w:lineRule="auto"/>
              <w:ind w:left="360"/>
              <w:jc w:val="both"/>
              <w:textAlignment w:val="baseline"/>
              <w:rPr>
                <w:rFonts w:ascii="Verdana" w:hAnsi="Verdana" w:cs="Arial"/>
                <w:sz w:val="20"/>
                <w:szCs w:val="20"/>
              </w:rPr>
            </w:pPr>
            <w:r w:rsidRPr="00920145">
              <w:rPr>
                <w:rFonts w:ascii="Verdana" w:hAnsi="Verdana" w:cs="Arial"/>
                <w:sz w:val="20"/>
                <w:szCs w:val="20"/>
              </w:rPr>
              <w:lastRenderedPageBreak/>
              <w:t>dla kontraktu terminowego na kurs EURO</w:t>
            </w:r>
          </w:p>
          <w:p w14:paraId="7685B0C8" w14:textId="77777777" w:rsidR="009F3D20" w:rsidRPr="00920145" w:rsidRDefault="009F3D20" w:rsidP="00A23201">
            <w:pPr>
              <w:tabs>
                <w:tab w:val="num" w:pos="295"/>
              </w:tabs>
              <w:spacing w:before="60" w:after="120" w:line="360" w:lineRule="auto"/>
              <w:ind w:left="360" w:hanging="360"/>
              <w:rPr>
                <w:rFonts w:ascii="Verdana" w:hAnsi="Verdana" w:cs="Arial"/>
                <w:i/>
                <w:sz w:val="20"/>
                <w:szCs w:val="20"/>
              </w:rPr>
            </w:pPr>
            <w:r w:rsidRPr="00920145">
              <w:rPr>
                <w:rFonts w:ascii="Verdana" w:hAnsi="Verdana" w:cs="Arial"/>
                <w:i/>
                <w:position w:val="-28"/>
                <w:sz w:val="20"/>
                <w:szCs w:val="20"/>
              </w:rPr>
              <w:object w:dxaOrig="3320" w:dyaOrig="660" w14:anchorId="672E5024">
                <v:shape id="_x0000_i1028" type="#_x0000_t75" style="width:133.5pt;height:24.75pt" o:ole="" fillcolor="window">
                  <v:imagedata r:id="rId15" o:title=""/>
                </v:shape>
                <o:OLEObject Type="Embed" ProgID="Equation.3" ShapeID="_x0000_i1028" DrawAspect="Content" ObjectID="_1810630012" r:id="rId16"/>
              </w:object>
            </w:r>
          </w:p>
          <w:p w14:paraId="01DBE950" w14:textId="77777777" w:rsidR="009F3D20" w:rsidRPr="00920145" w:rsidRDefault="009F3D20" w:rsidP="00F8716B">
            <w:pPr>
              <w:numPr>
                <w:ilvl w:val="1"/>
                <w:numId w:val="62"/>
              </w:numPr>
              <w:tabs>
                <w:tab w:val="clear" w:pos="720"/>
                <w:tab w:val="num" w:pos="295"/>
              </w:tabs>
              <w:spacing w:before="60" w:after="120" w:line="360" w:lineRule="auto"/>
              <w:ind w:left="360"/>
              <w:jc w:val="both"/>
              <w:rPr>
                <w:rFonts w:ascii="Verdana" w:hAnsi="Verdana" w:cs="Arial"/>
                <w:sz w:val="20"/>
                <w:szCs w:val="20"/>
              </w:rPr>
            </w:pPr>
            <w:r w:rsidRPr="00920145">
              <w:rPr>
                <w:rFonts w:ascii="Verdana" w:hAnsi="Verdana" w:cs="Arial"/>
                <w:sz w:val="20"/>
                <w:szCs w:val="20"/>
              </w:rPr>
              <w:t>dla kontraktu terminowego na kurs GBP</w:t>
            </w:r>
          </w:p>
          <w:p w14:paraId="6C9250E4" w14:textId="77777777" w:rsidR="009F3D20" w:rsidRPr="00920145" w:rsidRDefault="009F3D20" w:rsidP="00A23201">
            <w:pPr>
              <w:tabs>
                <w:tab w:val="num" w:pos="295"/>
              </w:tabs>
              <w:spacing w:before="60" w:after="120" w:line="360" w:lineRule="auto"/>
              <w:ind w:left="360" w:hanging="360"/>
              <w:rPr>
                <w:rFonts w:ascii="Verdana" w:hAnsi="Verdana" w:cs="Arial"/>
                <w:sz w:val="20"/>
                <w:szCs w:val="20"/>
              </w:rPr>
            </w:pPr>
            <w:r w:rsidRPr="00920145">
              <w:rPr>
                <w:rFonts w:ascii="Verdana" w:hAnsi="Verdana" w:cs="Arial"/>
                <w:position w:val="-28"/>
                <w:sz w:val="20"/>
                <w:szCs w:val="20"/>
              </w:rPr>
              <w:object w:dxaOrig="3340" w:dyaOrig="660" w14:anchorId="76C566E4">
                <v:shape id="_x0000_i1029" type="#_x0000_t75" style="width:125.25pt;height:24.75pt" o:ole="" fillcolor="window">
                  <v:imagedata r:id="rId17" o:title=""/>
                </v:shape>
                <o:OLEObject Type="Embed" ProgID="Equation.3" ShapeID="_x0000_i1029" DrawAspect="Content" ObjectID="_1810630013" r:id="rId18"/>
              </w:object>
            </w:r>
          </w:p>
          <w:p w14:paraId="443628D3" w14:textId="77777777" w:rsidR="009F3D20" w:rsidRPr="00920145" w:rsidRDefault="009F3D20" w:rsidP="00F8716B">
            <w:pPr>
              <w:numPr>
                <w:ilvl w:val="1"/>
                <w:numId w:val="62"/>
              </w:numPr>
              <w:tabs>
                <w:tab w:val="clear" w:pos="720"/>
                <w:tab w:val="num" w:pos="295"/>
              </w:tabs>
              <w:spacing w:before="60" w:after="120" w:line="360" w:lineRule="auto"/>
              <w:ind w:left="360"/>
              <w:jc w:val="both"/>
              <w:rPr>
                <w:rFonts w:ascii="Verdana" w:hAnsi="Verdana" w:cs="Arial"/>
                <w:sz w:val="20"/>
                <w:szCs w:val="20"/>
              </w:rPr>
            </w:pPr>
            <w:r w:rsidRPr="00920145">
              <w:rPr>
                <w:rFonts w:ascii="Verdana" w:hAnsi="Verdana" w:cs="Arial"/>
                <w:sz w:val="20"/>
                <w:szCs w:val="20"/>
              </w:rPr>
              <w:t>dla kontraktu terminowego na kurs CHF</w:t>
            </w:r>
          </w:p>
          <w:p w14:paraId="6CC90A14" w14:textId="77777777" w:rsidR="009F3D20" w:rsidRPr="00920145" w:rsidRDefault="009F3D20" w:rsidP="00A23201">
            <w:pPr>
              <w:tabs>
                <w:tab w:val="num" w:pos="153"/>
              </w:tabs>
              <w:spacing w:before="60" w:after="120" w:line="360" w:lineRule="auto"/>
              <w:ind w:left="360" w:hanging="360"/>
              <w:rPr>
                <w:rFonts w:ascii="Verdana" w:hAnsi="Verdana" w:cs="Arial"/>
                <w:sz w:val="20"/>
                <w:szCs w:val="20"/>
              </w:rPr>
            </w:pPr>
            <w:r w:rsidRPr="00920145">
              <w:rPr>
                <w:rFonts w:ascii="Verdana" w:hAnsi="Verdana" w:cs="Arial"/>
                <w:position w:val="-28"/>
                <w:sz w:val="20"/>
                <w:szCs w:val="20"/>
              </w:rPr>
              <w:object w:dxaOrig="3340" w:dyaOrig="660" w14:anchorId="0E0935A9">
                <v:shape id="_x0000_i1030" type="#_x0000_t75" style="width:127.5pt;height:25.5pt" o:ole="" fillcolor="window">
                  <v:imagedata r:id="rId19" o:title=""/>
                </v:shape>
                <o:OLEObject Type="Embed" ProgID="Equation.3" ShapeID="_x0000_i1030" DrawAspect="Content" ObjectID="_1810630014" r:id="rId20"/>
              </w:object>
            </w:r>
          </w:p>
          <w:p w14:paraId="7794A2E3" w14:textId="77777777" w:rsidR="009F3D20" w:rsidRPr="00920145" w:rsidRDefault="009F3D20" w:rsidP="00A23201">
            <w:pPr>
              <w:spacing w:before="60" w:after="120" w:line="360" w:lineRule="auto"/>
              <w:rPr>
                <w:rFonts w:ascii="Verdana" w:hAnsi="Verdana" w:cs="Arial"/>
                <w:sz w:val="20"/>
                <w:szCs w:val="20"/>
              </w:rPr>
            </w:pPr>
            <w:r w:rsidRPr="00920145">
              <w:rPr>
                <w:rFonts w:ascii="Verdana" w:hAnsi="Verdana" w:cs="Arial"/>
                <w:sz w:val="20"/>
                <w:szCs w:val="20"/>
              </w:rPr>
              <w:t>gdzie:</w:t>
            </w:r>
          </w:p>
          <w:p w14:paraId="1C39E7F6" w14:textId="77777777" w:rsidR="009F3D20" w:rsidRPr="00920145" w:rsidRDefault="009F3D20" w:rsidP="00F8716B">
            <w:pPr>
              <w:pStyle w:val="Tekstpodstawowy21"/>
              <w:widowControl w:val="0"/>
              <w:numPr>
                <w:ilvl w:val="0"/>
                <w:numId w:val="63"/>
              </w:numPr>
              <w:adjustRightInd w:val="0"/>
              <w:spacing w:before="60" w:line="360" w:lineRule="auto"/>
              <w:ind w:left="153" w:hanging="153"/>
              <w:textAlignment w:val="baseline"/>
              <w:rPr>
                <w:rFonts w:ascii="Verdana" w:hAnsi="Verdana" w:cs="Arial"/>
              </w:rPr>
            </w:pPr>
            <w:r w:rsidRPr="00920145">
              <w:rPr>
                <w:rFonts w:ascii="Verdana" w:hAnsi="Verdana" w:cs="Arial"/>
              </w:rPr>
              <w:t>F - kurs odniesienia,</w:t>
            </w:r>
          </w:p>
          <w:p w14:paraId="748487D4" w14:textId="77777777" w:rsidR="009F3D20" w:rsidRPr="00920145" w:rsidRDefault="009F3D20" w:rsidP="00F8716B">
            <w:pPr>
              <w:pStyle w:val="Tekstpodstawowy21"/>
              <w:widowControl w:val="0"/>
              <w:numPr>
                <w:ilvl w:val="0"/>
                <w:numId w:val="63"/>
              </w:numPr>
              <w:adjustRightInd w:val="0"/>
              <w:spacing w:before="60" w:line="360" w:lineRule="auto"/>
              <w:ind w:left="153" w:hanging="153"/>
              <w:textAlignment w:val="baseline"/>
              <w:rPr>
                <w:rFonts w:ascii="Verdana" w:hAnsi="Verdana" w:cs="Arial"/>
              </w:rPr>
            </w:pPr>
            <w:r w:rsidRPr="00920145">
              <w:rPr>
                <w:rFonts w:ascii="Verdana" w:hAnsi="Verdana" w:cs="Arial"/>
              </w:rPr>
              <w:t xml:space="preserve">S - kurs średni waluty, której kurs jest instrumentem bazowym wyznaczony na </w:t>
            </w:r>
            <w:proofErr w:type="spellStart"/>
            <w:r w:rsidRPr="00920145">
              <w:rPr>
                <w:rFonts w:ascii="Verdana" w:hAnsi="Verdana" w:cs="Arial"/>
              </w:rPr>
              <w:t>fixingu</w:t>
            </w:r>
            <w:proofErr w:type="spellEnd"/>
            <w:r w:rsidRPr="00920145">
              <w:rPr>
                <w:rFonts w:ascii="Verdana" w:hAnsi="Verdana" w:cs="Arial"/>
              </w:rPr>
              <w:t xml:space="preserve"> NBP w dniu roboczym poprzedzającym sesję, na którą jest wyznaczany kurs odniesienia,</w:t>
            </w:r>
          </w:p>
          <w:p w14:paraId="1B5BCA73" w14:textId="77777777" w:rsidR="009F3D20" w:rsidRPr="00920145" w:rsidRDefault="009F3D20" w:rsidP="00F8716B">
            <w:pPr>
              <w:pStyle w:val="Tekstpodstawowy21"/>
              <w:widowControl w:val="0"/>
              <w:numPr>
                <w:ilvl w:val="0"/>
                <w:numId w:val="63"/>
              </w:numPr>
              <w:adjustRightInd w:val="0"/>
              <w:spacing w:before="60" w:line="360" w:lineRule="auto"/>
              <w:ind w:left="153" w:hanging="153"/>
              <w:textAlignment w:val="baseline"/>
              <w:rPr>
                <w:rFonts w:ascii="Verdana" w:hAnsi="Verdana" w:cs="Arial"/>
              </w:rPr>
            </w:pPr>
            <w:r w:rsidRPr="00920145">
              <w:rPr>
                <w:rFonts w:ascii="Verdana" w:hAnsi="Verdana" w:cs="Arial"/>
              </w:rPr>
              <w:t>n - liczba dni od dnia ostatniej sesji poprzedzającej sesję, na którą wyznaczany jest kurs odniesienia do dnia wygaśnięcia kontraktu,</w:t>
            </w:r>
          </w:p>
          <w:p w14:paraId="2B727020" w14:textId="77777777" w:rsidR="009F3D20" w:rsidRPr="00920145" w:rsidRDefault="009F3D20" w:rsidP="00F8716B">
            <w:pPr>
              <w:pStyle w:val="Tekstpodstawowy21"/>
              <w:widowControl w:val="0"/>
              <w:numPr>
                <w:ilvl w:val="0"/>
                <w:numId w:val="63"/>
              </w:numPr>
              <w:adjustRightInd w:val="0"/>
              <w:spacing w:before="60" w:line="360" w:lineRule="auto"/>
              <w:ind w:left="153" w:hanging="153"/>
              <w:textAlignment w:val="baseline"/>
              <w:rPr>
                <w:rFonts w:ascii="Verdana" w:hAnsi="Verdana" w:cs="Arial"/>
              </w:rPr>
            </w:pPr>
            <w:r w:rsidRPr="00920145">
              <w:rPr>
                <w:rFonts w:ascii="Verdana" w:hAnsi="Verdana" w:cs="Arial"/>
              </w:rPr>
              <w:t>WIBOR (PLN) – wskaźnik referencyjny wyznaczony przez GPW Benchmark S.A. zgodnie z Regulaminem Stawek Referencyjnych WIBID i WIBOR,</w:t>
            </w:r>
          </w:p>
          <w:p w14:paraId="60444700" w14:textId="77777777" w:rsidR="009F3D20" w:rsidRPr="00920145" w:rsidRDefault="009F3D20" w:rsidP="00F8716B">
            <w:pPr>
              <w:pStyle w:val="Tekstpodstawowy21"/>
              <w:widowControl w:val="0"/>
              <w:numPr>
                <w:ilvl w:val="0"/>
                <w:numId w:val="63"/>
              </w:numPr>
              <w:adjustRightInd w:val="0"/>
              <w:spacing w:before="60" w:line="360" w:lineRule="auto"/>
              <w:ind w:left="153" w:hanging="153"/>
              <w:textAlignment w:val="baseline"/>
              <w:rPr>
                <w:rFonts w:ascii="Verdana" w:hAnsi="Verdana" w:cs="Arial"/>
              </w:rPr>
            </w:pPr>
            <w:r w:rsidRPr="00920145">
              <w:rPr>
                <w:rFonts w:ascii="Verdana" w:hAnsi="Verdana" w:cs="Arial"/>
              </w:rPr>
              <w:t xml:space="preserve">R (USD, EUR, GBP, CHF) - stopy procentowe określane przez Giełdę, z zastosowaniem oficjalnych stóp procentowych publikowanych przez odpowiednie banki centralne: Federal </w:t>
            </w:r>
            <w:proofErr w:type="spellStart"/>
            <w:r w:rsidRPr="00920145">
              <w:rPr>
                <w:rFonts w:ascii="Verdana" w:hAnsi="Verdana" w:cs="Arial"/>
              </w:rPr>
              <w:t>Funds</w:t>
            </w:r>
            <w:proofErr w:type="spellEnd"/>
            <w:r w:rsidRPr="00920145">
              <w:rPr>
                <w:rFonts w:ascii="Verdana" w:hAnsi="Verdana" w:cs="Arial"/>
              </w:rPr>
              <w:t xml:space="preserve"> </w:t>
            </w:r>
            <w:proofErr w:type="spellStart"/>
            <w:r w:rsidRPr="00920145">
              <w:rPr>
                <w:rFonts w:ascii="Verdana" w:hAnsi="Verdana" w:cs="Arial"/>
              </w:rPr>
              <w:t>Rate</w:t>
            </w:r>
            <w:proofErr w:type="spellEnd"/>
            <w:r w:rsidRPr="00920145">
              <w:rPr>
                <w:rFonts w:ascii="Verdana" w:hAnsi="Verdana" w:cs="Arial"/>
              </w:rPr>
              <w:t xml:space="preserve"> publikowanej przez Federal </w:t>
            </w:r>
            <w:proofErr w:type="spellStart"/>
            <w:r w:rsidRPr="00920145">
              <w:rPr>
                <w:rFonts w:ascii="Verdana" w:hAnsi="Verdana" w:cs="Arial"/>
              </w:rPr>
              <w:t>Reserve</w:t>
            </w:r>
            <w:proofErr w:type="spellEnd"/>
            <w:r w:rsidRPr="00920145">
              <w:rPr>
                <w:rFonts w:ascii="Verdana" w:hAnsi="Verdana" w:cs="Arial"/>
              </w:rPr>
              <w:t xml:space="preserve"> System (FED), </w:t>
            </w:r>
            <w:proofErr w:type="spellStart"/>
            <w:r w:rsidRPr="00920145">
              <w:rPr>
                <w:rFonts w:ascii="Verdana" w:hAnsi="Verdana" w:cs="Arial"/>
              </w:rPr>
              <w:t>Refinancing</w:t>
            </w:r>
            <w:proofErr w:type="spellEnd"/>
            <w:r w:rsidRPr="00920145">
              <w:rPr>
                <w:rFonts w:ascii="Verdana" w:hAnsi="Verdana" w:cs="Arial"/>
              </w:rPr>
              <w:t xml:space="preserve"> </w:t>
            </w:r>
            <w:proofErr w:type="spellStart"/>
            <w:r w:rsidRPr="00920145">
              <w:rPr>
                <w:rFonts w:ascii="Verdana" w:hAnsi="Verdana" w:cs="Arial"/>
              </w:rPr>
              <w:t>Rate</w:t>
            </w:r>
            <w:proofErr w:type="spellEnd"/>
            <w:r w:rsidRPr="00920145">
              <w:rPr>
                <w:rFonts w:ascii="Verdana" w:hAnsi="Verdana" w:cs="Arial"/>
              </w:rPr>
              <w:t xml:space="preserve"> publikowanej przez </w:t>
            </w:r>
            <w:proofErr w:type="spellStart"/>
            <w:r w:rsidRPr="00920145">
              <w:rPr>
                <w:rFonts w:ascii="Verdana" w:hAnsi="Verdana" w:cs="Arial"/>
              </w:rPr>
              <w:t>European</w:t>
            </w:r>
            <w:proofErr w:type="spellEnd"/>
            <w:r w:rsidRPr="00920145">
              <w:rPr>
                <w:rFonts w:ascii="Verdana" w:hAnsi="Verdana" w:cs="Arial"/>
              </w:rPr>
              <w:t xml:space="preserve"> Central Bank (ECB), </w:t>
            </w:r>
            <w:proofErr w:type="spellStart"/>
            <w:r w:rsidRPr="00920145">
              <w:rPr>
                <w:rFonts w:ascii="Verdana" w:hAnsi="Verdana" w:cs="Arial"/>
              </w:rPr>
              <w:t>Official</w:t>
            </w:r>
            <w:proofErr w:type="spellEnd"/>
            <w:r w:rsidRPr="00920145">
              <w:rPr>
                <w:rFonts w:ascii="Verdana" w:hAnsi="Verdana" w:cs="Arial"/>
              </w:rPr>
              <w:t xml:space="preserve"> Bank </w:t>
            </w:r>
            <w:proofErr w:type="spellStart"/>
            <w:r w:rsidRPr="00920145">
              <w:rPr>
                <w:rFonts w:ascii="Verdana" w:hAnsi="Verdana" w:cs="Arial"/>
              </w:rPr>
              <w:t>Rate</w:t>
            </w:r>
            <w:proofErr w:type="spellEnd"/>
            <w:r w:rsidRPr="00920145">
              <w:rPr>
                <w:rFonts w:ascii="Verdana" w:hAnsi="Verdana" w:cs="Arial"/>
              </w:rPr>
              <w:t xml:space="preserve"> publikowanej przez Bank of England (</w:t>
            </w:r>
            <w:proofErr w:type="spellStart"/>
            <w:r w:rsidRPr="00920145">
              <w:rPr>
                <w:rFonts w:ascii="Verdana" w:hAnsi="Verdana" w:cs="Arial"/>
              </w:rPr>
              <w:t>BoE</w:t>
            </w:r>
            <w:proofErr w:type="spellEnd"/>
            <w:r w:rsidRPr="00920145">
              <w:rPr>
                <w:rFonts w:ascii="Verdana" w:hAnsi="Verdana" w:cs="Arial"/>
              </w:rPr>
              <w:t xml:space="preserve">), Reference </w:t>
            </w:r>
            <w:proofErr w:type="spellStart"/>
            <w:r w:rsidRPr="00920145">
              <w:rPr>
                <w:rFonts w:ascii="Verdana" w:hAnsi="Verdana" w:cs="Arial"/>
              </w:rPr>
              <w:t>Interest</w:t>
            </w:r>
            <w:proofErr w:type="spellEnd"/>
            <w:r w:rsidRPr="00920145">
              <w:rPr>
                <w:rFonts w:ascii="Verdana" w:hAnsi="Verdana" w:cs="Arial"/>
              </w:rPr>
              <w:t xml:space="preserve"> </w:t>
            </w:r>
            <w:proofErr w:type="spellStart"/>
            <w:r w:rsidRPr="00920145">
              <w:rPr>
                <w:rFonts w:ascii="Verdana" w:hAnsi="Verdana" w:cs="Arial"/>
              </w:rPr>
              <w:t>Rate</w:t>
            </w:r>
            <w:proofErr w:type="spellEnd"/>
            <w:r w:rsidRPr="00920145">
              <w:rPr>
                <w:rFonts w:ascii="Verdana" w:hAnsi="Verdana" w:cs="Arial"/>
              </w:rPr>
              <w:t xml:space="preserve"> publikowanej przez Swiss </w:t>
            </w:r>
            <w:proofErr w:type="spellStart"/>
            <w:r w:rsidRPr="00920145">
              <w:rPr>
                <w:rFonts w:ascii="Verdana" w:hAnsi="Verdana" w:cs="Arial"/>
              </w:rPr>
              <w:t>National</w:t>
            </w:r>
            <w:proofErr w:type="spellEnd"/>
            <w:r w:rsidRPr="00920145">
              <w:rPr>
                <w:rFonts w:ascii="Verdana" w:hAnsi="Verdana" w:cs="Arial"/>
              </w:rPr>
              <w:t xml:space="preserve"> Bank (SNB).</w:t>
            </w:r>
          </w:p>
          <w:p w14:paraId="3664C0DD" w14:textId="77777777" w:rsidR="009F3D20" w:rsidRPr="00920145" w:rsidRDefault="009F3D20" w:rsidP="00A23201">
            <w:pPr>
              <w:pStyle w:val="Tekstpodstawowy21"/>
              <w:spacing w:before="60" w:line="360" w:lineRule="auto"/>
              <w:ind w:left="10" w:hanging="10"/>
              <w:rPr>
                <w:rFonts w:ascii="Verdana" w:hAnsi="Verdana" w:cs="Arial"/>
              </w:rPr>
            </w:pPr>
            <w:r w:rsidRPr="00920145">
              <w:rPr>
                <w:rFonts w:ascii="Verdana" w:hAnsi="Verdana" w:cs="Arial"/>
              </w:rPr>
              <w:lastRenderedPageBreak/>
              <w:t xml:space="preserve">WIBOR - na podstawie danych z odpowiednich serwisów informacyjnych. </w:t>
            </w:r>
          </w:p>
          <w:p w14:paraId="5247AD69" w14:textId="77777777" w:rsidR="009F3D20" w:rsidRPr="00920145" w:rsidRDefault="009F3D20" w:rsidP="00A23201">
            <w:pPr>
              <w:pStyle w:val="Tekstpodstawowy21"/>
              <w:spacing w:before="60" w:line="360" w:lineRule="auto"/>
              <w:ind w:left="10" w:hanging="10"/>
              <w:rPr>
                <w:rFonts w:ascii="Verdana" w:hAnsi="Verdana" w:cs="Arial"/>
              </w:rPr>
            </w:pPr>
            <w:r w:rsidRPr="00920145">
              <w:rPr>
                <w:rFonts w:ascii="Verdana" w:hAnsi="Verdana" w:cs="Arial"/>
              </w:rPr>
              <w:t>Jeżeli czas do wygaśnięcia serii nie pokrywa się z okresem, dla którego wyznaczana jest stawka WIBOR stosuje się stawkę WIBOR dla najbliższego terminu, dla którego stawka ta jest wyznaczana. Stosowane są stawki 1M (jeden miesiąc), 3M (3 miesiące), 6M (6 miesięcy), 1Y (12 miesięcy).</w:t>
            </w:r>
          </w:p>
        </w:tc>
      </w:tr>
      <w:tr w:rsidR="009F3D20" w:rsidRPr="00920145" w14:paraId="081E330F" w14:textId="77777777" w:rsidTr="003772D5">
        <w:trPr>
          <w:trHeight w:val="53"/>
        </w:trPr>
        <w:tc>
          <w:tcPr>
            <w:tcW w:w="3402" w:type="dxa"/>
          </w:tcPr>
          <w:p w14:paraId="499E97A2" w14:textId="77777777" w:rsidR="009F3D20" w:rsidRPr="00920145" w:rsidRDefault="009F3D20" w:rsidP="00A23201">
            <w:pPr>
              <w:pStyle w:val="Tekstpodstawowy21"/>
              <w:spacing w:before="60" w:line="360" w:lineRule="auto"/>
              <w:jc w:val="left"/>
              <w:rPr>
                <w:rFonts w:ascii="Verdana" w:hAnsi="Verdana" w:cs="Arial"/>
              </w:rPr>
            </w:pPr>
            <w:r w:rsidRPr="00920145">
              <w:rPr>
                <w:rFonts w:ascii="Verdana" w:hAnsi="Verdana" w:cs="Arial"/>
              </w:rPr>
              <w:lastRenderedPageBreak/>
              <w:t>Wysokość dynamicznych ograniczeń wahań kursów</w:t>
            </w:r>
          </w:p>
        </w:tc>
        <w:tc>
          <w:tcPr>
            <w:tcW w:w="4820" w:type="dxa"/>
          </w:tcPr>
          <w:p w14:paraId="642C073A" w14:textId="77777777" w:rsidR="009F3D20" w:rsidRPr="00920145" w:rsidRDefault="009F3D20" w:rsidP="00A23201">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360" w:lineRule="auto"/>
              <w:rPr>
                <w:rFonts w:ascii="Verdana" w:hAnsi="Verdana" w:cs="Arial"/>
                <w:sz w:val="20"/>
                <w:szCs w:val="20"/>
              </w:rPr>
            </w:pPr>
            <w:r w:rsidRPr="00920145">
              <w:rPr>
                <w:rFonts w:ascii="Verdana" w:hAnsi="Verdana" w:cs="Arial"/>
                <w:sz w:val="20"/>
                <w:szCs w:val="20"/>
              </w:rPr>
              <w:t>0,04 zł od kursu odniesienia</w:t>
            </w:r>
          </w:p>
        </w:tc>
      </w:tr>
      <w:tr w:rsidR="009F3D20" w:rsidRPr="00920145" w14:paraId="3C651EB9" w14:textId="77777777" w:rsidTr="003772D5">
        <w:trPr>
          <w:trHeight w:val="53"/>
        </w:trPr>
        <w:tc>
          <w:tcPr>
            <w:tcW w:w="3402" w:type="dxa"/>
          </w:tcPr>
          <w:p w14:paraId="45525CF1" w14:textId="77777777" w:rsidR="009F3D20" w:rsidRPr="00920145" w:rsidRDefault="009F3D20" w:rsidP="00A23201">
            <w:pPr>
              <w:pStyle w:val="Tekstpodstawowy21"/>
              <w:spacing w:before="60" w:line="360" w:lineRule="auto"/>
              <w:jc w:val="left"/>
              <w:rPr>
                <w:rFonts w:ascii="Verdana" w:hAnsi="Verdana" w:cs="Arial"/>
              </w:rPr>
            </w:pPr>
            <w:r w:rsidRPr="00920145">
              <w:rPr>
                <w:rFonts w:ascii="Verdana" w:hAnsi="Verdana" w:cs="Arial"/>
              </w:rPr>
              <w:t xml:space="preserve">Kurs odniesienia dla kursu otwarcia </w:t>
            </w:r>
          </w:p>
          <w:p w14:paraId="03C46CC3" w14:textId="77777777" w:rsidR="009F3D20" w:rsidRPr="00920145" w:rsidRDefault="009F3D20" w:rsidP="00A23201">
            <w:pPr>
              <w:pStyle w:val="Tekstpodstawowy21"/>
              <w:spacing w:before="60" w:line="360" w:lineRule="auto"/>
              <w:jc w:val="left"/>
              <w:rPr>
                <w:rFonts w:ascii="Verdana" w:hAnsi="Verdana" w:cs="Arial"/>
              </w:rPr>
            </w:pPr>
            <w:r w:rsidRPr="00920145">
              <w:rPr>
                <w:rFonts w:ascii="Verdana" w:hAnsi="Verdana" w:cs="Arial"/>
              </w:rPr>
              <w:t xml:space="preserve">-  dla dynamicznych ograniczeń wahań kursów </w:t>
            </w:r>
          </w:p>
        </w:tc>
        <w:tc>
          <w:tcPr>
            <w:tcW w:w="4820" w:type="dxa"/>
          </w:tcPr>
          <w:p w14:paraId="218D14D6" w14:textId="77777777" w:rsidR="009F3D20" w:rsidRPr="00920145" w:rsidRDefault="009F3D20" w:rsidP="00A23201">
            <w:pPr>
              <w:pStyle w:val="Tekstpodstawowy21"/>
              <w:spacing w:before="60" w:line="360" w:lineRule="auto"/>
              <w:jc w:val="left"/>
              <w:rPr>
                <w:rFonts w:ascii="Verdana" w:hAnsi="Verdana" w:cs="Arial"/>
              </w:rPr>
            </w:pPr>
            <w:r w:rsidRPr="00920145">
              <w:rPr>
                <w:rFonts w:ascii="Verdana" w:hAnsi="Verdana" w:cs="Arial"/>
              </w:rPr>
              <w:t>równy kursowi odniesienia dla statycznych ograniczeń wahań kursów</w:t>
            </w:r>
            <w:r w:rsidRPr="00920145" w:rsidDel="00645E33">
              <w:rPr>
                <w:rFonts w:ascii="Verdana" w:hAnsi="Verdana" w:cs="Arial"/>
              </w:rPr>
              <w:t xml:space="preserve"> </w:t>
            </w:r>
          </w:p>
        </w:tc>
      </w:tr>
      <w:tr w:rsidR="009F3D20" w:rsidRPr="00920145" w14:paraId="5F1013E3" w14:textId="77777777" w:rsidTr="003772D5">
        <w:trPr>
          <w:trHeight w:val="53"/>
        </w:trPr>
        <w:tc>
          <w:tcPr>
            <w:tcW w:w="3402" w:type="dxa"/>
          </w:tcPr>
          <w:p w14:paraId="0E5875E7" w14:textId="77777777" w:rsidR="009F3D20" w:rsidRPr="00920145" w:rsidRDefault="009F3D20" w:rsidP="00A23201">
            <w:pPr>
              <w:pStyle w:val="Tekstpodstawowy21"/>
              <w:spacing w:before="60" w:line="360" w:lineRule="auto"/>
              <w:jc w:val="left"/>
              <w:rPr>
                <w:rFonts w:ascii="Verdana" w:hAnsi="Verdana" w:cs="Arial"/>
              </w:rPr>
            </w:pPr>
            <w:r w:rsidRPr="00920145">
              <w:rPr>
                <w:rFonts w:ascii="Verdana" w:hAnsi="Verdana" w:cs="Arial"/>
              </w:rPr>
              <w:t>Równoważenie podstawowe dla statycznych ograniczeń wahań kursów</w:t>
            </w:r>
          </w:p>
        </w:tc>
        <w:tc>
          <w:tcPr>
            <w:tcW w:w="4820" w:type="dxa"/>
          </w:tcPr>
          <w:p w14:paraId="72AFD876" w14:textId="77777777" w:rsidR="009F3D20" w:rsidRPr="00920145" w:rsidRDefault="009F3D20" w:rsidP="00A23201">
            <w:pPr>
              <w:pStyle w:val="Tekstpodstawowy21"/>
              <w:spacing w:before="60" w:line="360" w:lineRule="auto"/>
              <w:jc w:val="left"/>
              <w:rPr>
                <w:rFonts w:ascii="Verdana" w:hAnsi="Verdana" w:cs="Arial"/>
              </w:rPr>
            </w:pPr>
            <w:r w:rsidRPr="00920145">
              <w:rPr>
                <w:rFonts w:ascii="Verdana" w:hAnsi="Verdana" w:cs="Arial"/>
              </w:rPr>
              <w:t>Tak</w:t>
            </w:r>
          </w:p>
        </w:tc>
      </w:tr>
      <w:tr w:rsidR="009F3D20" w:rsidRPr="00920145" w14:paraId="7DD044EE" w14:textId="77777777" w:rsidTr="003772D5">
        <w:trPr>
          <w:trHeight w:val="53"/>
        </w:trPr>
        <w:tc>
          <w:tcPr>
            <w:tcW w:w="3402" w:type="dxa"/>
          </w:tcPr>
          <w:p w14:paraId="06D7D066" w14:textId="77777777" w:rsidR="009F3D20" w:rsidRPr="00920145" w:rsidRDefault="009F3D20" w:rsidP="00A23201">
            <w:pPr>
              <w:pStyle w:val="Tekstpodstawowy21"/>
              <w:spacing w:before="60" w:line="360" w:lineRule="auto"/>
              <w:jc w:val="left"/>
              <w:rPr>
                <w:rFonts w:ascii="Verdana" w:hAnsi="Verdana" w:cs="Arial"/>
              </w:rPr>
            </w:pPr>
            <w:r w:rsidRPr="00920145">
              <w:rPr>
                <w:rFonts w:ascii="Verdana" w:hAnsi="Verdana" w:cs="Arial"/>
              </w:rPr>
              <w:t>Czas trwania równoważenia podstawowego dla statycznych ograniczeń wahań kursów</w:t>
            </w:r>
          </w:p>
        </w:tc>
        <w:tc>
          <w:tcPr>
            <w:tcW w:w="4820" w:type="dxa"/>
          </w:tcPr>
          <w:p w14:paraId="20627FDF" w14:textId="77777777" w:rsidR="009F3D20" w:rsidRPr="00920145" w:rsidRDefault="009F3D20" w:rsidP="00A23201">
            <w:pPr>
              <w:pStyle w:val="Tekstpodstawowy21"/>
              <w:spacing w:before="60" w:line="360" w:lineRule="auto"/>
              <w:jc w:val="left"/>
              <w:rPr>
                <w:rFonts w:ascii="Verdana" w:hAnsi="Verdana" w:cs="Arial"/>
              </w:rPr>
            </w:pPr>
            <w:r w:rsidRPr="00920145">
              <w:rPr>
                <w:rFonts w:ascii="Verdana" w:hAnsi="Verdana" w:cs="Arial"/>
              </w:rPr>
              <w:t>300 sekund</w:t>
            </w:r>
          </w:p>
        </w:tc>
      </w:tr>
      <w:tr w:rsidR="009F3D20" w:rsidRPr="00920145" w14:paraId="6C25945E" w14:textId="77777777" w:rsidTr="003772D5">
        <w:trPr>
          <w:trHeight w:val="53"/>
        </w:trPr>
        <w:tc>
          <w:tcPr>
            <w:tcW w:w="3402" w:type="dxa"/>
          </w:tcPr>
          <w:p w14:paraId="39F16422" w14:textId="77777777" w:rsidR="009F3D20" w:rsidRPr="00920145" w:rsidRDefault="009F3D20" w:rsidP="00A23201">
            <w:pPr>
              <w:pStyle w:val="Tekstpodstawowy21"/>
              <w:spacing w:before="60" w:line="360" w:lineRule="auto"/>
              <w:jc w:val="left"/>
              <w:rPr>
                <w:rFonts w:ascii="Verdana" w:hAnsi="Verdana" w:cs="Arial"/>
              </w:rPr>
            </w:pPr>
            <w:r w:rsidRPr="00920145">
              <w:rPr>
                <w:rFonts w:ascii="Verdana" w:hAnsi="Verdana" w:cs="Arial"/>
              </w:rPr>
              <w:t>Współczynnik przesunięcia kursu odniesienia dla równoważenia w fazie aukcji otwarcia</w:t>
            </w:r>
          </w:p>
        </w:tc>
        <w:tc>
          <w:tcPr>
            <w:tcW w:w="4820" w:type="dxa"/>
          </w:tcPr>
          <w:p w14:paraId="7C9B47FC" w14:textId="77777777" w:rsidR="009F3D20" w:rsidRPr="00920145" w:rsidRDefault="009F3D20" w:rsidP="00A23201">
            <w:pPr>
              <w:pStyle w:val="Tekstpodstawowy21"/>
              <w:spacing w:before="60" w:line="360" w:lineRule="auto"/>
              <w:jc w:val="left"/>
              <w:rPr>
                <w:rFonts w:ascii="Verdana" w:hAnsi="Verdana" w:cs="Arial"/>
              </w:rPr>
            </w:pPr>
            <w:r w:rsidRPr="00920145">
              <w:rPr>
                <w:rFonts w:ascii="Verdana" w:hAnsi="Verdana" w:cs="Arial"/>
              </w:rPr>
              <w:t>1</w:t>
            </w:r>
          </w:p>
        </w:tc>
      </w:tr>
      <w:tr w:rsidR="009F3D20" w:rsidRPr="00920145" w14:paraId="469A3849" w14:textId="77777777" w:rsidTr="003772D5">
        <w:trPr>
          <w:trHeight w:val="53"/>
        </w:trPr>
        <w:tc>
          <w:tcPr>
            <w:tcW w:w="3402" w:type="dxa"/>
          </w:tcPr>
          <w:p w14:paraId="78B9C3DE" w14:textId="77777777" w:rsidR="009F3D20" w:rsidRPr="00920145" w:rsidRDefault="009F3D20" w:rsidP="00A23201">
            <w:pPr>
              <w:pStyle w:val="Tekstpodstawowy21"/>
              <w:spacing w:before="60" w:line="360" w:lineRule="auto"/>
              <w:jc w:val="left"/>
              <w:rPr>
                <w:rFonts w:ascii="Verdana" w:hAnsi="Verdana" w:cs="Arial"/>
              </w:rPr>
            </w:pPr>
            <w:r w:rsidRPr="00920145">
              <w:rPr>
                <w:rFonts w:ascii="Verdana" w:hAnsi="Verdana" w:cs="Arial"/>
              </w:rPr>
              <w:t>Współczynnik przesunięcia kursu odniesienia dla równoważenia w fazach innych niż faza aukcji otwarcia</w:t>
            </w:r>
          </w:p>
        </w:tc>
        <w:tc>
          <w:tcPr>
            <w:tcW w:w="4820" w:type="dxa"/>
          </w:tcPr>
          <w:p w14:paraId="099C273E" w14:textId="77777777" w:rsidR="009F3D20" w:rsidRPr="00920145" w:rsidRDefault="009F3D20" w:rsidP="00A23201">
            <w:pPr>
              <w:pStyle w:val="Tekstpodstawowy21"/>
              <w:spacing w:before="60" w:line="360" w:lineRule="auto"/>
              <w:jc w:val="left"/>
              <w:rPr>
                <w:rFonts w:ascii="Verdana" w:hAnsi="Verdana" w:cs="Arial"/>
              </w:rPr>
            </w:pPr>
            <w:r w:rsidRPr="00920145">
              <w:rPr>
                <w:rFonts w:ascii="Verdana" w:hAnsi="Verdana" w:cs="Arial"/>
              </w:rPr>
              <w:t>0,5</w:t>
            </w:r>
          </w:p>
        </w:tc>
      </w:tr>
      <w:tr w:rsidR="009F3D20" w:rsidRPr="00920145" w14:paraId="1307F1F8" w14:textId="77777777" w:rsidTr="003772D5">
        <w:trPr>
          <w:trHeight w:val="53"/>
        </w:trPr>
        <w:tc>
          <w:tcPr>
            <w:tcW w:w="3402" w:type="dxa"/>
          </w:tcPr>
          <w:p w14:paraId="256E1C4B" w14:textId="77777777" w:rsidR="009F3D20" w:rsidRPr="00920145" w:rsidRDefault="009F3D20" w:rsidP="00A23201">
            <w:pPr>
              <w:pStyle w:val="Tekstpodstawowy21"/>
              <w:spacing w:before="60" w:line="360" w:lineRule="auto"/>
              <w:jc w:val="left"/>
              <w:rPr>
                <w:rFonts w:ascii="Verdana" w:hAnsi="Verdana" w:cs="Arial"/>
              </w:rPr>
            </w:pPr>
            <w:r w:rsidRPr="00920145">
              <w:rPr>
                <w:rFonts w:ascii="Verdana" w:hAnsi="Verdana" w:cs="Arial"/>
              </w:rPr>
              <w:t>Współczynnik maksymalnej liczby zmian netto statycznych ograniczeń wahań kursów</w:t>
            </w:r>
          </w:p>
        </w:tc>
        <w:tc>
          <w:tcPr>
            <w:tcW w:w="4820" w:type="dxa"/>
          </w:tcPr>
          <w:p w14:paraId="0C401F93" w14:textId="77777777" w:rsidR="009F3D20" w:rsidRPr="00920145" w:rsidRDefault="009F3D20" w:rsidP="00A23201">
            <w:pPr>
              <w:pStyle w:val="Tekstpodstawowy21"/>
              <w:spacing w:before="60" w:line="360" w:lineRule="auto"/>
              <w:jc w:val="left"/>
              <w:rPr>
                <w:rFonts w:ascii="Verdana" w:hAnsi="Verdana" w:cs="Arial"/>
              </w:rPr>
            </w:pPr>
            <w:r w:rsidRPr="00920145">
              <w:rPr>
                <w:rFonts w:ascii="Verdana" w:hAnsi="Verdana" w:cs="Arial"/>
              </w:rPr>
              <w:t>2</w:t>
            </w:r>
          </w:p>
        </w:tc>
      </w:tr>
      <w:tr w:rsidR="009F3D20" w:rsidRPr="00920145" w14:paraId="33BA28C2" w14:textId="77777777" w:rsidTr="003772D5">
        <w:trPr>
          <w:trHeight w:val="53"/>
        </w:trPr>
        <w:tc>
          <w:tcPr>
            <w:tcW w:w="3402" w:type="dxa"/>
          </w:tcPr>
          <w:p w14:paraId="32DA66F9" w14:textId="77777777" w:rsidR="009F3D20" w:rsidRPr="00920145" w:rsidRDefault="009F3D20" w:rsidP="00A23201">
            <w:pPr>
              <w:pStyle w:val="Tekstpodstawowy21"/>
              <w:spacing w:before="60" w:line="360" w:lineRule="auto"/>
              <w:jc w:val="left"/>
              <w:rPr>
                <w:rFonts w:ascii="Verdana" w:hAnsi="Verdana" w:cs="Arial"/>
              </w:rPr>
            </w:pPr>
            <w:r w:rsidRPr="00920145">
              <w:rPr>
                <w:rFonts w:ascii="Verdana" w:hAnsi="Verdana" w:cs="Arial"/>
              </w:rPr>
              <w:lastRenderedPageBreak/>
              <w:t>Czas trwania równoważenia podstawowego dla dynamicznych ograniczeń wahań kursów</w:t>
            </w:r>
          </w:p>
        </w:tc>
        <w:tc>
          <w:tcPr>
            <w:tcW w:w="4820" w:type="dxa"/>
          </w:tcPr>
          <w:p w14:paraId="7FAD3AEA" w14:textId="77777777" w:rsidR="009F3D20" w:rsidRPr="00920145" w:rsidRDefault="009F3D20" w:rsidP="00A23201">
            <w:pPr>
              <w:pStyle w:val="Tekstpodstawowy21"/>
              <w:spacing w:before="60" w:line="360" w:lineRule="auto"/>
              <w:jc w:val="left"/>
              <w:rPr>
                <w:rFonts w:ascii="Verdana" w:hAnsi="Verdana" w:cs="Arial"/>
              </w:rPr>
            </w:pPr>
            <w:r w:rsidRPr="00920145">
              <w:rPr>
                <w:rFonts w:ascii="Verdana" w:hAnsi="Verdana" w:cs="Arial"/>
              </w:rPr>
              <w:t>60 sekund</w:t>
            </w:r>
          </w:p>
        </w:tc>
      </w:tr>
      <w:tr w:rsidR="009F3D20" w:rsidRPr="00920145" w14:paraId="3429B48D" w14:textId="77777777" w:rsidTr="003772D5">
        <w:trPr>
          <w:trHeight w:val="53"/>
        </w:trPr>
        <w:tc>
          <w:tcPr>
            <w:tcW w:w="3402" w:type="dxa"/>
          </w:tcPr>
          <w:p w14:paraId="07BA56CC" w14:textId="77777777" w:rsidR="009F3D20" w:rsidRPr="00920145" w:rsidRDefault="009F3D20" w:rsidP="00A23201">
            <w:pPr>
              <w:pStyle w:val="Tekstpodstawowy21"/>
              <w:spacing w:before="60" w:line="360" w:lineRule="auto"/>
              <w:jc w:val="left"/>
              <w:rPr>
                <w:rFonts w:ascii="Verdana" w:hAnsi="Verdana" w:cs="Arial"/>
              </w:rPr>
            </w:pPr>
            <w:r w:rsidRPr="00920145">
              <w:rPr>
                <w:rFonts w:ascii="Verdana" w:hAnsi="Verdana" w:cs="Arial"/>
              </w:rPr>
              <w:t>Współczynnik rozszerzenia dla równoważenia w fazie aukcji otwarcia</w:t>
            </w:r>
          </w:p>
        </w:tc>
        <w:tc>
          <w:tcPr>
            <w:tcW w:w="4820" w:type="dxa"/>
          </w:tcPr>
          <w:p w14:paraId="12A08C0E" w14:textId="77777777" w:rsidR="009F3D20" w:rsidRPr="00920145" w:rsidRDefault="009F3D20" w:rsidP="00A23201">
            <w:pPr>
              <w:pStyle w:val="Tekstpodstawowy21"/>
              <w:spacing w:before="60" w:line="360" w:lineRule="auto"/>
              <w:jc w:val="left"/>
              <w:rPr>
                <w:rFonts w:ascii="Verdana" w:hAnsi="Verdana" w:cs="Arial"/>
              </w:rPr>
            </w:pPr>
            <w:r w:rsidRPr="00920145">
              <w:rPr>
                <w:rFonts w:ascii="Verdana" w:hAnsi="Verdana" w:cs="Arial"/>
              </w:rPr>
              <w:t>3,0</w:t>
            </w:r>
          </w:p>
        </w:tc>
      </w:tr>
      <w:tr w:rsidR="009F3D20" w:rsidRPr="00920145" w14:paraId="251026DB" w14:textId="77777777" w:rsidTr="003772D5">
        <w:trPr>
          <w:trHeight w:val="53"/>
        </w:trPr>
        <w:tc>
          <w:tcPr>
            <w:tcW w:w="3402" w:type="dxa"/>
          </w:tcPr>
          <w:p w14:paraId="3F00594B" w14:textId="77777777" w:rsidR="009F3D20" w:rsidRPr="00920145" w:rsidRDefault="009F3D20" w:rsidP="00A23201">
            <w:pPr>
              <w:pStyle w:val="Tekstpodstawowy21"/>
              <w:spacing w:before="60" w:line="360" w:lineRule="auto"/>
              <w:jc w:val="left"/>
              <w:rPr>
                <w:rFonts w:ascii="Verdana" w:hAnsi="Verdana" w:cs="Arial"/>
              </w:rPr>
            </w:pPr>
            <w:r w:rsidRPr="00920145">
              <w:rPr>
                <w:rFonts w:ascii="Verdana" w:hAnsi="Verdana" w:cs="Arial"/>
              </w:rPr>
              <w:t>Współczynnik rozszerzenia dla równoważenia w fazach innych niż faza aukcji otwarcia</w:t>
            </w:r>
          </w:p>
        </w:tc>
        <w:tc>
          <w:tcPr>
            <w:tcW w:w="4820" w:type="dxa"/>
          </w:tcPr>
          <w:p w14:paraId="0B6E6472" w14:textId="77777777" w:rsidR="009F3D20" w:rsidRPr="00920145" w:rsidRDefault="009F3D20" w:rsidP="00A23201">
            <w:pPr>
              <w:pStyle w:val="Tekstpodstawowy21"/>
              <w:spacing w:before="60" w:line="360" w:lineRule="auto"/>
              <w:jc w:val="left"/>
              <w:rPr>
                <w:rFonts w:ascii="Verdana" w:hAnsi="Verdana" w:cs="Arial"/>
              </w:rPr>
            </w:pPr>
            <w:r w:rsidRPr="00920145">
              <w:rPr>
                <w:rFonts w:ascii="Verdana" w:hAnsi="Verdana" w:cs="Arial"/>
              </w:rPr>
              <w:t>2,0</w:t>
            </w:r>
          </w:p>
        </w:tc>
      </w:tr>
      <w:tr w:rsidR="009F3D20" w:rsidRPr="00920145" w14:paraId="5CA1972B" w14:textId="77777777" w:rsidTr="003772D5">
        <w:trPr>
          <w:trHeight w:val="53"/>
        </w:trPr>
        <w:tc>
          <w:tcPr>
            <w:tcW w:w="3402" w:type="dxa"/>
          </w:tcPr>
          <w:p w14:paraId="77AF774C" w14:textId="77777777" w:rsidR="009F3D20" w:rsidRPr="00920145" w:rsidRDefault="009F3D20" w:rsidP="00A23201">
            <w:pPr>
              <w:pStyle w:val="Tekstpodstawowy21"/>
              <w:spacing w:before="60" w:line="360" w:lineRule="auto"/>
              <w:jc w:val="left"/>
              <w:rPr>
                <w:rFonts w:ascii="Verdana" w:hAnsi="Verdana" w:cs="Arial"/>
              </w:rPr>
            </w:pPr>
            <w:r w:rsidRPr="00920145">
              <w:rPr>
                <w:rFonts w:ascii="Verdana" w:hAnsi="Verdana" w:cs="Arial"/>
              </w:rPr>
              <w:t>Współczynnik maksymalnej liczby zmian netto dynamicznych ograniczeń wahań kursów</w:t>
            </w:r>
          </w:p>
        </w:tc>
        <w:tc>
          <w:tcPr>
            <w:tcW w:w="4820" w:type="dxa"/>
          </w:tcPr>
          <w:p w14:paraId="2180935A" w14:textId="77777777" w:rsidR="009F3D20" w:rsidRPr="00920145" w:rsidRDefault="009F3D20" w:rsidP="00A23201">
            <w:pPr>
              <w:pStyle w:val="Tekstpodstawowy21"/>
              <w:spacing w:before="60" w:line="360" w:lineRule="auto"/>
              <w:jc w:val="left"/>
              <w:rPr>
                <w:rFonts w:ascii="Verdana" w:hAnsi="Verdana" w:cs="Arial"/>
              </w:rPr>
            </w:pPr>
            <w:r w:rsidRPr="00920145">
              <w:rPr>
                <w:rFonts w:ascii="Verdana" w:hAnsi="Verdana" w:cs="Arial"/>
              </w:rPr>
              <w:t>20</w:t>
            </w:r>
          </w:p>
        </w:tc>
      </w:tr>
    </w:tbl>
    <w:p w14:paraId="7276EA29" w14:textId="24475DC3" w:rsidR="00B21755" w:rsidRPr="00920145" w:rsidRDefault="00B21755" w:rsidP="00A23201">
      <w:pPr>
        <w:tabs>
          <w:tab w:val="left" w:pos="142"/>
        </w:tabs>
        <w:spacing w:after="240" w:line="360" w:lineRule="auto"/>
        <w:ind w:firstLine="567"/>
        <w:rPr>
          <w:rFonts w:ascii="Verdana" w:hAnsi="Verdana" w:cs="Arial"/>
          <w:sz w:val="20"/>
          <w:szCs w:val="18"/>
        </w:rPr>
      </w:pPr>
    </w:p>
    <w:p w14:paraId="7CB608B7" w14:textId="299A4150" w:rsidR="00F610A6" w:rsidRPr="00920145" w:rsidRDefault="008C5393" w:rsidP="008362AE">
      <w:pPr>
        <w:pStyle w:val="Nagwek3"/>
      </w:pPr>
      <w:r w:rsidRPr="00920145">
        <w:t>§ 90 otrzymuje brzmienie:</w:t>
      </w:r>
    </w:p>
    <w:p w14:paraId="1DC87208" w14:textId="34C402A1" w:rsidR="008C5393" w:rsidRPr="00920145" w:rsidRDefault="008C5393" w:rsidP="00A23201">
      <w:pPr>
        <w:pStyle w:val="Akapitzlist"/>
        <w:tabs>
          <w:tab w:val="left" w:pos="851"/>
        </w:tabs>
        <w:spacing w:after="120" w:line="360" w:lineRule="auto"/>
        <w:ind w:left="567"/>
        <w:contextualSpacing w:val="0"/>
        <w:jc w:val="both"/>
        <w:rPr>
          <w:rFonts w:ascii="Verdana" w:hAnsi="Verdana"/>
          <w:sz w:val="20"/>
          <w:szCs w:val="20"/>
        </w:rPr>
      </w:pPr>
      <w:r w:rsidRPr="00920145">
        <w:rPr>
          <w:rFonts w:ascii="Verdana" w:hAnsi="Verdana"/>
          <w:sz w:val="20"/>
          <w:szCs w:val="20"/>
        </w:rPr>
        <w:t>„§ 90</w:t>
      </w:r>
    </w:p>
    <w:p w14:paraId="7A853855" w14:textId="4D89BA2B" w:rsidR="009D7B29" w:rsidRPr="00920145" w:rsidRDefault="009D7B29" w:rsidP="00A23201">
      <w:pPr>
        <w:tabs>
          <w:tab w:val="left" w:pos="142"/>
          <w:tab w:val="left" w:pos="567"/>
        </w:tabs>
        <w:spacing w:after="240" w:line="360" w:lineRule="auto"/>
        <w:rPr>
          <w:rFonts w:ascii="Verdana" w:hAnsi="Verdana" w:cs="Arial"/>
          <w:sz w:val="20"/>
          <w:szCs w:val="18"/>
        </w:rPr>
      </w:pPr>
      <w:r w:rsidRPr="00920145">
        <w:rPr>
          <w:rFonts w:cs="Arial"/>
          <w:szCs w:val="20"/>
        </w:rPr>
        <w:tab/>
      </w:r>
      <w:r w:rsidRPr="00920145">
        <w:rPr>
          <w:rFonts w:ascii="Verdana" w:hAnsi="Verdana" w:cs="Arial"/>
          <w:sz w:val="20"/>
          <w:szCs w:val="18"/>
        </w:rPr>
        <w:tab/>
        <w:t xml:space="preserve">Szczegółowe warunki obrotu dla kontraktów terminowych na akcje: </w:t>
      </w:r>
    </w:p>
    <w:tbl>
      <w:tblPr>
        <w:tblW w:w="822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4820"/>
      </w:tblGrid>
      <w:tr w:rsidR="009D7B29" w:rsidRPr="00920145" w14:paraId="66BBB15F" w14:textId="77777777" w:rsidTr="003772D5">
        <w:tc>
          <w:tcPr>
            <w:tcW w:w="3402" w:type="dxa"/>
            <w:tcBorders>
              <w:top w:val="single" w:sz="4" w:space="0" w:color="auto"/>
              <w:left w:val="single" w:sz="4" w:space="0" w:color="auto"/>
              <w:bottom w:val="single" w:sz="4" w:space="0" w:color="auto"/>
              <w:right w:val="single" w:sz="4" w:space="0" w:color="auto"/>
            </w:tcBorders>
          </w:tcPr>
          <w:p w14:paraId="3A1FBC21" w14:textId="77777777" w:rsidR="009D7B29" w:rsidRPr="00920145" w:rsidRDefault="009D7B29" w:rsidP="00A23201">
            <w:pPr>
              <w:pStyle w:val="Tekstpodstawowy21"/>
              <w:spacing w:before="60" w:line="360" w:lineRule="auto"/>
              <w:rPr>
                <w:rFonts w:ascii="Verdana" w:hAnsi="Verdana" w:cs="Arial"/>
              </w:rPr>
            </w:pPr>
            <w:r w:rsidRPr="00920145">
              <w:rPr>
                <w:rFonts w:ascii="Verdana" w:hAnsi="Verdana" w:cs="Arial"/>
              </w:rPr>
              <w:t xml:space="preserve">Jednostka  transakcyjna </w:t>
            </w:r>
          </w:p>
        </w:tc>
        <w:tc>
          <w:tcPr>
            <w:tcW w:w="4820" w:type="dxa"/>
            <w:tcBorders>
              <w:top w:val="single" w:sz="4" w:space="0" w:color="auto"/>
              <w:left w:val="single" w:sz="4" w:space="0" w:color="auto"/>
              <w:bottom w:val="single" w:sz="4" w:space="0" w:color="auto"/>
              <w:right w:val="single" w:sz="4" w:space="0" w:color="auto"/>
            </w:tcBorders>
          </w:tcPr>
          <w:p w14:paraId="6E810578" w14:textId="77777777" w:rsidR="009D7B29" w:rsidRPr="00920145" w:rsidRDefault="009D7B29" w:rsidP="00A23201">
            <w:pPr>
              <w:pStyle w:val="Tekstpodstawowy21"/>
              <w:spacing w:before="60" w:line="360" w:lineRule="auto"/>
              <w:rPr>
                <w:rFonts w:ascii="Verdana" w:hAnsi="Verdana" w:cs="Arial"/>
              </w:rPr>
            </w:pPr>
            <w:r w:rsidRPr="00920145">
              <w:rPr>
                <w:rFonts w:ascii="Verdana" w:hAnsi="Verdana" w:cs="Arial"/>
              </w:rPr>
              <w:t>jeden instrument, chyba że Zarząd Giełdy określi inną jednostkę transakcyjną</w:t>
            </w:r>
          </w:p>
        </w:tc>
      </w:tr>
      <w:tr w:rsidR="007164ED" w:rsidRPr="00920145" w14:paraId="31E459D9" w14:textId="77777777" w:rsidTr="003772D5">
        <w:tc>
          <w:tcPr>
            <w:tcW w:w="3402" w:type="dxa"/>
            <w:tcBorders>
              <w:top w:val="single" w:sz="4" w:space="0" w:color="auto"/>
              <w:left w:val="single" w:sz="4" w:space="0" w:color="auto"/>
              <w:bottom w:val="single" w:sz="4" w:space="0" w:color="auto"/>
              <w:right w:val="single" w:sz="4" w:space="0" w:color="auto"/>
            </w:tcBorders>
          </w:tcPr>
          <w:p w14:paraId="24D41DD2" w14:textId="6AF1BDA9" w:rsidR="007164ED" w:rsidRPr="00920145" w:rsidDel="007164ED" w:rsidRDefault="007164ED" w:rsidP="007164ED">
            <w:pPr>
              <w:pStyle w:val="Tekstpodstawowy21"/>
              <w:spacing w:before="60" w:line="360" w:lineRule="auto"/>
              <w:rPr>
                <w:rFonts w:ascii="Verdana" w:hAnsi="Verdana"/>
              </w:rPr>
            </w:pPr>
            <w:r w:rsidRPr="00920145">
              <w:rPr>
                <w:rFonts w:ascii="Verdana" w:hAnsi="Verdana"/>
              </w:rPr>
              <w:t>Losowy czas otwarcia</w:t>
            </w:r>
            <w:r w:rsidRPr="00920145">
              <w:rPr>
                <w:rFonts w:ascii="Verdana" w:hAnsi="Verdana"/>
              </w:rPr>
              <w:br/>
              <w:t>dla fazy aukcji otwarcia</w:t>
            </w:r>
          </w:p>
        </w:tc>
        <w:tc>
          <w:tcPr>
            <w:tcW w:w="4820" w:type="dxa"/>
            <w:tcBorders>
              <w:top w:val="single" w:sz="4" w:space="0" w:color="auto"/>
              <w:left w:val="single" w:sz="4" w:space="0" w:color="auto"/>
              <w:bottom w:val="single" w:sz="4" w:space="0" w:color="auto"/>
              <w:right w:val="single" w:sz="4" w:space="0" w:color="auto"/>
            </w:tcBorders>
          </w:tcPr>
          <w:p w14:paraId="7888C46C" w14:textId="5B9537CB" w:rsidR="007164ED" w:rsidRPr="00920145" w:rsidDel="007164ED" w:rsidRDefault="002F0779" w:rsidP="007164ED">
            <w:pPr>
              <w:pStyle w:val="Tekstpodstawowy21"/>
              <w:spacing w:before="60" w:line="360" w:lineRule="auto"/>
              <w:rPr>
                <w:rFonts w:ascii="Verdana" w:hAnsi="Verdana"/>
              </w:rPr>
            </w:pPr>
            <w:r w:rsidRPr="00920145">
              <w:rPr>
                <w:rFonts w:ascii="Verdana" w:hAnsi="Verdana"/>
              </w:rPr>
              <w:t>(</w:t>
            </w:r>
            <w:r w:rsidR="007164ED" w:rsidRPr="00920145">
              <w:rPr>
                <w:rFonts w:ascii="Verdana" w:hAnsi="Verdana"/>
              </w:rPr>
              <w:t>+</w:t>
            </w:r>
            <w:r w:rsidRPr="00920145">
              <w:rPr>
                <w:rFonts w:ascii="Verdana" w:hAnsi="Verdana"/>
              </w:rPr>
              <w:t>)</w:t>
            </w:r>
            <w:r w:rsidR="007164ED" w:rsidRPr="00920145">
              <w:rPr>
                <w:rFonts w:ascii="Verdana" w:hAnsi="Verdana"/>
              </w:rPr>
              <w:t xml:space="preserve"> 0-30 sekund</w:t>
            </w:r>
          </w:p>
        </w:tc>
      </w:tr>
      <w:tr w:rsidR="007164ED" w:rsidRPr="00920145" w14:paraId="04598B9A" w14:textId="77777777" w:rsidTr="003772D5">
        <w:tc>
          <w:tcPr>
            <w:tcW w:w="3402" w:type="dxa"/>
            <w:tcBorders>
              <w:top w:val="single" w:sz="4" w:space="0" w:color="auto"/>
              <w:left w:val="single" w:sz="4" w:space="0" w:color="auto"/>
              <w:bottom w:val="single" w:sz="4" w:space="0" w:color="auto"/>
              <w:right w:val="single" w:sz="4" w:space="0" w:color="auto"/>
            </w:tcBorders>
          </w:tcPr>
          <w:p w14:paraId="32A3D093" w14:textId="1917A998" w:rsidR="007164ED" w:rsidRPr="00920145" w:rsidDel="007164ED" w:rsidRDefault="007164ED" w:rsidP="007164ED">
            <w:pPr>
              <w:pStyle w:val="Tekstpodstawowy21"/>
              <w:spacing w:before="60" w:line="360" w:lineRule="auto"/>
              <w:rPr>
                <w:rFonts w:ascii="Verdana" w:hAnsi="Verdana"/>
              </w:rPr>
            </w:pPr>
            <w:r w:rsidRPr="00920145">
              <w:rPr>
                <w:rFonts w:ascii="Verdana" w:hAnsi="Verdana"/>
              </w:rPr>
              <w:t>Losowy czas otwarcia</w:t>
            </w:r>
            <w:r w:rsidRPr="00920145">
              <w:rPr>
                <w:rFonts w:ascii="Verdana" w:hAnsi="Verdana"/>
              </w:rPr>
              <w:br/>
              <w:t>dla fazy aukcji zamknięcia</w:t>
            </w:r>
          </w:p>
        </w:tc>
        <w:tc>
          <w:tcPr>
            <w:tcW w:w="4820" w:type="dxa"/>
            <w:tcBorders>
              <w:top w:val="single" w:sz="4" w:space="0" w:color="auto"/>
              <w:left w:val="single" w:sz="4" w:space="0" w:color="auto"/>
              <w:bottom w:val="single" w:sz="4" w:space="0" w:color="auto"/>
              <w:right w:val="single" w:sz="4" w:space="0" w:color="auto"/>
            </w:tcBorders>
          </w:tcPr>
          <w:p w14:paraId="51855D4F" w14:textId="788711D2" w:rsidR="007164ED" w:rsidRPr="00920145" w:rsidDel="007164ED" w:rsidRDefault="002F0779" w:rsidP="007164ED">
            <w:pPr>
              <w:pStyle w:val="Tekstpodstawowy21"/>
              <w:spacing w:before="60" w:line="360" w:lineRule="auto"/>
              <w:rPr>
                <w:rFonts w:ascii="Verdana" w:hAnsi="Verdana"/>
              </w:rPr>
            </w:pPr>
            <w:r w:rsidRPr="00920145">
              <w:rPr>
                <w:rFonts w:ascii="Verdana" w:hAnsi="Verdana"/>
              </w:rPr>
              <w:t>(</w:t>
            </w:r>
            <w:r w:rsidR="007164ED" w:rsidRPr="00920145">
              <w:rPr>
                <w:rFonts w:ascii="Verdana" w:hAnsi="Verdana"/>
              </w:rPr>
              <w:t>-</w:t>
            </w:r>
            <w:r w:rsidRPr="00920145">
              <w:rPr>
                <w:rFonts w:ascii="Verdana" w:hAnsi="Verdana"/>
              </w:rPr>
              <w:t>)</w:t>
            </w:r>
            <w:r w:rsidR="007164ED" w:rsidRPr="00920145">
              <w:rPr>
                <w:rFonts w:ascii="Verdana" w:hAnsi="Verdana"/>
              </w:rPr>
              <w:t xml:space="preserve"> 0-30 sekund</w:t>
            </w:r>
          </w:p>
        </w:tc>
      </w:tr>
      <w:tr w:rsidR="009D7B29" w:rsidRPr="00920145" w14:paraId="7F4D043B" w14:textId="77777777" w:rsidTr="003772D5">
        <w:tc>
          <w:tcPr>
            <w:tcW w:w="3402" w:type="dxa"/>
          </w:tcPr>
          <w:p w14:paraId="37E4FC65" w14:textId="77777777" w:rsidR="009D7B29" w:rsidRPr="00920145" w:rsidRDefault="009D7B29" w:rsidP="00DF7CBA">
            <w:pPr>
              <w:pStyle w:val="Tekstpodstawowy21"/>
              <w:spacing w:after="0" w:line="360" w:lineRule="auto"/>
              <w:jc w:val="left"/>
              <w:rPr>
                <w:rFonts w:ascii="Verdana" w:hAnsi="Verdana" w:cs="Arial"/>
              </w:rPr>
            </w:pPr>
            <w:r w:rsidRPr="00920145">
              <w:rPr>
                <w:rFonts w:ascii="Verdana" w:hAnsi="Verdana" w:cs="Arial"/>
              </w:rPr>
              <w:t>Jednostka określania dla:</w:t>
            </w:r>
          </w:p>
          <w:p w14:paraId="66B38D79" w14:textId="77777777" w:rsidR="009D7B29" w:rsidRPr="00920145" w:rsidRDefault="009D7B29" w:rsidP="00DF7CBA">
            <w:pPr>
              <w:pStyle w:val="Tekstpodstawowy21"/>
              <w:spacing w:after="0" w:line="360" w:lineRule="auto"/>
              <w:jc w:val="left"/>
              <w:rPr>
                <w:rFonts w:ascii="Verdana" w:hAnsi="Verdana" w:cs="Arial"/>
              </w:rPr>
            </w:pPr>
            <w:r w:rsidRPr="00920145">
              <w:rPr>
                <w:rFonts w:ascii="Verdana" w:hAnsi="Verdana" w:cs="Arial"/>
              </w:rPr>
              <w:t xml:space="preserve">- kursu kontraktu, </w:t>
            </w:r>
          </w:p>
          <w:p w14:paraId="1147528C" w14:textId="77777777" w:rsidR="009D7B29" w:rsidRPr="00920145" w:rsidRDefault="009D7B29" w:rsidP="00DF7CBA">
            <w:pPr>
              <w:pStyle w:val="Tekstpodstawowy21"/>
              <w:spacing w:after="0" w:line="360" w:lineRule="auto"/>
              <w:jc w:val="left"/>
              <w:rPr>
                <w:rFonts w:ascii="Verdana" w:hAnsi="Verdana" w:cs="Arial"/>
              </w:rPr>
            </w:pPr>
            <w:r w:rsidRPr="00920145">
              <w:rPr>
                <w:rFonts w:ascii="Verdana" w:hAnsi="Verdana" w:cs="Arial"/>
              </w:rPr>
              <w:t>- dziennego kursu rozliczeniowego,</w:t>
            </w:r>
          </w:p>
          <w:p w14:paraId="78367470" w14:textId="77777777" w:rsidR="009D7B29" w:rsidRPr="00920145" w:rsidRDefault="009D7B29" w:rsidP="00DF7CBA">
            <w:pPr>
              <w:pStyle w:val="Tekstpodstawowy21"/>
              <w:spacing w:after="0" w:line="360" w:lineRule="auto"/>
              <w:jc w:val="left"/>
              <w:rPr>
                <w:rFonts w:ascii="Verdana" w:hAnsi="Verdana" w:cs="Arial"/>
              </w:rPr>
            </w:pPr>
            <w:r w:rsidRPr="00920145">
              <w:rPr>
                <w:rFonts w:ascii="Verdana" w:hAnsi="Verdana" w:cs="Arial"/>
              </w:rPr>
              <w:t>- ostatecznego kursu rozliczeniowego</w:t>
            </w:r>
          </w:p>
        </w:tc>
        <w:tc>
          <w:tcPr>
            <w:tcW w:w="4820" w:type="dxa"/>
          </w:tcPr>
          <w:p w14:paraId="5C1DD3A3" w14:textId="77777777" w:rsidR="009D7B29" w:rsidRPr="00920145" w:rsidRDefault="009D7B29" w:rsidP="00A23201">
            <w:pPr>
              <w:pStyle w:val="Tekstpodstawowy21"/>
              <w:spacing w:before="60" w:line="360" w:lineRule="auto"/>
              <w:rPr>
                <w:rFonts w:ascii="Verdana" w:hAnsi="Verdana" w:cs="Arial"/>
              </w:rPr>
            </w:pPr>
            <w:r w:rsidRPr="00920145">
              <w:rPr>
                <w:rFonts w:ascii="Verdana" w:hAnsi="Verdana" w:cs="Arial"/>
              </w:rPr>
              <w:t>złoty polski (PLN) lub waluta wskazana w standardzie danego kontraktu, której kurs ogłaszany jest przez Narodowy Bank Polski - z dokładnością równą krokowi notowania</w:t>
            </w:r>
          </w:p>
        </w:tc>
      </w:tr>
      <w:tr w:rsidR="009D7B29" w:rsidRPr="00920145" w14:paraId="2AD457DA" w14:textId="77777777" w:rsidTr="003772D5">
        <w:tc>
          <w:tcPr>
            <w:tcW w:w="3402" w:type="dxa"/>
          </w:tcPr>
          <w:p w14:paraId="48A83A7A" w14:textId="77777777" w:rsidR="009D7B29" w:rsidRPr="00920145" w:rsidRDefault="009D7B29" w:rsidP="00A23201">
            <w:pPr>
              <w:pStyle w:val="Tekstpodstawowy21"/>
              <w:spacing w:before="60" w:line="360" w:lineRule="auto"/>
              <w:jc w:val="left"/>
              <w:rPr>
                <w:rFonts w:ascii="Verdana" w:hAnsi="Verdana" w:cs="Arial"/>
              </w:rPr>
            </w:pPr>
            <w:r w:rsidRPr="00920145">
              <w:rPr>
                <w:rFonts w:ascii="Verdana" w:hAnsi="Verdana" w:cs="Arial"/>
              </w:rPr>
              <w:lastRenderedPageBreak/>
              <w:t>Krok notowania</w:t>
            </w:r>
          </w:p>
        </w:tc>
        <w:tc>
          <w:tcPr>
            <w:tcW w:w="4820" w:type="dxa"/>
          </w:tcPr>
          <w:p w14:paraId="78D83BA6" w14:textId="77777777" w:rsidR="009D7B29" w:rsidRPr="00920145" w:rsidRDefault="009D7B29" w:rsidP="00876816">
            <w:pPr>
              <w:pStyle w:val="Tekstpodstawowy21"/>
              <w:numPr>
                <w:ilvl w:val="1"/>
                <w:numId w:val="64"/>
              </w:numPr>
              <w:tabs>
                <w:tab w:val="clear" w:pos="1097"/>
                <w:tab w:val="num" w:pos="464"/>
              </w:tabs>
              <w:spacing w:before="60" w:line="360" w:lineRule="auto"/>
              <w:ind w:left="464" w:hanging="283"/>
              <w:rPr>
                <w:rFonts w:ascii="Verdana" w:hAnsi="Verdana" w:cs="Arial"/>
              </w:rPr>
            </w:pPr>
            <w:r w:rsidRPr="00920145">
              <w:rPr>
                <w:rFonts w:ascii="Verdana" w:hAnsi="Verdana" w:cs="Arial"/>
              </w:rPr>
              <w:t xml:space="preserve">0,0001 jednostki waluty notowania </w:t>
            </w:r>
            <w:r w:rsidRPr="00920145">
              <w:rPr>
                <w:rFonts w:ascii="Verdana" w:hAnsi="Verdana"/>
              </w:rPr>
              <w:t xml:space="preserve">dla kursu kontraktu niższego niż 5,00 </w:t>
            </w:r>
            <w:r w:rsidRPr="00920145">
              <w:rPr>
                <w:rFonts w:ascii="Verdana" w:hAnsi="Verdana" w:cs="Arial"/>
              </w:rPr>
              <w:t xml:space="preserve">jednostek waluty notowania, </w:t>
            </w:r>
          </w:p>
          <w:p w14:paraId="1A754DA3" w14:textId="77777777" w:rsidR="009D7B29" w:rsidRPr="00920145" w:rsidRDefault="009D7B29" w:rsidP="00876816">
            <w:pPr>
              <w:numPr>
                <w:ilvl w:val="1"/>
                <w:numId w:val="64"/>
              </w:numPr>
              <w:tabs>
                <w:tab w:val="clear" w:pos="1097"/>
                <w:tab w:val="num" w:pos="464"/>
              </w:tabs>
              <w:spacing w:after="120" w:line="360" w:lineRule="auto"/>
              <w:ind w:left="464" w:hanging="283"/>
              <w:jc w:val="both"/>
              <w:rPr>
                <w:rFonts w:ascii="Verdana" w:hAnsi="Verdana"/>
                <w:sz w:val="20"/>
                <w:szCs w:val="20"/>
              </w:rPr>
            </w:pPr>
            <w:r w:rsidRPr="00920145">
              <w:rPr>
                <w:rFonts w:ascii="Verdana" w:hAnsi="Verdana"/>
                <w:sz w:val="20"/>
                <w:szCs w:val="20"/>
              </w:rPr>
              <w:t>0,001 jednostki waluty notowania dla kursu kontraktu równego bądź wyższego od 5,00 i niższego od 50,00</w:t>
            </w:r>
            <w:r w:rsidRPr="00920145">
              <w:rPr>
                <w:rFonts w:ascii="Verdana" w:hAnsi="Verdana" w:cs="Arial"/>
                <w:sz w:val="20"/>
                <w:szCs w:val="20"/>
              </w:rPr>
              <w:t xml:space="preserve"> jednostek waluty notowania</w:t>
            </w:r>
            <w:r w:rsidRPr="00920145">
              <w:rPr>
                <w:rFonts w:ascii="Verdana" w:hAnsi="Verdana"/>
                <w:sz w:val="20"/>
                <w:szCs w:val="20"/>
              </w:rPr>
              <w:t>,</w:t>
            </w:r>
          </w:p>
          <w:p w14:paraId="21302349" w14:textId="77777777" w:rsidR="009D7B29" w:rsidRPr="00920145" w:rsidRDefault="009D7B29" w:rsidP="00876816">
            <w:pPr>
              <w:spacing w:after="120" w:line="360" w:lineRule="auto"/>
              <w:ind w:left="486" w:hanging="284"/>
              <w:rPr>
                <w:rFonts w:ascii="Verdana" w:hAnsi="Verdana"/>
                <w:sz w:val="20"/>
                <w:szCs w:val="20"/>
              </w:rPr>
            </w:pPr>
            <w:r w:rsidRPr="00920145">
              <w:rPr>
                <w:rFonts w:ascii="Verdana" w:hAnsi="Verdana"/>
                <w:sz w:val="20"/>
                <w:szCs w:val="20"/>
              </w:rPr>
              <w:t xml:space="preserve">c) 0,01 jednostki waluty notowania dla kursu kontraktu równego bądź wyższego od 50,00 </w:t>
            </w:r>
            <w:r w:rsidRPr="00920145">
              <w:rPr>
                <w:rFonts w:ascii="Verdana" w:hAnsi="Verdana" w:cs="Arial"/>
                <w:sz w:val="20"/>
                <w:szCs w:val="20"/>
              </w:rPr>
              <w:t>jednostek waluty notowania</w:t>
            </w:r>
          </w:p>
          <w:p w14:paraId="4EC65C6B" w14:textId="77777777" w:rsidR="009D7B29" w:rsidRPr="00920145" w:rsidRDefault="009D7B29" w:rsidP="00876816">
            <w:pPr>
              <w:pStyle w:val="Tekstpodstawowy21"/>
              <w:spacing w:before="60" w:line="360" w:lineRule="auto"/>
              <w:rPr>
                <w:rFonts w:ascii="Verdana" w:hAnsi="Verdana" w:cs="Arial"/>
              </w:rPr>
            </w:pPr>
            <w:r w:rsidRPr="00920145">
              <w:rPr>
                <w:rFonts w:ascii="Verdana" w:hAnsi="Verdana" w:cs="Arial"/>
              </w:rPr>
              <w:t>- z zastrzeżeniem że kurs kontraktu nie może być niższy niż 0,01 jednostki waluty notowania</w:t>
            </w:r>
          </w:p>
        </w:tc>
      </w:tr>
      <w:tr w:rsidR="009D7B29" w:rsidRPr="00920145" w14:paraId="6DBA6E4C" w14:textId="77777777" w:rsidTr="003772D5">
        <w:tc>
          <w:tcPr>
            <w:tcW w:w="3402" w:type="dxa"/>
          </w:tcPr>
          <w:p w14:paraId="2F3B1E03" w14:textId="77777777" w:rsidR="009D7B29" w:rsidRPr="00920145" w:rsidRDefault="009D7B29" w:rsidP="00A23201">
            <w:pPr>
              <w:pStyle w:val="Tekstpodstawowy21"/>
              <w:spacing w:before="60" w:line="360" w:lineRule="auto"/>
              <w:jc w:val="left"/>
              <w:rPr>
                <w:rFonts w:ascii="Verdana" w:hAnsi="Verdana" w:cs="Arial"/>
              </w:rPr>
            </w:pPr>
            <w:r w:rsidRPr="00920145">
              <w:rPr>
                <w:rFonts w:ascii="Verdana" w:hAnsi="Verdana"/>
              </w:rPr>
              <w:t xml:space="preserve">Maksymalne wartości dla limitów cen w zleceniu maklerskim    </w:t>
            </w:r>
          </w:p>
        </w:tc>
        <w:tc>
          <w:tcPr>
            <w:tcW w:w="4820" w:type="dxa"/>
          </w:tcPr>
          <w:p w14:paraId="04312DE5" w14:textId="1FF88110" w:rsidR="009D7B29" w:rsidRPr="00920145" w:rsidRDefault="009D7B29" w:rsidP="00A23201">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360" w:lineRule="auto"/>
              <w:rPr>
                <w:rFonts w:ascii="Verdana" w:hAnsi="Verdana" w:cs="Arial"/>
                <w:sz w:val="20"/>
                <w:szCs w:val="20"/>
              </w:rPr>
            </w:pPr>
            <w:r w:rsidRPr="00920145">
              <w:rPr>
                <w:rFonts w:ascii="Verdana" w:hAnsi="Verdana"/>
                <w:sz w:val="20"/>
                <w:szCs w:val="20"/>
              </w:rPr>
              <w:t>50% względem kursu odniesienia dla statycznych ograniczeń wahań kursu</w:t>
            </w:r>
          </w:p>
        </w:tc>
      </w:tr>
      <w:tr w:rsidR="009D7B29" w:rsidRPr="00920145" w14:paraId="281D34F5" w14:textId="77777777" w:rsidTr="003772D5">
        <w:tc>
          <w:tcPr>
            <w:tcW w:w="3402" w:type="dxa"/>
          </w:tcPr>
          <w:p w14:paraId="24265E16" w14:textId="77777777" w:rsidR="009D7B29" w:rsidRPr="00920145" w:rsidRDefault="009D7B29" w:rsidP="00A23201">
            <w:pPr>
              <w:pStyle w:val="Tekstpodstawowy21"/>
              <w:spacing w:before="60" w:line="360" w:lineRule="auto"/>
              <w:jc w:val="left"/>
              <w:rPr>
                <w:rFonts w:ascii="Verdana" w:hAnsi="Verdana" w:cs="Arial"/>
              </w:rPr>
            </w:pPr>
            <w:r w:rsidRPr="00920145">
              <w:rPr>
                <w:rFonts w:ascii="Verdana" w:hAnsi="Verdana" w:cs="Arial"/>
              </w:rPr>
              <w:t xml:space="preserve">Maksymalna wartość zlecenia maklerskiego    </w:t>
            </w:r>
          </w:p>
        </w:tc>
        <w:tc>
          <w:tcPr>
            <w:tcW w:w="4820" w:type="dxa"/>
          </w:tcPr>
          <w:p w14:paraId="6EF42ADC" w14:textId="1B7C172F" w:rsidR="009D7B29" w:rsidRPr="00920145" w:rsidRDefault="009D7B29" w:rsidP="00A23201">
            <w:pPr>
              <w:pStyle w:val="Tekstpodstawowy21"/>
              <w:spacing w:before="60" w:line="360" w:lineRule="auto"/>
              <w:rPr>
                <w:rFonts w:ascii="Verdana" w:hAnsi="Verdana" w:cs="Arial"/>
              </w:rPr>
            </w:pPr>
            <w:r w:rsidRPr="00920145">
              <w:rPr>
                <w:rFonts w:ascii="Verdana" w:hAnsi="Verdana" w:cs="Arial"/>
              </w:rPr>
              <w:t>75.000.000 jednostek waluty notowania</w:t>
            </w:r>
          </w:p>
        </w:tc>
      </w:tr>
      <w:tr w:rsidR="009D7B29" w:rsidRPr="00920145" w14:paraId="55839404" w14:textId="77777777" w:rsidTr="003772D5">
        <w:tc>
          <w:tcPr>
            <w:tcW w:w="3402" w:type="dxa"/>
          </w:tcPr>
          <w:p w14:paraId="03855860" w14:textId="77777777" w:rsidR="009D7B29" w:rsidRPr="00920145" w:rsidRDefault="009D7B29" w:rsidP="00A23201">
            <w:pPr>
              <w:pStyle w:val="Tekstpodstawowy21"/>
              <w:spacing w:before="60" w:line="360" w:lineRule="auto"/>
              <w:jc w:val="left"/>
              <w:rPr>
                <w:rFonts w:ascii="Verdana" w:hAnsi="Verdana" w:cs="Arial"/>
              </w:rPr>
            </w:pPr>
            <w:r w:rsidRPr="00920145">
              <w:rPr>
                <w:rFonts w:ascii="Verdana" w:hAnsi="Verdana" w:cs="Arial"/>
              </w:rPr>
              <w:t xml:space="preserve">Maksymalny wolumen zlecenia maklerskiego  </w:t>
            </w:r>
          </w:p>
        </w:tc>
        <w:tc>
          <w:tcPr>
            <w:tcW w:w="4820" w:type="dxa"/>
          </w:tcPr>
          <w:p w14:paraId="2D9C0549" w14:textId="02922DC9" w:rsidR="009D7B29" w:rsidRPr="00920145" w:rsidRDefault="009D7B29" w:rsidP="00A23201">
            <w:pPr>
              <w:pStyle w:val="Tekstpodstawowy21"/>
              <w:spacing w:before="60" w:line="360" w:lineRule="auto"/>
              <w:rPr>
                <w:rFonts w:ascii="Verdana" w:hAnsi="Verdana" w:cs="Arial"/>
              </w:rPr>
            </w:pPr>
            <w:r w:rsidRPr="00920145">
              <w:rPr>
                <w:rFonts w:ascii="Verdana" w:hAnsi="Verdana" w:cs="Arial"/>
              </w:rPr>
              <w:t>1.000 instrumentów</w:t>
            </w:r>
          </w:p>
        </w:tc>
      </w:tr>
      <w:tr w:rsidR="009D7B29" w:rsidRPr="00920145" w14:paraId="1435B6A6" w14:textId="77777777" w:rsidTr="003772D5">
        <w:trPr>
          <w:trHeight w:val="638"/>
        </w:trPr>
        <w:tc>
          <w:tcPr>
            <w:tcW w:w="3402" w:type="dxa"/>
          </w:tcPr>
          <w:p w14:paraId="33D236C5" w14:textId="77777777" w:rsidR="009D7B29" w:rsidRPr="00920145" w:rsidRDefault="009D7B29" w:rsidP="00A23201">
            <w:pPr>
              <w:pStyle w:val="Tekstpodstawowy21"/>
              <w:spacing w:before="60" w:line="360" w:lineRule="auto"/>
              <w:jc w:val="left"/>
              <w:rPr>
                <w:rFonts w:ascii="Verdana" w:hAnsi="Verdana" w:cs="Arial"/>
              </w:rPr>
            </w:pPr>
            <w:r w:rsidRPr="00920145">
              <w:rPr>
                <w:rFonts w:ascii="Verdana" w:hAnsi="Verdana" w:cs="Arial"/>
              </w:rPr>
              <w:t xml:space="preserve">Wysokość statycznych ograniczeń wahań kursów </w:t>
            </w:r>
          </w:p>
        </w:tc>
        <w:tc>
          <w:tcPr>
            <w:tcW w:w="4820" w:type="dxa"/>
          </w:tcPr>
          <w:p w14:paraId="228BEAD3" w14:textId="77777777" w:rsidR="009D7B29" w:rsidRPr="00920145" w:rsidRDefault="009D7B29" w:rsidP="00A23201">
            <w:pPr>
              <w:pStyle w:val="Tekstpodstawowy21"/>
              <w:spacing w:before="60" w:line="360" w:lineRule="auto"/>
              <w:rPr>
                <w:rFonts w:ascii="Verdana" w:hAnsi="Verdana" w:cs="Arial"/>
              </w:rPr>
            </w:pPr>
            <w:r w:rsidRPr="00920145">
              <w:rPr>
                <w:rFonts w:ascii="Verdana" w:hAnsi="Verdana" w:cs="Arial"/>
              </w:rPr>
              <w:t xml:space="preserve">15% od kursu odniesienia </w:t>
            </w:r>
          </w:p>
          <w:p w14:paraId="6CBC7086" w14:textId="77777777" w:rsidR="009D7B29" w:rsidRPr="00920145" w:rsidRDefault="009D7B29" w:rsidP="00A23201">
            <w:pPr>
              <w:pStyle w:val="Tekstpodstawowy21"/>
              <w:spacing w:before="60" w:line="360" w:lineRule="auto"/>
              <w:rPr>
                <w:rFonts w:ascii="Verdana" w:hAnsi="Verdana" w:cs="Arial"/>
              </w:rPr>
            </w:pPr>
          </w:p>
        </w:tc>
      </w:tr>
      <w:tr w:rsidR="009D7B29" w:rsidRPr="00920145" w14:paraId="16F38762" w14:textId="77777777" w:rsidTr="003772D5">
        <w:tc>
          <w:tcPr>
            <w:tcW w:w="3402" w:type="dxa"/>
          </w:tcPr>
          <w:p w14:paraId="6BACBC6B" w14:textId="77777777" w:rsidR="009D7B29" w:rsidRPr="00920145" w:rsidRDefault="009D7B29" w:rsidP="00A23201">
            <w:pPr>
              <w:pStyle w:val="Tekstpodstawowy21"/>
              <w:spacing w:before="60" w:line="360" w:lineRule="auto"/>
              <w:jc w:val="left"/>
              <w:rPr>
                <w:rFonts w:ascii="Verdana" w:hAnsi="Verdana" w:cs="Arial"/>
              </w:rPr>
            </w:pPr>
            <w:r w:rsidRPr="00920145">
              <w:rPr>
                <w:rFonts w:ascii="Verdana" w:hAnsi="Verdana" w:cs="Arial"/>
              </w:rPr>
              <w:t>Zmiana statycznych ograniczeń wahań kursów</w:t>
            </w:r>
          </w:p>
        </w:tc>
        <w:tc>
          <w:tcPr>
            <w:tcW w:w="4820" w:type="dxa"/>
          </w:tcPr>
          <w:p w14:paraId="5CC544F6" w14:textId="0D0AB034" w:rsidR="009D7B29" w:rsidRPr="00920145" w:rsidRDefault="009D7B29" w:rsidP="00A23201">
            <w:pPr>
              <w:pStyle w:val="Tekstpodstawowy21"/>
              <w:spacing w:before="60" w:line="360" w:lineRule="auto"/>
              <w:rPr>
                <w:rFonts w:ascii="Verdana" w:hAnsi="Verdana" w:cs="Arial"/>
              </w:rPr>
            </w:pPr>
            <w:r w:rsidRPr="00920145">
              <w:rPr>
                <w:rFonts w:ascii="Verdana" w:hAnsi="Verdana" w:cs="Arial"/>
              </w:rPr>
              <w:t>Możliwa, pod warunkiem uzyskania potwierdzenia z KDPW_CCP S.A. o uzupełnieniu przez uczestników rozliczających depozytów zabezpieczających do wymaganego przez ten podmiot poziomu lub podjęcia przez KDPW_CCP S.A.  innej decyzji umożliwiającej obrót.</w:t>
            </w:r>
          </w:p>
        </w:tc>
      </w:tr>
      <w:tr w:rsidR="009D7B29" w:rsidRPr="00920145" w14:paraId="63BE841C" w14:textId="77777777" w:rsidTr="003772D5">
        <w:trPr>
          <w:trHeight w:val="416"/>
        </w:trPr>
        <w:tc>
          <w:tcPr>
            <w:tcW w:w="3402" w:type="dxa"/>
          </w:tcPr>
          <w:p w14:paraId="179D714D" w14:textId="77777777" w:rsidR="009D7B29" w:rsidRPr="00920145" w:rsidRDefault="009D7B29" w:rsidP="00A23201">
            <w:pPr>
              <w:pStyle w:val="Tekstpodstawowy21"/>
              <w:spacing w:before="60" w:line="360" w:lineRule="auto"/>
              <w:jc w:val="left"/>
              <w:rPr>
                <w:rFonts w:ascii="Verdana" w:hAnsi="Verdana" w:cs="Arial"/>
              </w:rPr>
            </w:pPr>
            <w:r w:rsidRPr="00920145">
              <w:rPr>
                <w:rFonts w:ascii="Verdana" w:hAnsi="Verdana" w:cs="Arial"/>
              </w:rPr>
              <w:t>Kurs odniesienia dla kursu otwarcia, kursu transakcyjnego</w:t>
            </w:r>
          </w:p>
          <w:p w14:paraId="0E106161" w14:textId="77777777" w:rsidR="009D7B29" w:rsidRPr="00920145" w:rsidRDefault="009D7B29" w:rsidP="00A23201">
            <w:pPr>
              <w:pStyle w:val="Tekstpodstawowy21"/>
              <w:spacing w:before="60" w:line="360" w:lineRule="auto"/>
              <w:jc w:val="left"/>
              <w:rPr>
                <w:rFonts w:ascii="Verdana" w:hAnsi="Verdana" w:cs="Arial"/>
              </w:rPr>
            </w:pPr>
            <w:r w:rsidRPr="00920145">
              <w:rPr>
                <w:rFonts w:ascii="Verdana" w:hAnsi="Verdana" w:cs="Arial"/>
              </w:rPr>
              <w:t xml:space="preserve"> i kursu zamknięcia</w:t>
            </w:r>
          </w:p>
          <w:p w14:paraId="257487E1" w14:textId="77777777" w:rsidR="009D7B29" w:rsidRPr="00920145" w:rsidRDefault="009D7B29" w:rsidP="00A23201">
            <w:pPr>
              <w:pStyle w:val="Tekstpodstawowy21"/>
              <w:spacing w:before="60" w:line="360" w:lineRule="auto"/>
              <w:jc w:val="left"/>
              <w:rPr>
                <w:rFonts w:ascii="Verdana" w:hAnsi="Verdana" w:cs="Arial"/>
              </w:rPr>
            </w:pPr>
            <w:r w:rsidRPr="00920145">
              <w:rPr>
                <w:rFonts w:ascii="Verdana" w:hAnsi="Verdana" w:cs="Arial"/>
              </w:rPr>
              <w:lastRenderedPageBreak/>
              <w:t xml:space="preserve">  - dla statycznych ograniczeń wahań kursów</w:t>
            </w:r>
          </w:p>
          <w:p w14:paraId="028D7AB7" w14:textId="77777777" w:rsidR="009D7B29" w:rsidRPr="00920145" w:rsidRDefault="009D7B29" w:rsidP="00A23201">
            <w:pPr>
              <w:pStyle w:val="Tekstpodstawowy21"/>
              <w:spacing w:before="60" w:line="360" w:lineRule="auto"/>
              <w:jc w:val="left"/>
              <w:rPr>
                <w:rFonts w:ascii="Verdana" w:hAnsi="Verdana" w:cs="Arial"/>
              </w:rPr>
            </w:pPr>
          </w:p>
        </w:tc>
        <w:tc>
          <w:tcPr>
            <w:tcW w:w="4820" w:type="dxa"/>
          </w:tcPr>
          <w:p w14:paraId="08A965E5" w14:textId="77777777" w:rsidR="009D7B29" w:rsidRPr="00920145" w:rsidRDefault="009D7B29" w:rsidP="00A23201">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360" w:lineRule="auto"/>
              <w:rPr>
                <w:rFonts w:ascii="Verdana" w:hAnsi="Verdana" w:cs="Arial"/>
                <w:sz w:val="20"/>
                <w:szCs w:val="20"/>
              </w:rPr>
            </w:pPr>
            <w:r w:rsidRPr="00920145">
              <w:rPr>
                <w:rFonts w:ascii="Verdana" w:hAnsi="Verdana" w:cs="Arial"/>
                <w:sz w:val="20"/>
                <w:szCs w:val="20"/>
              </w:rPr>
              <w:lastRenderedPageBreak/>
              <w:t xml:space="preserve">Ostatni dzienny kurs rozliczeniowy dla danej serii kontraktów, a w przypadku jego braku kurs teoretyczny wyznaczony zgodnie z następującą regułą, z zastrzeżeniem że kurs </w:t>
            </w:r>
            <w:r w:rsidRPr="00920145">
              <w:rPr>
                <w:rFonts w:ascii="Verdana" w:hAnsi="Verdana" w:cs="Arial"/>
                <w:sz w:val="20"/>
                <w:szCs w:val="20"/>
              </w:rPr>
              <w:lastRenderedPageBreak/>
              <w:t>ten wyznaczany jest z dokładnością równą krokowi notowania, jednak kurs ten nie może być niższy niż 0,01 jednostki waluty notowania:</w:t>
            </w:r>
          </w:p>
          <w:p w14:paraId="65B6CA7F" w14:textId="77777777" w:rsidR="009D7B29" w:rsidRPr="00920145" w:rsidRDefault="009D7B29" w:rsidP="00A23201">
            <w:pPr>
              <w:spacing w:line="360" w:lineRule="auto"/>
              <w:rPr>
                <w:rFonts w:ascii="Verdana" w:hAnsi="Verdana" w:cs="Arial"/>
                <w:sz w:val="20"/>
                <w:szCs w:val="20"/>
              </w:rPr>
            </w:pPr>
            <w:r w:rsidRPr="00920145">
              <w:rPr>
                <w:rFonts w:ascii="Verdana" w:hAnsi="Verdana" w:cs="Arial"/>
                <w:position w:val="-28"/>
                <w:sz w:val="20"/>
                <w:szCs w:val="20"/>
              </w:rPr>
              <w:object w:dxaOrig="1939" w:dyaOrig="700" w14:anchorId="3D2E73DD">
                <v:shape id="_x0000_i1031" type="#_x0000_t75" style="width:72.75pt;height:26.25pt" o:ole="" fillcolor="window">
                  <v:imagedata r:id="rId9" o:title=""/>
                </v:shape>
                <o:OLEObject Type="Embed" ProgID="Equation.3" ShapeID="_x0000_i1031" DrawAspect="Content" ObjectID="_1810630015" r:id="rId21"/>
              </w:object>
            </w:r>
            <w:r w:rsidRPr="00920145">
              <w:rPr>
                <w:rFonts w:ascii="Verdana" w:hAnsi="Verdana" w:cs="Arial"/>
                <w:sz w:val="20"/>
                <w:szCs w:val="20"/>
              </w:rPr>
              <w:t xml:space="preserve">   </w:t>
            </w:r>
          </w:p>
          <w:p w14:paraId="308365D6" w14:textId="77777777" w:rsidR="009D7B29" w:rsidRPr="00920145" w:rsidRDefault="009D7B29" w:rsidP="00A23201">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360" w:lineRule="auto"/>
              <w:rPr>
                <w:rFonts w:ascii="Verdana" w:hAnsi="Verdana" w:cs="Arial"/>
                <w:sz w:val="20"/>
                <w:szCs w:val="20"/>
              </w:rPr>
            </w:pPr>
            <w:r w:rsidRPr="00920145">
              <w:rPr>
                <w:rFonts w:ascii="Verdana" w:hAnsi="Verdana" w:cs="Arial"/>
                <w:sz w:val="20"/>
                <w:szCs w:val="20"/>
              </w:rPr>
              <w:t>gdzie:</w:t>
            </w:r>
          </w:p>
          <w:p w14:paraId="3BE68907" w14:textId="77777777" w:rsidR="009D7B29" w:rsidRPr="00920145" w:rsidRDefault="009D7B29" w:rsidP="00F8716B">
            <w:pPr>
              <w:pStyle w:val="Tekstpodstawowy21"/>
              <w:widowControl w:val="0"/>
              <w:numPr>
                <w:ilvl w:val="0"/>
                <w:numId w:val="63"/>
              </w:numPr>
              <w:adjustRightInd w:val="0"/>
              <w:spacing w:before="60" w:line="360" w:lineRule="auto"/>
              <w:ind w:left="153" w:hanging="153"/>
              <w:textAlignment w:val="baseline"/>
              <w:rPr>
                <w:rFonts w:ascii="Verdana" w:hAnsi="Verdana" w:cs="Arial"/>
              </w:rPr>
            </w:pPr>
            <w:r w:rsidRPr="00920145">
              <w:rPr>
                <w:rFonts w:ascii="Verdana" w:hAnsi="Verdana" w:cs="Arial"/>
              </w:rPr>
              <w:t>F - kurs odniesienia,</w:t>
            </w:r>
          </w:p>
          <w:p w14:paraId="1623938F" w14:textId="77777777" w:rsidR="009D7B29" w:rsidRPr="00920145" w:rsidRDefault="009D7B29" w:rsidP="00F8716B">
            <w:pPr>
              <w:pStyle w:val="Tekstpodstawowy21"/>
              <w:widowControl w:val="0"/>
              <w:numPr>
                <w:ilvl w:val="0"/>
                <w:numId w:val="63"/>
              </w:numPr>
              <w:adjustRightInd w:val="0"/>
              <w:spacing w:before="60" w:line="360" w:lineRule="auto"/>
              <w:ind w:left="153" w:hanging="153"/>
              <w:textAlignment w:val="baseline"/>
              <w:rPr>
                <w:rFonts w:ascii="Verdana" w:hAnsi="Verdana" w:cs="Arial"/>
              </w:rPr>
            </w:pPr>
            <w:r w:rsidRPr="00920145">
              <w:rPr>
                <w:rFonts w:ascii="Verdana" w:hAnsi="Verdana" w:cs="Arial"/>
              </w:rPr>
              <w:t>I - ostatni kurs zamknięcia albo ostatni kurs jednolity dla akcji będącej instrumentem bazowym,</w:t>
            </w:r>
          </w:p>
          <w:p w14:paraId="6DE08966" w14:textId="77777777" w:rsidR="009D7B29" w:rsidRPr="00920145" w:rsidRDefault="009D7B29" w:rsidP="00F8716B">
            <w:pPr>
              <w:pStyle w:val="Tekstpodstawowy21"/>
              <w:widowControl w:val="0"/>
              <w:numPr>
                <w:ilvl w:val="0"/>
                <w:numId w:val="63"/>
              </w:numPr>
              <w:adjustRightInd w:val="0"/>
              <w:spacing w:before="60" w:line="360" w:lineRule="auto"/>
              <w:ind w:left="153" w:hanging="153"/>
              <w:textAlignment w:val="baseline"/>
              <w:rPr>
                <w:rFonts w:ascii="Verdana" w:hAnsi="Verdana" w:cs="Arial"/>
              </w:rPr>
            </w:pPr>
            <w:r w:rsidRPr="00920145">
              <w:rPr>
                <w:rFonts w:ascii="Verdana" w:hAnsi="Verdana" w:cs="Arial"/>
              </w:rPr>
              <w:t>r - stopa procentowa (określana przez Giełdę),</w:t>
            </w:r>
          </w:p>
          <w:p w14:paraId="5A03ED96" w14:textId="77777777" w:rsidR="009D7B29" w:rsidRPr="00920145" w:rsidRDefault="009D7B29" w:rsidP="00F8716B">
            <w:pPr>
              <w:pStyle w:val="Tekstpodstawowy21"/>
              <w:widowControl w:val="0"/>
              <w:numPr>
                <w:ilvl w:val="0"/>
                <w:numId w:val="63"/>
              </w:numPr>
              <w:adjustRightInd w:val="0"/>
              <w:spacing w:before="60" w:line="360" w:lineRule="auto"/>
              <w:ind w:left="153" w:hanging="153"/>
              <w:textAlignment w:val="baseline"/>
              <w:rPr>
                <w:rFonts w:ascii="Verdana" w:hAnsi="Verdana" w:cs="Arial"/>
              </w:rPr>
            </w:pPr>
            <w:r w:rsidRPr="00920145">
              <w:rPr>
                <w:rFonts w:ascii="Verdana" w:hAnsi="Verdana" w:cs="Arial"/>
              </w:rPr>
              <w:t>n - ilość dni od dnia ostatniej sesji poprzedzającej sesję, na którą wyznaczany jest kurs odniesienia do dnia wygaśnięcia kontraktu</w:t>
            </w:r>
          </w:p>
        </w:tc>
      </w:tr>
      <w:tr w:rsidR="009D7B29" w:rsidRPr="00920145" w14:paraId="11FE03E8" w14:textId="77777777" w:rsidTr="003772D5">
        <w:trPr>
          <w:trHeight w:val="53"/>
        </w:trPr>
        <w:tc>
          <w:tcPr>
            <w:tcW w:w="3402" w:type="dxa"/>
          </w:tcPr>
          <w:p w14:paraId="1EDF003D" w14:textId="77777777" w:rsidR="009D7B29" w:rsidRPr="00920145" w:rsidRDefault="009D7B29" w:rsidP="00A23201">
            <w:pPr>
              <w:pStyle w:val="Tekstpodstawowy21"/>
              <w:spacing w:before="60" w:after="0" w:line="360" w:lineRule="auto"/>
              <w:jc w:val="left"/>
              <w:rPr>
                <w:rFonts w:ascii="Verdana" w:hAnsi="Verdana" w:cs="Arial"/>
              </w:rPr>
            </w:pPr>
            <w:r w:rsidRPr="00920145">
              <w:rPr>
                <w:rFonts w:ascii="Verdana" w:hAnsi="Verdana" w:cs="Arial"/>
              </w:rPr>
              <w:lastRenderedPageBreak/>
              <w:t>Wysokość dynamicznych ograniczeń wahań kursów</w:t>
            </w:r>
          </w:p>
        </w:tc>
        <w:tc>
          <w:tcPr>
            <w:tcW w:w="4820" w:type="dxa"/>
          </w:tcPr>
          <w:p w14:paraId="6C18E45F" w14:textId="77777777" w:rsidR="009D7B29" w:rsidRPr="00920145" w:rsidRDefault="009D7B29" w:rsidP="00A23201">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360" w:lineRule="auto"/>
              <w:rPr>
                <w:rFonts w:ascii="Verdana" w:hAnsi="Verdana" w:cs="Arial"/>
                <w:sz w:val="20"/>
                <w:szCs w:val="20"/>
              </w:rPr>
            </w:pPr>
            <w:r w:rsidRPr="00920145">
              <w:rPr>
                <w:rFonts w:ascii="Verdana" w:hAnsi="Verdana" w:cs="Arial"/>
                <w:sz w:val="20"/>
                <w:szCs w:val="20"/>
              </w:rPr>
              <w:t>3,5%</w:t>
            </w:r>
          </w:p>
        </w:tc>
      </w:tr>
      <w:tr w:rsidR="009D7B29" w:rsidRPr="00920145" w14:paraId="70D928EB" w14:textId="77777777" w:rsidTr="003772D5">
        <w:trPr>
          <w:trHeight w:val="53"/>
        </w:trPr>
        <w:tc>
          <w:tcPr>
            <w:tcW w:w="3402" w:type="dxa"/>
          </w:tcPr>
          <w:p w14:paraId="712626FF" w14:textId="77777777" w:rsidR="009D7B29" w:rsidRPr="00920145" w:rsidRDefault="009D7B29" w:rsidP="00A23201">
            <w:pPr>
              <w:pStyle w:val="Tekstpodstawowy21"/>
              <w:spacing w:before="60" w:line="360" w:lineRule="auto"/>
              <w:jc w:val="left"/>
              <w:rPr>
                <w:rFonts w:ascii="Verdana" w:hAnsi="Verdana" w:cs="Arial"/>
              </w:rPr>
            </w:pPr>
            <w:r w:rsidRPr="00920145">
              <w:rPr>
                <w:rFonts w:ascii="Verdana" w:hAnsi="Verdana" w:cs="Arial"/>
              </w:rPr>
              <w:t>Kurs odniesienia dla kursu otwarcia - dla dynamicznych ograniczeń wahań kursów</w:t>
            </w:r>
          </w:p>
        </w:tc>
        <w:tc>
          <w:tcPr>
            <w:tcW w:w="4820" w:type="dxa"/>
          </w:tcPr>
          <w:p w14:paraId="5FB2FE78" w14:textId="77777777" w:rsidR="009D7B29" w:rsidRPr="00920145" w:rsidRDefault="009D7B29" w:rsidP="00A23201">
            <w:pPr>
              <w:pStyle w:val="Tekstpodstawowy21"/>
              <w:spacing w:before="60" w:line="360" w:lineRule="auto"/>
              <w:rPr>
                <w:rFonts w:ascii="Verdana" w:hAnsi="Verdana" w:cs="Arial"/>
              </w:rPr>
            </w:pPr>
            <w:r w:rsidRPr="00920145">
              <w:rPr>
                <w:rFonts w:ascii="Verdana" w:hAnsi="Verdana" w:cs="Arial"/>
              </w:rPr>
              <w:t>równy kursowi odniesienia dla statycznych ograniczeń wahań kursów</w:t>
            </w:r>
          </w:p>
        </w:tc>
      </w:tr>
      <w:tr w:rsidR="009D7B29" w:rsidRPr="00920145" w14:paraId="4A04A102" w14:textId="77777777" w:rsidTr="003772D5">
        <w:trPr>
          <w:trHeight w:val="53"/>
        </w:trPr>
        <w:tc>
          <w:tcPr>
            <w:tcW w:w="3402" w:type="dxa"/>
          </w:tcPr>
          <w:p w14:paraId="5603ABB7" w14:textId="77777777" w:rsidR="009D7B29" w:rsidRPr="00920145" w:rsidRDefault="009D7B29" w:rsidP="00A23201">
            <w:pPr>
              <w:pStyle w:val="Tekstpodstawowy21"/>
              <w:spacing w:before="60" w:line="360" w:lineRule="auto"/>
              <w:jc w:val="left"/>
              <w:rPr>
                <w:rFonts w:ascii="Verdana" w:hAnsi="Verdana" w:cs="Arial"/>
              </w:rPr>
            </w:pPr>
            <w:r w:rsidRPr="00920145">
              <w:rPr>
                <w:rFonts w:ascii="Verdana" w:hAnsi="Verdana" w:cs="Arial"/>
              </w:rPr>
              <w:t>Równoważenie podstawowe dla statycznych ograniczeń wahań kursów</w:t>
            </w:r>
          </w:p>
        </w:tc>
        <w:tc>
          <w:tcPr>
            <w:tcW w:w="4820" w:type="dxa"/>
          </w:tcPr>
          <w:p w14:paraId="65DF7E7E" w14:textId="77777777" w:rsidR="009D7B29" w:rsidRPr="00920145" w:rsidRDefault="009D7B29" w:rsidP="00A23201">
            <w:pPr>
              <w:pStyle w:val="Tekstpodstawowy21"/>
              <w:spacing w:before="60" w:line="360" w:lineRule="auto"/>
              <w:rPr>
                <w:rFonts w:ascii="Verdana" w:hAnsi="Verdana" w:cs="Arial"/>
              </w:rPr>
            </w:pPr>
            <w:r w:rsidRPr="00920145">
              <w:rPr>
                <w:rFonts w:ascii="Verdana" w:hAnsi="Verdana" w:cs="Arial"/>
              </w:rPr>
              <w:t>Tak</w:t>
            </w:r>
          </w:p>
        </w:tc>
      </w:tr>
      <w:tr w:rsidR="009D7B29" w:rsidRPr="00920145" w14:paraId="63D4B0A0" w14:textId="77777777" w:rsidTr="003772D5">
        <w:trPr>
          <w:trHeight w:val="53"/>
        </w:trPr>
        <w:tc>
          <w:tcPr>
            <w:tcW w:w="3402" w:type="dxa"/>
          </w:tcPr>
          <w:p w14:paraId="2EA19F85" w14:textId="77777777" w:rsidR="009D7B29" w:rsidRPr="00920145" w:rsidRDefault="009D7B29" w:rsidP="00A23201">
            <w:pPr>
              <w:pStyle w:val="Tekstpodstawowy21"/>
              <w:spacing w:before="60" w:line="360" w:lineRule="auto"/>
              <w:jc w:val="left"/>
              <w:rPr>
                <w:rFonts w:ascii="Verdana" w:hAnsi="Verdana" w:cs="Arial"/>
              </w:rPr>
            </w:pPr>
            <w:r w:rsidRPr="00920145">
              <w:rPr>
                <w:rFonts w:ascii="Verdana" w:hAnsi="Verdana" w:cs="Arial"/>
              </w:rPr>
              <w:t>Czas trwania równoważenia podstawowego dla statycznych ograniczeń wahań kursów</w:t>
            </w:r>
          </w:p>
        </w:tc>
        <w:tc>
          <w:tcPr>
            <w:tcW w:w="4820" w:type="dxa"/>
          </w:tcPr>
          <w:p w14:paraId="09718A56" w14:textId="77777777" w:rsidR="009D7B29" w:rsidRPr="00920145" w:rsidRDefault="009D7B29" w:rsidP="00A23201">
            <w:pPr>
              <w:pStyle w:val="Tekstpodstawowy21"/>
              <w:spacing w:before="60" w:line="360" w:lineRule="auto"/>
              <w:rPr>
                <w:rFonts w:ascii="Verdana" w:hAnsi="Verdana" w:cs="Arial"/>
              </w:rPr>
            </w:pPr>
            <w:r w:rsidRPr="00920145">
              <w:rPr>
                <w:rFonts w:ascii="Verdana" w:hAnsi="Verdana" w:cs="Arial"/>
              </w:rPr>
              <w:t>300 sekund</w:t>
            </w:r>
          </w:p>
        </w:tc>
      </w:tr>
      <w:tr w:rsidR="009D7B29" w:rsidRPr="00920145" w14:paraId="751AC15E" w14:textId="77777777" w:rsidTr="003772D5">
        <w:trPr>
          <w:trHeight w:val="53"/>
        </w:trPr>
        <w:tc>
          <w:tcPr>
            <w:tcW w:w="3402" w:type="dxa"/>
          </w:tcPr>
          <w:p w14:paraId="7188CA7B" w14:textId="77777777" w:rsidR="009D7B29" w:rsidRPr="00920145" w:rsidRDefault="009D7B29" w:rsidP="00A23201">
            <w:pPr>
              <w:pStyle w:val="Tekstpodstawowy21"/>
              <w:spacing w:before="60" w:line="360" w:lineRule="auto"/>
              <w:jc w:val="left"/>
              <w:rPr>
                <w:rFonts w:ascii="Verdana" w:hAnsi="Verdana" w:cs="Arial"/>
              </w:rPr>
            </w:pPr>
            <w:r w:rsidRPr="00920145">
              <w:rPr>
                <w:rFonts w:ascii="Verdana" w:hAnsi="Verdana" w:cs="Arial"/>
              </w:rPr>
              <w:t>Współczynnik przesunięcia kursu odniesienia dla równoważenia w fazie aukcji otwarcia</w:t>
            </w:r>
          </w:p>
        </w:tc>
        <w:tc>
          <w:tcPr>
            <w:tcW w:w="4820" w:type="dxa"/>
          </w:tcPr>
          <w:p w14:paraId="27CCC127" w14:textId="77777777" w:rsidR="009D7B29" w:rsidRPr="00920145" w:rsidRDefault="009D7B29" w:rsidP="00A23201">
            <w:pPr>
              <w:pStyle w:val="Tekstpodstawowy21"/>
              <w:spacing w:before="60" w:line="360" w:lineRule="auto"/>
              <w:rPr>
                <w:rFonts w:ascii="Verdana" w:hAnsi="Verdana" w:cs="Arial"/>
              </w:rPr>
            </w:pPr>
            <w:r w:rsidRPr="00920145">
              <w:rPr>
                <w:rFonts w:ascii="Verdana" w:hAnsi="Verdana" w:cs="Arial"/>
              </w:rPr>
              <w:t>1</w:t>
            </w:r>
          </w:p>
        </w:tc>
      </w:tr>
      <w:tr w:rsidR="009D7B29" w:rsidRPr="00920145" w14:paraId="6FD1D1BC" w14:textId="77777777" w:rsidTr="003772D5">
        <w:trPr>
          <w:trHeight w:val="53"/>
        </w:trPr>
        <w:tc>
          <w:tcPr>
            <w:tcW w:w="3402" w:type="dxa"/>
          </w:tcPr>
          <w:p w14:paraId="1E7928F0" w14:textId="77777777" w:rsidR="009D7B29" w:rsidRPr="00920145" w:rsidRDefault="009D7B29" w:rsidP="00A23201">
            <w:pPr>
              <w:pStyle w:val="Tekstpodstawowy21"/>
              <w:spacing w:before="60" w:line="360" w:lineRule="auto"/>
              <w:jc w:val="left"/>
              <w:rPr>
                <w:rFonts w:ascii="Verdana" w:hAnsi="Verdana" w:cs="Arial"/>
              </w:rPr>
            </w:pPr>
            <w:r w:rsidRPr="00920145">
              <w:rPr>
                <w:rFonts w:ascii="Verdana" w:hAnsi="Verdana" w:cs="Arial"/>
              </w:rPr>
              <w:lastRenderedPageBreak/>
              <w:t>Współczynnik przesunięcia kursu odniesienia dla równoważenia w fazach innych niż faza aukcji otwarcia</w:t>
            </w:r>
          </w:p>
        </w:tc>
        <w:tc>
          <w:tcPr>
            <w:tcW w:w="4820" w:type="dxa"/>
          </w:tcPr>
          <w:p w14:paraId="29244758" w14:textId="77777777" w:rsidR="009D7B29" w:rsidRPr="00920145" w:rsidRDefault="009D7B29" w:rsidP="00A23201">
            <w:pPr>
              <w:pStyle w:val="Tekstpodstawowy21"/>
              <w:spacing w:before="60" w:line="360" w:lineRule="auto"/>
              <w:rPr>
                <w:rFonts w:ascii="Verdana" w:hAnsi="Verdana" w:cs="Arial"/>
              </w:rPr>
            </w:pPr>
            <w:r w:rsidRPr="00920145">
              <w:rPr>
                <w:rFonts w:ascii="Verdana" w:hAnsi="Verdana" w:cs="Arial"/>
              </w:rPr>
              <w:t>0,5</w:t>
            </w:r>
          </w:p>
        </w:tc>
      </w:tr>
      <w:tr w:rsidR="009D7B29" w:rsidRPr="00920145" w14:paraId="06EF2334" w14:textId="77777777" w:rsidTr="003772D5">
        <w:trPr>
          <w:trHeight w:val="53"/>
        </w:trPr>
        <w:tc>
          <w:tcPr>
            <w:tcW w:w="3402" w:type="dxa"/>
          </w:tcPr>
          <w:p w14:paraId="5F68002C" w14:textId="77777777" w:rsidR="009D7B29" w:rsidRPr="00920145" w:rsidRDefault="009D7B29" w:rsidP="00A23201">
            <w:pPr>
              <w:pStyle w:val="Tekstpodstawowy21"/>
              <w:spacing w:before="60" w:line="360" w:lineRule="auto"/>
              <w:jc w:val="left"/>
              <w:rPr>
                <w:rFonts w:ascii="Verdana" w:hAnsi="Verdana" w:cs="Arial"/>
              </w:rPr>
            </w:pPr>
            <w:r w:rsidRPr="00920145">
              <w:rPr>
                <w:rFonts w:ascii="Verdana" w:hAnsi="Verdana" w:cs="Arial"/>
              </w:rPr>
              <w:t>Współczynnik maksymalnej liczby zmian netto statycznych ograniczeń wahań kursów</w:t>
            </w:r>
          </w:p>
        </w:tc>
        <w:tc>
          <w:tcPr>
            <w:tcW w:w="4820" w:type="dxa"/>
          </w:tcPr>
          <w:p w14:paraId="33DB80F6" w14:textId="77777777" w:rsidR="009D7B29" w:rsidRPr="00920145" w:rsidRDefault="009D7B29" w:rsidP="00A23201">
            <w:pPr>
              <w:pStyle w:val="Tekstpodstawowy21"/>
              <w:spacing w:before="60" w:line="360" w:lineRule="auto"/>
              <w:rPr>
                <w:rFonts w:ascii="Verdana" w:hAnsi="Verdana" w:cs="Arial"/>
              </w:rPr>
            </w:pPr>
            <w:r w:rsidRPr="00920145">
              <w:rPr>
                <w:rFonts w:ascii="Verdana" w:hAnsi="Verdana" w:cs="Arial"/>
              </w:rPr>
              <w:t>2</w:t>
            </w:r>
          </w:p>
        </w:tc>
      </w:tr>
      <w:tr w:rsidR="009D7B29" w:rsidRPr="00920145" w14:paraId="6812117F" w14:textId="77777777" w:rsidTr="003772D5">
        <w:trPr>
          <w:trHeight w:val="53"/>
        </w:trPr>
        <w:tc>
          <w:tcPr>
            <w:tcW w:w="3402" w:type="dxa"/>
          </w:tcPr>
          <w:p w14:paraId="1F264075" w14:textId="77777777" w:rsidR="009D7B29" w:rsidRPr="00920145" w:rsidRDefault="009D7B29" w:rsidP="00A23201">
            <w:pPr>
              <w:pStyle w:val="Tekstpodstawowy21"/>
              <w:spacing w:before="60" w:line="360" w:lineRule="auto"/>
              <w:jc w:val="left"/>
              <w:rPr>
                <w:rFonts w:ascii="Verdana" w:hAnsi="Verdana" w:cs="Arial"/>
              </w:rPr>
            </w:pPr>
            <w:r w:rsidRPr="00920145">
              <w:rPr>
                <w:rFonts w:ascii="Verdana" w:hAnsi="Verdana" w:cs="Arial"/>
              </w:rPr>
              <w:t>Czas trwania równoważenia podstawowego dla dynamicznych ograniczeń wahań kursów</w:t>
            </w:r>
          </w:p>
        </w:tc>
        <w:tc>
          <w:tcPr>
            <w:tcW w:w="4820" w:type="dxa"/>
          </w:tcPr>
          <w:p w14:paraId="198395AF" w14:textId="77777777" w:rsidR="009D7B29" w:rsidRPr="00920145" w:rsidRDefault="009D7B29" w:rsidP="00A23201">
            <w:pPr>
              <w:pStyle w:val="Tekstpodstawowy21"/>
              <w:spacing w:before="60" w:line="360" w:lineRule="auto"/>
              <w:rPr>
                <w:rFonts w:ascii="Verdana" w:hAnsi="Verdana" w:cs="Arial"/>
              </w:rPr>
            </w:pPr>
            <w:r w:rsidRPr="00920145">
              <w:rPr>
                <w:rFonts w:ascii="Verdana" w:hAnsi="Verdana" w:cs="Arial"/>
              </w:rPr>
              <w:t>60 sekund</w:t>
            </w:r>
          </w:p>
        </w:tc>
      </w:tr>
      <w:tr w:rsidR="009D7B29" w:rsidRPr="00920145" w14:paraId="41EF132E" w14:textId="77777777" w:rsidTr="003772D5">
        <w:trPr>
          <w:trHeight w:val="53"/>
        </w:trPr>
        <w:tc>
          <w:tcPr>
            <w:tcW w:w="3402" w:type="dxa"/>
          </w:tcPr>
          <w:p w14:paraId="18361473" w14:textId="77777777" w:rsidR="009D7B29" w:rsidRPr="00920145" w:rsidRDefault="009D7B29" w:rsidP="00A23201">
            <w:pPr>
              <w:pStyle w:val="Tekstpodstawowy21"/>
              <w:spacing w:before="60" w:line="360" w:lineRule="auto"/>
              <w:jc w:val="left"/>
              <w:rPr>
                <w:rFonts w:ascii="Verdana" w:hAnsi="Verdana" w:cs="Arial"/>
              </w:rPr>
            </w:pPr>
            <w:r w:rsidRPr="00920145">
              <w:rPr>
                <w:rFonts w:ascii="Verdana" w:hAnsi="Verdana" w:cs="Arial"/>
              </w:rPr>
              <w:t>Współczynnik rozszerzenia dla równoważenia w fazie aukcji otwarcia</w:t>
            </w:r>
          </w:p>
        </w:tc>
        <w:tc>
          <w:tcPr>
            <w:tcW w:w="4820" w:type="dxa"/>
          </w:tcPr>
          <w:p w14:paraId="6DBB350D" w14:textId="77777777" w:rsidR="009D7B29" w:rsidRPr="00920145" w:rsidRDefault="009D7B29" w:rsidP="00A23201">
            <w:pPr>
              <w:pStyle w:val="Tekstpodstawowy21"/>
              <w:spacing w:before="60" w:line="360" w:lineRule="auto"/>
              <w:rPr>
                <w:rFonts w:ascii="Verdana" w:hAnsi="Verdana" w:cs="Arial"/>
              </w:rPr>
            </w:pPr>
            <w:r w:rsidRPr="00920145">
              <w:rPr>
                <w:rFonts w:ascii="Verdana" w:hAnsi="Verdana" w:cs="Arial"/>
              </w:rPr>
              <w:t>3,0</w:t>
            </w:r>
          </w:p>
        </w:tc>
      </w:tr>
      <w:tr w:rsidR="009D7B29" w:rsidRPr="00920145" w14:paraId="24095267" w14:textId="77777777" w:rsidTr="003772D5">
        <w:trPr>
          <w:trHeight w:val="53"/>
        </w:trPr>
        <w:tc>
          <w:tcPr>
            <w:tcW w:w="3402" w:type="dxa"/>
          </w:tcPr>
          <w:p w14:paraId="0BBFB570" w14:textId="77777777" w:rsidR="009D7B29" w:rsidRPr="00920145" w:rsidRDefault="009D7B29" w:rsidP="00A23201">
            <w:pPr>
              <w:pStyle w:val="Tekstpodstawowy21"/>
              <w:spacing w:before="60" w:line="360" w:lineRule="auto"/>
              <w:jc w:val="left"/>
              <w:rPr>
                <w:rFonts w:ascii="Verdana" w:hAnsi="Verdana" w:cs="Arial"/>
              </w:rPr>
            </w:pPr>
            <w:r w:rsidRPr="00920145">
              <w:rPr>
                <w:rFonts w:ascii="Verdana" w:hAnsi="Verdana" w:cs="Arial"/>
              </w:rPr>
              <w:t>Współczynnik rozszerzenia dla równoważenia w fazach innych niż faza aukcji otwarcia</w:t>
            </w:r>
          </w:p>
        </w:tc>
        <w:tc>
          <w:tcPr>
            <w:tcW w:w="4820" w:type="dxa"/>
          </w:tcPr>
          <w:p w14:paraId="54A0487A" w14:textId="77777777" w:rsidR="009D7B29" w:rsidRPr="00920145" w:rsidRDefault="009D7B29" w:rsidP="00A23201">
            <w:pPr>
              <w:pStyle w:val="Tekstpodstawowy21"/>
              <w:spacing w:before="60" w:line="360" w:lineRule="auto"/>
              <w:rPr>
                <w:rFonts w:ascii="Verdana" w:hAnsi="Verdana" w:cs="Arial"/>
              </w:rPr>
            </w:pPr>
            <w:r w:rsidRPr="00920145">
              <w:rPr>
                <w:rFonts w:ascii="Verdana" w:hAnsi="Verdana" w:cs="Arial"/>
              </w:rPr>
              <w:t>2,0</w:t>
            </w:r>
          </w:p>
        </w:tc>
      </w:tr>
      <w:tr w:rsidR="009D7B29" w:rsidRPr="00920145" w14:paraId="42E12CB5" w14:textId="77777777" w:rsidTr="003772D5">
        <w:trPr>
          <w:trHeight w:val="53"/>
        </w:trPr>
        <w:tc>
          <w:tcPr>
            <w:tcW w:w="3402" w:type="dxa"/>
          </w:tcPr>
          <w:p w14:paraId="14AB0A58" w14:textId="77777777" w:rsidR="009D7B29" w:rsidRPr="00920145" w:rsidRDefault="009D7B29" w:rsidP="00A23201">
            <w:pPr>
              <w:pStyle w:val="Tekstpodstawowy21"/>
              <w:spacing w:before="60" w:line="360" w:lineRule="auto"/>
              <w:jc w:val="left"/>
              <w:rPr>
                <w:rFonts w:ascii="Verdana" w:hAnsi="Verdana" w:cs="Arial"/>
              </w:rPr>
            </w:pPr>
            <w:r w:rsidRPr="00920145">
              <w:rPr>
                <w:rFonts w:ascii="Verdana" w:hAnsi="Verdana" w:cs="Arial"/>
              </w:rPr>
              <w:t>Współczynnik maksymalnej liczby zmian netto dynamicznych ograniczeń wahań kursów</w:t>
            </w:r>
          </w:p>
        </w:tc>
        <w:tc>
          <w:tcPr>
            <w:tcW w:w="4820" w:type="dxa"/>
          </w:tcPr>
          <w:p w14:paraId="00B88C0B" w14:textId="77777777" w:rsidR="009D7B29" w:rsidRPr="00920145" w:rsidRDefault="009D7B29" w:rsidP="00A23201">
            <w:pPr>
              <w:pStyle w:val="Tekstpodstawowy21"/>
              <w:spacing w:before="60" w:line="360" w:lineRule="auto"/>
              <w:rPr>
                <w:rFonts w:ascii="Verdana" w:hAnsi="Verdana" w:cs="Arial"/>
              </w:rPr>
            </w:pPr>
            <w:r w:rsidRPr="00920145">
              <w:rPr>
                <w:rFonts w:ascii="Verdana" w:hAnsi="Verdana" w:cs="Arial"/>
              </w:rPr>
              <w:t>20</w:t>
            </w:r>
          </w:p>
        </w:tc>
      </w:tr>
    </w:tbl>
    <w:p w14:paraId="7DBE1697" w14:textId="77777777" w:rsidR="00BA63DC" w:rsidRPr="00920145" w:rsidRDefault="00BA63DC" w:rsidP="008362AE">
      <w:pPr>
        <w:pStyle w:val="Nagwek3"/>
        <w:numPr>
          <w:ilvl w:val="0"/>
          <w:numId w:val="0"/>
        </w:numPr>
        <w:ind w:left="737"/>
      </w:pPr>
    </w:p>
    <w:p w14:paraId="5EA59BAD" w14:textId="32ABA3F7" w:rsidR="008C5393" w:rsidRPr="00920145" w:rsidRDefault="009D7B29" w:rsidP="008362AE">
      <w:pPr>
        <w:pStyle w:val="Nagwek3"/>
      </w:pPr>
      <w:r w:rsidRPr="00920145">
        <w:t>w § 94:</w:t>
      </w:r>
    </w:p>
    <w:p w14:paraId="60B81E88" w14:textId="1648EDBA" w:rsidR="009D7B29" w:rsidRPr="00920145" w:rsidRDefault="00124547" w:rsidP="00124547">
      <w:pPr>
        <w:tabs>
          <w:tab w:val="left" w:pos="567"/>
        </w:tabs>
        <w:spacing w:after="120" w:line="360" w:lineRule="auto"/>
        <w:jc w:val="both"/>
        <w:rPr>
          <w:rFonts w:ascii="Verdana" w:hAnsi="Verdana"/>
          <w:sz w:val="20"/>
          <w:szCs w:val="20"/>
        </w:rPr>
      </w:pPr>
      <w:r w:rsidRPr="00920145">
        <w:rPr>
          <w:rFonts w:ascii="Verdana" w:hAnsi="Verdana"/>
          <w:sz w:val="20"/>
          <w:szCs w:val="20"/>
        </w:rPr>
        <w:tab/>
      </w:r>
      <w:r w:rsidR="001450B1" w:rsidRPr="00920145">
        <w:rPr>
          <w:rFonts w:ascii="Verdana" w:hAnsi="Verdana"/>
          <w:sz w:val="20"/>
          <w:szCs w:val="20"/>
        </w:rPr>
        <w:t xml:space="preserve">a) </w:t>
      </w:r>
      <w:r w:rsidR="009D7B29" w:rsidRPr="00920145">
        <w:rPr>
          <w:rFonts w:ascii="Verdana" w:hAnsi="Verdana"/>
          <w:sz w:val="20"/>
          <w:szCs w:val="20"/>
        </w:rPr>
        <w:t>w ust. 1 akapit po lit. b) otrzymuje brzmienie:</w:t>
      </w:r>
    </w:p>
    <w:p w14:paraId="6D880863" w14:textId="34813473" w:rsidR="009D7B29" w:rsidRPr="00920145" w:rsidRDefault="009D7B29" w:rsidP="00493D67">
      <w:pPr>
        <w:pStyle w:val="Akapitzlist"/>
        <w:tabs>
          <w:tab w:val="left" w:pos="851"/>
        </w:tabs>
        <w:spacing w:after="240" w:line="360" w:lineRule="auto"/>
        <w:ind w:left="851"/>
        <w:contextualSpacing w:val="0"/>
        <w:jc w:val="both"/>
        <w:rPr>
          <w:rFonts w:ascii="Verdana" w:hAnsi="Verdana" w:cs="Arial"/>
          <w:spacing w:val="-3"/>
          <w:sz w:val="20"/>
          <w:szCs w:val="20"/>
        </w:rPr>
      </w:pPr>
      <w:r w:rsidRPr="00920145">
        <w:rPr>
          <w:rFonts w:ascii="Verdana" w:hAnsi="Verdana"/>
          <w:sz w:val="20"/>
          <w:szCs w:val="20"/>
        </w:rPr>
        <w:t xml:space="preserve">„- </w:t>
      </w:r>
      <w:r w:rsidRPr="00920145">
        <w:rPr>
          <w:rFonts w:ascii="Verdana" w:hAnsi="Verdana" w:cs="Arial"/>
          <w:spacing w:val="-3"/>
          <w:sz w:val="20"/>
          <w:szCs w:val="20"/>
        </w:rPr>
        <w:t xml:space="preserve">zwanych także „dywidendą nadzwyczajną”, zmienia się liczbę akcji przypadających na jeden kontrakt, z zastrzeżeniem § 91 ust. 1a, oraz kurs odniesienia kontraktu począwszy od sesji giełdowej, na której akcje będące instrumentem bazowym dla kontraktów są notowane z oznaczeniem „bez dywidendy”/„bez prawa do zaliczki na poczet przewidywanej dywidendy”, </w:t>
      </w:r>
      <w:r w:rsidR="001450B1" w:rsidRPr="00920145">
        <w:rPr>
          <w:rFonts w:ascii="Verdana" w:hAnsi="Verdana" w:cs="Arial"/>
          <w:spacing w:val="-3"/>
          <w:sz w:val="20"/>
          <w:szCs w:val="20"/>
        </w:rPr>
        <w:br/>
      </w:r>
      <w:r w:rsidRPr="00920145">
        <w:rPr>
          <w:rFonts w:ascii="Verdana" w:hAnsi="Verdana" w:cs="Arial"/>
          <w:spacing w:val="-3"/>
          <w:sz w:val="20"/>
          <w:szCs w:val="20"/>
        </w:rPr>
        <w:t>z zastrzeżeniem ust. 2.”;</w:t>
      </w:r>
    </w:p>
    <w:p w14:paraId="5BC5DF04" w14:textId="7C5656A6" w:rsidR="002F0779" w:rsidRPr="00920145" w:rsidRDefault="002F0779" w:rsidP="00493D67">
      <w:pPr>
        <w:pStyle w:val="Akapitzlist"/>
        <w:tabs>
          <w:tab w:val="left" w:pos="851"/>
        </w:tabs>
        <w:spacing w:after="240" w:line="360" w:lineRule="auto"/>
        <w:ind w:left="851"/>
        <w:contextualSpacing w:val="0"/>
        <w:jc w:val="both"/>
        <w:rPr>
          <w:rFonts w:ascii="Verdana" w:hAnsi="Verdana" w:cs="Arial"/>
          <w:spacing w:val="-3"/>
          <w:sz w:val="20"/>
          <w:szCs w:val="20"/>
        </w:rPr>
      </w:pPr>
    </w:p>
    <w:p w14:paraId="174726AD" w14:textId="77777777" w:rsidR="002F0779" w:rsidRPr="00920145" w:rsidRDefault="002F0779" w:rsidP="00493D67">
      <w:pPr>
        <w:pStyle w:val="Akapitzlist"/>
        <w:tabs>
          <w:tab w:val="left" w:pos="851"/>
        </w:tabs>
        <w:spacing w:after="240" w:line="360" w:lineRule="auto"/>
        <w:ind w:left="851"/>
        <w:contextualSpacing w:val="0"/>
        <w:jc w:val="both"/>
        <w:rPr>
          <w:rFonts w:ascii="Verdana" w:hAnsi="Verdana" w:cs="Arial"/>
          <w:spacing w:val="-3"/>
          <w:sz w:val="20"/>
          <w:szCs w:val="20"/>
        </w:rPr>
      </w:pPr>
    </w:p>
    <w:p w14:paraId="6B436B73" w14:textId="0EA76441" w:rsidR="009D7B29" w:rsidRPr="00920145" w:rsidRDefault="00124547" w:rsidP="00124547">
      <w:pPr>
        <w:tabs>
          <w:tab w:val="left" w:pos="567"/>
        </w:tabs>
        <w:spacing w:after="120" w:line="360" w:lineRule="auto"/>
        <w:jc w:val="both"/>
        <w:rPr>
          <w:rFonts w:ascii="Verdana" w:hAnsi="Verdana" w:cs="Arial"/>
          <w:spacing w:val="-3"/>
          <w:sz w:val="20"/>
          <w:szCs w:val="20"/>
        </w:rPr>
      </w:pPr>
      <w:r w:rsidRPr="00920145">
        <w:rPr>
          <w:rFonts w:ascii="Verdana" w:hAnsi="Verdana" w:cs="Arial"/>
          <w:spacing w:val="-3"/>
          <w:sz w:val="20"/>
          <w:szCs w:val="20"/>
        </w:rPr>
        <w:lastRenderedPageBreak/>
        <w:tab/>
      </w:r>
      <w:r w:rsidR="001450B1" w:rsidRPr="00920145">
        <w:rPr>
          <w:rFonts w:ascii="Verdana" w:hAnsi="Verdana" w:cs="Arial"/>
          <w:spacing w:val="-3"/>
          <w:sz w:val="20"/>
          <w:szCs w:val="20"/>
        </w:rPr>
        <w:t xml:space="preserve">b) </w:t>
      </w:r>
      <w:r w:rsidR="009D7B29" w:rsidRPr="00920145">
        <w:rPr>
          <w:rFonts w:ascii="Verdana" w:hAnsi="Verdana" w:cs="Arial"/>
          <w:spacing w:val="-3"/>
          <w:sz w:val="20"/>
          <w:szCs w:val="20"/>
        </w:rPr>
        <w:t>ust. 2 otrzymuje brzmienie:</w:t>
      </w:r>
    </w:p>
    <w:p w14:paraId="3B43EB64" w14:textId="7DB81A90" w:rsidR="009D7B29" w:rsidRPr="00920145" w:rsidRDefault="009D7B29" w:rsidP="00493D67">
      <w:pPr>
        <w:pStyle w:val="Akapitzlist"/>
        <w:tabs>
          <w:tab w:val="left" w:pos="851"/>
        </w:tabs>
        <w:spacing w:after="240" w:line="360" w:lineRule="auto"/>
        <w:ind w:left="737"/>
        <w:contextualSpacing w:val="0"/>
        <w:jc w:val="both"/>
        <w:rPr>
          <w:rFonts w:ascii="Verdana" w:hAnsi="Verdana"/>
          <w:sz w:val="20"/>
          <w:szCs w:val="20"/>
        </w:rPr>
      </w:pPr>
      <w:r w:rsidRPr="00920145">
        <w:rPr>
          <w:rFonts w:ascii="Verdana" w:hAnsi="Verdana" w:cs="Arial"/>
          <w:spacing w:val="-3"/>
          <w:sz w:val="20"/>
          <w:szCs w:val="20"/>
        </w:rPr>
        <w:t xml:space="preserve">„2. </w:t>
      </w:r>
      <w:r w:rsidRPr="00920145">
        <w:rPr>
          <w:rFonts w:ascii="Verdana" w:hAnsi="Verdana"/>
          <w:sz w:val="20"/>
          <w:szCs w:val="20"/>
        </w:rPr>
        <w:t xml:space="preserve">W przypadku gdy zmian, o których mowa w ust. 1, dokonuje się od </w:t>
      </w:r>
      <w:r w:rsidRPr="00920145">
        <w:rPr>
          <w:rFonts w:ascii="Verdana" w:hAnsi="Verdana" w:cs="Arial"/>
          <w:spacing w:val="-3"/>
          <w:sz w:val="20"/>
          <w:szCs w:val="20"/>
        </w:rPr>
        <w:t xml:space="preserve">sesji giełdowej innej niż określona w ust. 1, </w:t>
      </w:r>
      <w:r w:rsidRPr="00920145">
        <w:rPr>
          <w:rFonts w:ascii="Verdana" w:hAnsi="Verdana"/>
          <w:sz w:val="20"/>
          <w:szCs w:val="20"/>
        </w:rPr>
        <w:t>Zarząd Giełdy podaje do wiadomości uczestników obrotu informacje o zasadach dokonywania tych zmian niezwłocznie po przekazaniu przez emitenta instrumentu bazowego do publicznej wiadomości informacji o decyzji, o której mowa w ust. 1 lit. a) lub b).”;</w:t>
      </w:r>
    </w:p>
    <w:p w14:paraId="5FE978D1" w14:textId="415B9E3A" w:rsidR="00D44BB3" w:rsidRPr="00920145" w:rsidRDefault="00D44BB3" w:rsidP="008362AE">
      <w:pPr>
        <w:pStyle w:val="Nagwek3"/>
      </w:pPr>
      <w:r w:rsidRPr="00920145">
        <w:t>§ 99 otrzymuje brzmienie:</w:t>
      </w:r>
    </w:p>
    <w:p w14:paraId="72D1EDD6" w14:textId="359BFF68" w:rsidR="00D44BB3" w:rsidRPr="00920145" w:rsidRDefault="00D44BB3" w:rsidP="00A23201">
      <w:pPr>
        <w:pStyle w:val="Akapitzlist"/>
        <w:tabs>
          <w:tab w:val="left" w:pos="851"/>
        </w:tabs>
        <w:spacing w:after="120" w:line="360" w:lineRule="auto"/>
        <w:ind w:left="567" w:firstLine="284"/>
        <w:contextualSpacing w:val="0"/>
        <w:jc w:val="both"/>
        <w:rPr>
          <w:rFonts w:ascii="Verdana" w:hAnsi="Verdana" w:cs="Arial"/>
          <w:spacing w:val="-3"/>
          <w:sz w:val="20"/>
          <w:szCs w:val="20"/>
        </w:rPr>
      </w:pPr>
      <w:r w:rsidRPr="00920145">
        <w:rPr>
          <w:rFonts w:ascii="Verdana" w:hAnsi="Verdana" w:cs="Arial"/>
          <w:spacing w:val="-3"/>
          <w:sz w:val="20"/>
          <w:szCs w:val="20"/>
        </w:rPr>
        <w:t>„§ 99</w:t>
      </w:r>
    </w:p>
    <w:p w14:paraId="57821CAE" w14:textId="177E3073" w:rsidR="00D44BB3" w:rsidRPr="00920145" w:rsidRDefault="00D44BB3" w:rsidP="00A23201">
      <w:pPr>
        <w:spacing w:after="240" w:line="360" w:lineRule="auto"/>
        <w:ind w:left="143" w:firstLine="708"/>
        <w:rPr>
          <w:rFonts w:ascii="Verdana" w:hAnsi="Verdana"/>
          <w:sz w:val="20"/>
          <w:szCs w:val="18"/>
        </w:rPr>
      </w:pPr>
      <w:r w:rsidRPr="00920145">
        <w:rPr>
          <w:rFonts w:ascii="Verdana" w:hAnsi="Verdana" w:cs="Arial"/>
          <w:sz w:val="20"/>
          <w:szCs w:val="18"/>
        </w:rPr>
        <w:t>S</w:t>
      </w:r>
      <w:r w:rsidRPr="00920145">
        <w:rPr>
          <w:rFonts w:ascii="Verdana" w:hAnsi="Verdana"/>
          <w:sz w:val="20"/>
          <w:szCs w:val="18"/>
        </w:rPr>
        <w:t xml:space="preserve">zczegółowe zasady obrotu dla opcji na indeksy giełdowe: </w:t>
      </w:r>
    </w:p>
    <w:tbl>
      <w:tblPr>
        <w:tblW w:w="822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8"/>
        <w:gridCol w:w="5344"/>
      </w:tblGrid>
      <w:tr w:rsidR="00D44BB3" w:rsidRPr="00920145" w14:paraId="57C77E6A" w14:textId="77777777" w:rsidTr="00414CC9">
        <w:tc>
          <w:tcPr>
            <w:tcW w:w="2878" w:type="dxa"/>
            <w:tcBorders>
              <w:top w:val="single" w:sz="4" w:space="0" w:color="auto"/>
              <w:left w:val="single" w:sz="4" w:space="0" w:color="auto"/>
              <w:bottom w:val="single" w:sz="4" w:space="0" w:color="auto"/>
              <w:right w:val="single" w:sz="4" w:space="0" w:color="auto"/>
            </w:tcBorders>
          </w:tcPr>
          <w:p w14:paraId="6F110185" w14:textId="77777777" w:rsidR="00D44BB3" w:rsidRPr="00920145" w:rsidRDefault="00D44BB3" w:rsidP="00A23201">
            <w:pPr>
              <w:pStyle w:val="Tekstpodstawowy21"/>
              <w:spacing w:before="60" w:line="360" w:lineRule="auto"/>
              <w:rPr>
                <w:rFonts w:ascii="Verdana" w:hAnsi="Verdana" w:cs="Arial"/>
              </w:rPr>
            </w:pPr>
            <w:r w:rsidRPr="00920145">
              <w:rPr>
                <w:rFonts w:ascii="Verdana" w:hAnsi="Verdana" w:cs="Arial"/>
              </w:rPr>
              <w:t xml:space="preserve">Jednostka  transakcyjna </w:t>
            </w:r>
          </w:p>
        </w:tc>
        <w:tc>
          <w:tcPr>
            <w:tcW w:w="5344" w:type="dxa"/>
            <w:tcBorders>
              <w:top w:val="single" w:sz="4" w:space="0" w:color="auto"/>
              <w:left w:val="single" w:sz="4" w:space="0" w:color="auto"/>
              <w:bottom w:val="single" w:sz="4" w:space="0" w:color="auto"/>
              <w:right w:val="single" w:sz="4" w:space="0" w:color="auto"/>
            </w:tcBorders>
          </w:tcPr>
          <w:p w14:paraId="7A74394F" w14:textId="77777777" w:rsidR="00D44BB3" w:rsidRPr="00920145" w:rsidRDefault="00D44BB3" w:rsidP="00A23201">
            <w:pPr>
              <w:pStyle w:val="Tekstpodstawowy21"/>
              <w:spacing w:before="60" w:line="360" w:lineRule="auto"/>
              <w:rPr>
                <w:rFonts w:ascii="Verdana" w:hAnsi="Verdana" w:cs="Arial"/>
              </w:rPr>
            </w:pPr>
            <w:r w:rsidRPr="00920145">
              <w:rPr>
                <w:rFonts w:ascii="Verdana" w:hAnsi="Verdana" w:cs="Arial"/>
              </w:rPr>
              <w:t>jeden instrument, chyba że Zarząd Giełdy określi inną jednostkę transakcyjną</w:t>
            </w:r>
          </w:p>
        </w:tc>
      </w:tr>
      <w:tr w:rsidR="007164ED" w:rsidRPr="00920145" w14:paraId="3F7E59E9" w14:textId="77777777" w:rsidTr="00414CC9">
        <w:tc>
          <w:tcPr>
            <w:tcW w:w="2878" w:type="dxa"/>
            <w:tcBorders>
              <w:top w:val="single" w:sz="4" w:space="0" w:color="auto"/>
              <w:left w:val="single" w:sz="4" w:space="0" w:color="auto"/>
              <w:bottom w:val="single" w:sz="4" w:space="0" w:color="auto"/>
              <w:right w:val="single" w:sz="4" w:space="0" w:color="auto"/>
            </w:tcBorders>
          </w:tcPr>
          <w:p w14:paraId="20CCEC3A" w14:textId="35C9AF56" w:rsidR="007164ED" w:rsidRPr="00920145" w:rsidDel="007164ED" w:rsidRDefault="007164ED" w:rsidP="007164ED">
            <w:pPr>
              <w:pStyle w:val="Tekstpodstawowy21"/>
              <w:spacing w:before="60" w:line="360" w:lineRule="auto"/>
              <w:rPr>
                <w:rFonts w:ascii="Verdana" w:hAnsi="Verdana" w:cs="Arial"/>
              </w:rPr>
            </w:pPr>
            <w:r w:rsidRPr="00920145">
              <w:rPr>
                <w:rFonts w:ascii="Verdana" w:hAnsi="Verdana"/>
              </w:rPr>
              <w:t>Losowy czas otwarcia</w:t>
            </w:r>
            <w:r w:rsidRPr="00920145">
              <w:rPr>
                <w:rFonts w:ascii="Verdana" w:hAnsi="Verdana"/>
              </w:rPr>
              <w:br/>
              <w:t>dla fazy aukcji otwarcia</w:t>
            </w:r>
          </w:p>
        </w:tc>
        <w:tc>
          <w:tcPr>
            <w:tcW w:w="5344" w:type="dxa"/>
            <w:tcBorders>
              <w:top w:val="single" w:sz="4" w:space="0" w:color="auto"/>
              <w:left w:val="single" w:sz="4" w:space="0" w:color="auto"/>
              <w:bottom w:val="single" w:sz="4" w:space="0" w:color="auto"/>
              <w:right w:val="single" w:sz="4" w:space="0" w:color="auto"/>
            </w:tcBorders>
          </w:tcPr>
          <w:p w14:paraId="708F2B55" w14:textId="4874A66E" w:rsidR="007164ED" w:rsidRPr="00920145" w:rsidDel="007164ED" w:rsidRDefault="002F0779" w:rsidP="007164ED">
            <w:pPr>
              <w:pStyle w:val="Tekstpodstawowy21"/>
              <w:spacing w:before="60" w:line="360" w:lineRule="auto"/>
              <w:rPr>
                <w:rFonts w:ascii="Verdana" w:hAnsi="Verdana" w:cs="Arial"/>
              </w:rPr>
            </w:pPr>
            <w:r w:rsidRPr="00920145">
              <w:rPr>
                <w:rFonts w:ascii="Verdana" w:hAnsi="Verdana"/>
              </w:rPr>
              <w:t>(</w:t>
            </w:r>
            <w:r w:rsidR="007164ED" w:rsidRPr="00920145">
              <w:rPr>
                <w:rFonts w:ascii="Verdana" w:hAnsi="Verdana"/>
              </w:rPr>
              <w:t>+</w:t>
            </w:r>
            <w:r w:rsidRPr="00920145">
              <w:rPr>
                <w:rFonts w:ascii="Verdana" w:hAnsi="Verdana"/>
              </w:rPr>
              <w:t>)</w:t>
            </w:r>
            <w:r w:rsidR="007164ED" w:rsidRPr="00920145">
              <w:rPr>
                <w:rFonts w:ascii="Verdana" w:hAnsi="Verdana"/>
              </w:rPr>
              <w:t xml:space="preserve"> 0-30 sekund</w:t>
            </w:r>
          </w:p>
        </w:tc>
      </w:tr>
      <w:tr w:rsidR="007164ED" w:rsidRPr="00920145" w14:paraId="2F854114" w14:textId="77777777" w:rsidTr="00414CC9">
        <w:tc>
          <w:tcPr>
            <w:tcW w:w="2878" w:type="dxa"/>
            <w:tcBorders>
              <w:top w:val="single" w:sz="4" w:space="0" w:color="auto"/>
              <w:left w:val="single" w:sz="4" w:space="0" w:color="auto"/>
              <w:bottom w:val="single" w:sz="4" w:space="0" w:color="auto"/>
              <w:right w:val="single" w:sz="4" w:space="0" w:color="auto"/>
            </w:tcBorders>
          </w:tcPr>
          <w:p w14:paraId="0BCFFEF6" w14:textId="741CB44E" w:rsidR="007164ED" w:rsidRPr="00920145" w:rsidDel="007164ED" w:rsidRDefault="007164ED" w:rsidP="007164ED">
            <w:pPr>
              <w:pStyle w:val="Tekstpodstawowy21"/>
              <w:spacing w:before="60" w:line="360" w:lineRule="auto"/>
              <w:rPr>
                <w:rFonts w:ascii="Verdana" w:hAnsi="Verdana" w:cs="Arial"/>
              </w:rPr>
            </w:pPr>
            <w:r w:rsidRPr="00920145">
              <w:rPr>
                <w:rFonts w:ascii="Verdana" w:hAnsi="Verdana"/>
              </w:rPr>
              <w:t>Losowy czas otwarcia</w:t>
            </w:r>
            <w:r w:rsidRPr="00920145">
              <w:rPr>
                <w:rFonts w:ascii="Verdana" w:hAnsi="Verdana"/>
              </w:rPr>
              <w:br/>
              <w:t>dla fazy aukcji zamknięcia</w:t>
            </w:r>
          </w:p>
        </w:tc>
        <w:tc>
          <w:tcPr>
            <w:tcW w:w="5344" w:type="dxa"/>
            <w:tcBorders>
              <w:top w:val="single" w:sz="4" w:space="0" w:color="auto"/>
              <w:left w:val="single" w:sz="4" w:space="0" w:color="auto"/>
              <w:bottom w:val="single" w:sz="4" w:space="0" w:color="auto"/>
              <w:right w:val="single" w:sz="4" w:space="0" w:color="auto"/>
            </w:tcBorders>
          </w:tcPr>
          <w:p w14:paraId="4574DE69" w14:textId="577890F8" w:rsidR="007164ED" w:rsidRPr="00920145" w:rsidDel="007164ED" w:rsidRDefault="002F0779" w:rsidP="007164ED">
            <w:pPr>
              <w:pStyle w:val="Tekstpodstawowy21"/>
              <w:spacing w:before="60" w:line="360" w:lineRule="auto"/>
              <w:rPr>
                <w:rFonts w:ascii="Verdana" w:hAnsi="Verdana" w:cs="Arial"/>
              </w:rPr>
            </w:pPr>
            <w:r w:rsidRPr="00920145">
              <w:rPr>
                <w:rFonts w:ascii="Verdana" w:hAnsi="Verdana"/>
              </w:rPr>
              <w:t>(</w:t>
            </w:r>
            <w:r w:rsidR="007164ED" w:rsidRPr="00920145">
              <w:rPr>
                <w:rFonts w:ascii="Verdana" w:hAnsi="Verdana"/>
              </w:rPr>
              <w:t>-</w:t>
            </w:r>
            <w:r w:rsidRPr="00920145">
              <w:rPr>
                <w:rFonts w:ascii="Verdana" w:hAnsi="Verdana"/>
              </w:rPr>
              <w:t>)</w:t>
            </w:r>
            <w:r w:rsidR="007164ED" w:rsidRPr="00920145">
              <w:rPr>
                <w:rFonts w:ascii="Verdana" w:hAnsi="Verdana"/>
              </w:rPr>
              <w:t xml:space="preserve"> 0-30 sekund</w:t>
            </w:r>
          </w:p>
        </w:tc>
      </w:tr>
      <w:tr w:rsidR="00D44BB3" w:rsidRPr="00920145" w14:paraId="4F13F2CC" w14:textId="77777777" w:rsidTr="00414CC9">
        <w:tc>
          <w:tcPr>
            <w:tcW w:w="2878" w:type="dxa"/>
          </w:tcPr>
          <w:p w14:paraId="061C5926" w14:textId="77777777" w:rsidR="00D44BB3" w:rsidRPr="00920145" w:rsidRDefault="00D44BB3" w:rsidP="00A23201">
            <w:pPr>
              <w:pStyle w:val="Tekstpodstawowy21"/>
              <w:spacing w:before="60" w:line="360" w:lineRule="auto"/>
              <w:jc w:val="left"/>
              <w:rPr>
                <w:rFonts w:ascii="Verdana" w:hAnsi="Verdana" w:cs="Arial"/>
              </w:rPr>
            </w:pPr>
            <w:r w:rsidRPr="00920145">
              <w:rPr>
                <w:rFonts w:ascii="Verdana" w:hAnsi="Verdana" w:cs="Arial"/>
              </w:rPr>
              <w:t>Jednostka określania kursu opcji</w:t>
            </w:r>
          </w:p>
        </w:tc>
        <w:tc>
          <w:tcPr>
            <w:tcW w:w="5344" w:type="dxa"/>
          </w:tcPr>
          <w:p w14:paraId="0894C9F2" w14:textId="77777777" w:rsidR="00D44BB3" w:rsidRPr="00920145" w:rsidRDefault="00D44BB3" w:rsidP="00A23201">
            <w:pPr>
              <w:pStyle w:val="Tekstpodstawowy21"/>
              <w:spacing w:before="60" w:line="360" w:lineRule="auto"/>
              <w:rPr>
                <w:rFonts w:ascii="Verdana" w:hAnsi="Verdana" w:cs="Arial"/>
              </w:rPr>
            </w:pPr>
            <w:r w:rsidRPr="00920145">
              <w:rPr>
                <w:rFonts w:ascii="Verdana" w:hAnsi="Verdana" w:cs="Arial"/>
              </w:rPr>
              <w:t>punkty indeksowe - z dokładnością równą krokowi notowania</w:t>
            </w:r>
          </w:p>
        </w:tc>
      </w:tr>
      <w:tr w:rsidR="00D44BB3" w:rsidRPr="00920145" w14:paraId="0F032F9A" w14:textId="77777777" w:rsidTr="00414CC9">
        <w:tc>
          <w:tcPr>
            <w:tcW w:w="2878" w:type="dxa"/>
          </w:tcPr>
          <w:p w14:paraId="4B566A8E" w14:textId="77777777" w:rsidR="00D44BB3" w:rsidRPr="00920145" w:rsidRDefault="00D44BB3" w:rsidP="00A23201">
            <w:pPr>
              <w:pStyle w:val="Tekstpodstawowy21"/>
              <w:spacing w:before="60" w:line="360" w:lineRule="auto"/>
              <w:jc w:val="left"/>
              <w:rPr>
                <w:rFonts w:ascii="Verdana" w:hAnsi="Verdana" w:cs="Arial"/>
              </w:rPr>
            </w:pPr>
            <w:r w:rsidRPr="00920145">
              <w:rPr>
                <w:rFonts w:ascii="Verdana" w:hAnsi="Verdana" w:cs="Arial"/>
              </w:rPr>
              <w:t>Jednostka określania kursu rozliczeniowego</w:t>
            </w:r>
          </w:p>
        </w:tc>
        <w:tc>
          <w:tcPr>
            <w:tcW w:w="5344" w:type="dxa"/>
          </w:tcPr>
          <w:p w14:paraId="4D429962" w14:textId="77777777" w:rsidR="00D44BB3" w:rsidRPr="00920145" w:rsidRDefault="00D44BB3" w:rsidP="00A23201">
            <w:pPr>
              <w:pStyle w:val="Tekstpodstawowy21"/>
              <w:spacing w:before="60" w:line="360" w:lineRule="auto"/>
              <w:rPr>
                <w:rFonts w:ascii="Verdana" w:hAnsi="Verdana" w:cs="Arial"/>
              </w:rPr>
            </w:pPr>
            <w:r w:rsidRPr="00920145">
              <w:rPr>
                <w:rFonts w:ascii="Verdana" w:hAnsi="Verdana" w:cs="Arial"/>
              </w:rPr>
              <w:t>punkty indeksowe - z dokładnością równą dokładności określania ostatecznego kursu rozliczeniowego dla kontraktów terminowych na ten sam indeks</w:t>
            </w:r>
          </w:p>
        </w:tc>
      </w:tr>
      <w:tr w:rsidR="00D44BB3" w:rsidRPr="00920145" w14:paraId="2FA04787" w14:textId="77777777" w:rsidTr="00414CC9">
        <w:tc>
          <w:tcPr>
            <w:tcW w:w="2878" w:type="dxa"/>
          </w:tcPr>
          <w:p w14:paraId="0845E91C" w14:textId="77777777" w:rsidR="00D44BB3" w:rsidRPr="00920145" w:rsidRDefault="00D44BB3" w:rsidP="00A23201">
            <w:pPr>
              <w:pStyle w:val="Tekstpodstawowy21"/>
              <w:spacing w:before="60" w:line="360" w:lineRule="auto"/>
              <w:jc w:val="left"/>
              <w:rPr>
                <w:rFonts w:ascii="Verdana" w:hAnsi="Verdana" w:cs="Arial"/>
              </w:rPr>
            </w:pPr>
            <w:r w:rsidRPr="00920145">
              <w:rPr>
                <w:rFonts w:ascii="Verdana" w:hAnsi="Verdana" w:cs="Arial"/>
              </w:rPr>
              <w:t>Krok notowania</w:t>
            </w:r>
          </w:p>
        </w:tc>
        <w:tc>
          <w:tcPr>
            <w:tcW w:w="5344" w:type="dxa"/>
          </w:tcPr>
          <w:p w14:paraId="7D0C998E" w14:textId="77777777" w:rsidR="00D44BB3" w:rsidRPr="00920145" w:rsidRDefault="00D44BB3" w:rsidP="002F0779">
            <w:pPr>
              <w:pStyle w:val="Tekstpodstawowy21"/>
              <w:spacing w:before="60" w:line="360" w:lineRule="auto"/>
              <w:rPr>
                <w:rFonts w:ascii="Verdana" w:hAnsi="Verdana" w:cs="Arial"/>
              </w:rPr>
            </w:pPr>
            <w:r w:rsidRPr="00920145">
              <w:rPr>
                <w:rFonts w:ascii="Verdana" w:hAnsi="Verdana" w:cs="Arial"/>
              </w:rPr>
              <w:t>a) 0,01 punktu indeksowego, jeżeli wysokość kursu opcji nie przekracza 50 punktów indeksowych</w:t>
            </w:r>
          </w:p>
          <w:p w14:paraId="676BDA3D" w14:textId="77777777" w:rsidR="00D44BB3" w:rsidRPr="00920145" w:rsidRDefault="00D44BB3" w:rsidP="002F0779">
            <w:pPr>
              <w:pStyle w:val="Tekstpodstawowy21"/>
              <w:spacing w:before="60" w:line="360" w:lineRule="auto"/>
              <w:rPr>
                <w:rFonts w:ascii="Verdana" w:hAnsi="Verdana" w:cs="Arial"/>
              </w:rPr>
            </w:pPr>
            <w:r w:rsidRPr="00920145">
              <w:rPr>
                <w:rFonts w:ascii="Verdana" w:hAnsi="Verdana" w:cs="Arial"/>
              </w:rPr>
              <w:t>b) 0,05 punktu indeksowego, jeżeli wysokość kursu opcji przekracza 50 punktów indeksowych</w:t>
            </w:r>
          </w:p>
        </w:tc>
      </w:tr>
      <w:tr w:rsidR="00D44BB3" w:rsidRPr="00920145" w14:paraId="1C3AD0F2" w14:textId="77777777" w:rsidTr="00414CC9">
        <w:tc>
          <w:tcPr>
            <w:tcW w:w="2878" w:type="dxa"/>
          </w:tcPr>
          <w:p w14:paraId="32E4D911" w14:textId="77777777" w:rsidR="00D44BB3" w:rsidRPr="00920145" w:rsidRDefault="00D44BB3" w:rsidP="00A23201">
            <w:pPr>
              <w:pStyle w:val="Tekstpodstawowy21"/>
              <w:spacing w:before="60" w:line="360" w:lineRule="auto"/>
              <w:jc w:val="left"/>
              <w:rPr>
                <w:rFonts w:ascii="Verdana" w:hAnsi="Verdana" w:cs="Arial"/>
              </w:rPr>
            </w:pPr>
            <w:r w:rsidRPr="00920145">
              <w:rPr>
                <w:rFonts w:ascii="Verdana" w:hAnsi="Verdana"/>
              </w:rPr>
              <w:t xml:space="preserve">Maksymalne wartości dla limitów cen w zleceniu maklerskim    </w:t>
            </w:r>
          </w:p>
        </w:tc>
        <w:tc>
          <w:tcPr>
            <w:tcW w:w="5344" w:type="dxa"/>
          </w:tcPr>
          <w:p w14:paraId="10681E8C" w14:textId="79E42E0B" w:rsidR="00D44BB3" w:rsidRPr="00920145" w:rsidRDefault="00D44BB3" w:rsidP="002F0779">
            <w:pPr>
              <w:spacing w:after="120" w:line="360" w:lineRule="auto"/>
              <w:rPr>
                <w:rFonts w:ascii="Verdana" w:hAnsi="Verdana"/>
                <w:sz w:val="20"/>
                <w:szCs w:val="20"/>
              </w:rPr>
            </w:pPr>
            <w:r w:rsidRPr="00920145">
              <w:rPr>
                <w:rFonts w:ascii="Verdana" w:hAnsi="Verdana"/>
                <w:sz w:val="20"/>
                <w:szCs w:val="20"/>
              </w:rPr>
              <w:t>a) 100 punktów indeksowych – przy kursie odniesienia od 0,01 punktu do 2,49 punktu,</w:t>
            </w:r>
          </w:p>
          <w:p w14:paraId="05688B46" w14:textId="3A58C0AB" w:rsidR="00D44BB3" w:rsidRPr="00920145" w:rsidRDefault="00D44BB3" w:rsidP="002F0779">
            <w:pPr>
              <w:spacing w:after="120" w:line="360" w:lineRule="auto"/>
              <w:rPr>
                <w:rFonts w:ascii="Verdana" w:hAnsi="Verdana"/>
                <w:sz w:val="20"/>
                <w:szCs w:val="20"/>
              </w:rPr>
            </w:pPr>
            <w:r w:rsidRPr="00920145">
              <w:rPr>
                <w:rFonts w:ascii="Verdana" w:hAnsi="Verdana"/>
                <w:sz w:val="20"/>
                <w:szCs w:val="20"/>
              </w:rPr>
              <w:t>b) 200 punktów indeksowych – przy kursie odniesienia od 2,50 punktu do 4,99 punktu,</w:t>
            </w:r>
          </w:p>
          <w:p w14:paraId="16B3A891" w14:textId="380BDE37" w:rsidR="00D44BB3" w:rsidRPr="00920145" w:rsidRDefault="00D44BB3" w:rsidP="002F0779">
            <w:pPr>
              <w:spacing w:after="120" w:line="360" w:lineRule="auto"/>
              <w:rPr>
                <w:rFonts w:ascii="Verdana" w:hAnsi="Verdana"/>
                <w:sz w:val="20"/>
                <w:szCs w:val="20"/>
              </w:rPr>
            </w:pPr>
            <w:r w:rsidRPr="00920145">
              <w:rPr>
                <w:rFonts w:ascii="Verdana" w:hAnsi="Verdana"/>
                <w:sz w:val="20"/>
                <w:szCs w:val="20"/>
              </w:rPr>
              <w:lastRenderedPageBreak/>
              <w:t>c) 400 punktów indeksowych – przy kursie odniesienia od 5 punktów do 24,99 punktu,</w:t>
            </w:r>
          </w:p>
          <w:p w14:paraId="055675A2" w14:textId="2D89E451" w:rsidR="00D44BB3" w:rsidRPr="00920145" w:rsidRDefault="00D44BB3" w:rsidP="002F0779">
            <w:pPr>
              <w:spacing w:after="120" w:line="360" w:lineRule="auto"/>
              <w:rPr>
                <w:rFonts w:ascii="Verdana" w:hAnsi="Verdana"/>
                <w:sz w:val="20"/>
                <w:szCs w:val="20"/>
              </w:rPr>
            </w:pPr>
            <w:r w:rsidRPr="00920145">
              <w:rPr>
                <w:rFonts w:ascii="Verdana" w:hAnsi="Verdana"/>
                <w:sz w:val="20"/>
                <w:szCs w:val="20"/>
              </w:rPr>
              <w:t>d) 600 punktów indeksowych – przy kursie odniesienia od 25 punktów do 99,95 punktu,</w:t>
            </w:r>
          </w:p>
          <w:p w14:paraId="421E3743" w14:textId="6D21782A" w:rsidR="00D44BB3" w:rsidRPr="00920145" w:rsidRDefault="00D44BB3" w:rsidP="002F0779">
            <w:pPr>
              <w:pStyle w:val="Tekstpodstawowy21"/>
              <w:spacing w:before="60" w:line="360" w:lineRule="auto"/>
              <w:rPr>
                <w:rFonts w:ascii="Verdana" w:hAnsi="Verdana" w:cs="Arial"/>
              </w:rPr>
            </w:pPr>
            <w:r w:rsidRPr="00920145">
              <w:rPr>
                <w:rFonts w:ascii="Verdana" w:hAnsi="Verdana"/>
              </w:rPr>
              <w:t>e) 800 punktów indeksowych – przy kursie odniesienia 100 punktów lub wyższym</w:t>
            </w:r>
          </w:p>
        </w:tc>
      </w:tr>
      <w:tr w:rsidR="00D44BB3" w:rsidRPr="00920145" w14:paraId="09F600FA" w14:textId="77777777" w:rsidTr="00414CC9">
        <w:tc>
          <w:tcPr>
            <w:tcW w:w="2878" w:type="dxa"/>
          </w:tcPr>
          <w:p w14:paraId="176E91F5" w14:textId="77777777" w:rsidR="00D44BB3" w:rsidRPr="00920145" w:rsidRDefault="00D44BB3" w:rsidP="00A23201">
            <w:pPr>
              <w:pStyle w:val="Tekstpodstawowy21"/>
              <w:spacing w:before="60" w:line="360" w:lineRule="auto"/>
              <w:jc w:val="left"/>
              <w:rPr>
                <w:rFonts w:ascii="Verdana" w:hAnsi="Verdana" w:cs="Arial"/>
              </w:rPr>
            </w:pPr>
            <w:r w:rsidRPr="00920145">
              <w:rPr>
                <w:rFonts w:ascii="Verdana" w:hAnsi="Verdana" w:cs="Arial"/>
              </w:rPr>
              <w:lastRenderedPageBreak/>
              <w:t xml:space="preserve">Maksymalna wartość zlecenia maklerskiego    </w:t>
            </w:r>
          </w:p>
        </w:tc>
        <w:tc>
          <w:tcPr>
            <w:tcW w:w="5344" w:type="dxa"/>
          </w:tcPr>
          <w:p w14:paraId="07E226C5" w14:textId="26B4DE97" w:rsidR="00D44BB3" w:rsidRPr="00920145" w:rsidRDefault="00D44BB3" w:rsidP="00A23201">
            <w:pPr>
              <w:pStyle w:val="Tekstpodstawowy21"/>
              <w:spacing w:before="60" w:line="360" w:lineRule="auto"/>
              <w:rPr>
                <w:rFonts w:ascii="Verdana" w:hAnsi="Verdana" w:cs="Arial"/>
              </w:rPr>
            </w:pPr>
            <w:r w:rsidRPr="00920145">
              <w:rPr>
                <w:rFonts w:ascii="Verdana" w:hAnsi="Verdana" w:cs="Arial"/>
              </w:rPr>
              <w:t xml:space="preserve">75.000.000 jednostek waluty notowania </w:t>
            </w:r>
          </w:p>
        </w:tc>
      </w:tr>
      <w:tr w:rsidR="00D44BB3" w:rsidRPr="00920145" w14:paraId="04679665" w14:textId="77777777" w:rsidTr="00414CC9">
        <w:tc>
          <w:tcPr>
            <w:tcW w:w="2878" w:type="dxa"/>
          </w:tcPr>
          <w:p w14:paraId="3D902D25" w14:textId="77777777" w:rsidR="00D44BB3" w:rsidRPr="00920145" w:rsidRDefault="00D44BB3" w:rsidP="00A23201">
            <w:pPr>
              <w:pStyle w:val="Tekstpodstawowy21"/>
              <w:spacing w:before="60" w:line="360" w:lineRule="auto"/>
              <w:jc w:val="left"/>
              <w:rPr>
                <w:rFonts w:ascii="Verdana" w:hAnsi="Verdana" w:cs="Arial"/>
              </w:rPr>
            </w:pPr>
            <w:r w:rsidRPr="00920145">
              <w:rPr>
                <w:rFonts w:ascii="Verdana" w:hAnsi="Verdana" w:cs="Arial"/>
              </w:rPr>
              <w:t xml:space="preserve">Maksymalny wolumen zlecenia maklerskiego </w:t>
            </w:r>
          </w:p>
        </w:tc>
        <w:tc>
          <w:tcPr>
            <w:tcW w:w="5344" w:type="dxa"/>
          </w:tcPr>
          <w:p w14:paraId="5F20B25E" w14:textId="77777777" w:rsidR="00D44BB3" w:rsidRPr="00920145" w:rsidRDefault="00D44BB3" w:rsidP="00A23201">
            <w:pPr>
              <w:pStyle w:val="Tekstpodstawowy21"/>
              <w:spacing w:before="60" w:line="360" w:lineRule="auto"/>
              <w:rPr>
                <w:rFonts w:ascii="Verdana" w:hAnsi="Verdana" w:cs="Arial"/>
              </w:rPr>
            </w:pPr>
            <w:r w:rsidRPr="00920145">
              <w:rPr>
                <w:rFonts w:ascii="Verdana" w:hAnsi="Verdana" w:cs="Arial"/>
              </w:rPr>
              <w:t>500 instrumentów</w:t>
            </w:r>
          </w:p>
        </w:tc>
      </w:tr>
      <w:tr w:rsidR="00D44BB3" w:rsidRPr="00920145" w14:paraId="37A9FE3E" w14:textId="77777777" w:rsidTr="00414CC9">
        <w:trPr>
          <w:trHeight w:val="1546"/>
        </w:trPr>
        <w:tc>
          <w:tcPr>
            <w:tcW w:w="2878" w:type="dxa"/>
          </w:tcPr>
          <w:p w14:paraId="150156CB" w14:textId="77777777" w:rsidR="00D44BB3" w:rsidRPr="00920145" w:rsidRDefault="00D44BB3" w:rsidP="00A23201">
            <w:pPr>
              <w:pStyle w:val="Tekstpodstawowy21"/>
              <w:spacing w:before="60" w:line="360" w:lineRule="auto"/>
              <w:jc w:val="left"/>
              <w:rPr>
                <w:rFonts w:ascii="Verdana" w:hAnsi="Verdana" w:cs="Arial"/>
              </w:rPr>
            </w:pPr>
            <w:r w:rsidRPr="00920145">
              <w:rPr>
                <w:rFonts w:ascii="Verdana" w:hAnsi="Verdana" w:cs="Arial"/>
              </w:rPr>
              <w:t>Wysokość statycznych ograniczeń wahań kursów</w:t>
            </w:r>
          </w:p>
        </w:tc>
        <w:tc>
          <w:tcPr>
            <w:tcW w:w="5344" w:type="dxa"/>
          </w:tcPr>
          <w:p w14:paraId="6F6B62C4" w14:textId="77777777" w:rsidR="00D44BB3" w:rsidRPr="00920145" w:rsidRDefault="00D44BB3" w:rsidP="009C4CBB">
            <w:pPr>
              <w:spacing w:after="120" w:line="360" w:lineRule="auto"/>
              <w:jc w:val="both"/>
              <w:rPr>
                <w:rFonts w:ascii="Verdana" w:hAnsi="Verdana"/>
                <w:sz w:val="20"/>
                <w:szCs w:val="20"/>
              </w:rPr>
            </w:pPr>
            <w:r w:rsidRPr="00920145">
              <w:rPr>
                <w:rFonts w:ascii="Verdana" w:hAnsi="Verdana"/>
                <w:sz w:val="20"/>
                <w:szCs w:val="20"/>
              </w:rPr>
              <w:t>Kurs otwarcia, kurs transakcyjny i kurs zamknięcia może być wyższy (górne ograniczenie) lub niższy (dolne ograniczenie) od kursu odniesienia najwyżej o:</w:t>
            </w:r>
          </w:p>
          <w:p w14:paraId="05B8DBD0" w14:textId="41C7589A" w:rsidR="00D44BB3" w:rsidRPr="00920145" w:rsidRDefault="00D44BB3" w:rsidP="009C4CBB">
            <w:pPr>
              <w:spacing w:after="120" w:line="360" w:lineRule="auto"/>
              <w:jc w:val="both"/>
              <w:rPr>
                <w:rFonts w:ascii="Verdana" w:hAnsi="Verdana"/>
                <w:sz w:val="20"/>
                <w:szCs w:val="20"/>
              </w:rPr>
            </w:pPr>
            <w:r w:rsidRPr="00920145">
              <w:rPr>
                <w:rFonts w:ascii="Verdana" w:hAnsi="Verdana"/>
                <w:sz w:val="20"/>
                <w:szCs w:val="20"/>
              </w:rPr>
              <w:t>a) 25 punktów indeksowych – przy kursie odniesienia od 0,01 punktu do 2,49 punktu,</w:t>
            </w:r>
          </w:p>
          <w:p w14:paraId="1FD56F8A" w14:textId="179EE87C" w:rsidR="00D44BB3" w:rsidRPr="00920145" w:rsidRDefault="00D44BB3" w:rsidP="009C4CBB">
            <w:pPr>
              <w:spacing w:after="120" w:line="360" w:lineRule="auto"/>
              <w:jc w:val="both"/>
              <w:rPr>
                <w:rFonts w:ascii="Verdana" w:hAnsi="Verdana"/>
                <w:sz w:val="20"/>
                <w:szCs w:val="20"/>
              </w:rPr>
            </w:pPr>
            <w:r w:rsidRPr="00920145">
              <w:rPr>
                <w:rFonts w:ascii="Verdana" w:hAnsi="Verdana"/>
                <w:sz w:val="20"/>
                <w:szCs w:val="20"/>
              </w:rPr>
              <w:t>b) 50 punktów indeksowych – przy kursie odniesienia od 2,50 punktu do 4,99 punktu,</w:t>
            </w:r>
          </w:p>
          <w:p w14:paraId="5A24C4B8" w14:textId="46499D09" w:rsidR="00D44BB3" w:rsidRPr="00920145" w:rsidRDefault="00D44BB3" w:rsidP="009C4CBB">
            <w:pPr>
              <w:spacing w:after="120" w:line="360" w:lineRule="auto"/>
              <w:jc w:val="both"/>
              <w:rPr>
                <w:rFonts w:ascii="Verdana" w:hAnsi="Verdana"/>
                <w:sz w:val="20"/>
                <w:szCs w:val="20"/>
              </w:rPr>
            </w:pPr>
            <w:r w:rsidRPr="00920145">
              <w:rPr>
                <w:rFonts w:ascii="Verdana" w:hAnsi="Verdana"/>
                <w:sz w:val="20"/>
                <w:szCs w:val="20"/>
              </w:rPr>
              <w:t>c) 100 punktów indeksowych – przy kursie odniesienia od 5 punktów do 24,99 punktu,</w:t>
            </w:r>
          </w:p>
          <w:p w14:paraId="4F9B9A8A" w14:textId="111A40C2" w:rsidR="00D44BB3" w:rsidRPr="00920145" w:rsidRDefault="00D44BB3" w:rsidP="009C4CBB">
            <w:pPr>
              <w:spacing w:after="120" w:line="360" w:lineRule="auto"/>
              <w:jc w:val="both"/>
              <w:rPr>
                <w:rFonts w:ascii="Verdana" w:hAnsi="Verdana"/>
                <w:sz w:val="20"/>
                <w:szCs w:val="20"/>
              </w:rPr>
            </w:pPr>
            <w:r w:rsidRPr="00920145">
              <w:rPr>
                <w:rFonts w:ascii="Verdana" w:hAnsi="Verdana"/>
                <w:sz w:val="20"/>
                <w:szCs w:val="20"/>
              </w:rPr>
              <w:t>d) 150 punktów indeksowych – przy kursie odniesienia od 25 punktów do 99,95 punktu,</w:t>
            </w:r>
          </w:p>
          <w:p w14:paraId="1F8475DA" w14:textId="373307D4" w:rsidR="00D44BB3" w:rsidRPr="00920145" w:rsidRDefault="00D44BB3" w:rsidP="009C4CBB">
            <w:pPr>
              <w:pStyle w:val="Tekstpodstawowy21"/>
              <w:spacing w:line="360" w:lineRule="auto"/>
              <w:jc w:val="left"/>
              <w:rPr>
                <w:rFonts w:ascii="Verdana" w:hAnsi="Verdana" w:cs="Arial"/>
              </w:rPr>
            </w:pPr>
            <w:r w:rsidRPr="00920145">
              <w:rPr>
                <w:rFonts w:ascii="Verdana" w:hAnsi="Verdana"/>
              </w:rPr>
              <w:t xml:space="preserve">e) 200 punktów indeksowych – przy kursie odniesienia 100 punktów lub wyższym. </w:t>
            </w:r>
          </w:p>
        </w:tc>
      </w:tr>
      <w:tr w:rsidR="00D44BB3" w:rsidRPr="00920145" w14:paraId="7A2EF290" w14:textId="77777777" w:rsidTr="00414CC9">
        <w:trPr>
          <w:trHeight w:val="835"/>
        </w:trPr>
        <w:tc>
          <w:tcPr>
            <w:tcW w:w="2878" w:type="dxa"/>
          </w:tcPr>
          <w:p w14:paraId="0F8B6665" w14:textId="77777777" w:rsidR="00D44BB3" w:rsidRPr="00920145" w:rsidRDefault="00D44BB3" w:rsidP="00876816">
            <w:pPr>
              <w:pStyle w:val="Tekstpodstawowy21"/>
              <w:spacing w:before="120" w:line="360" w:lineRule="auto"/>
              <w:jc w:val="left"/>
              <w:rPr>
                <w:rFonts w:ascii="Verdana" w:hAnsi="Verdana" w:cs="Arial"/>
              </w:rPr>
            </w:pPr>
            <w:r w:rsidRPr="00920145">
              <w:rPr>
                <w:rFonts w:ascii="Verdana" w:hAnsi="Verdana" w:cs="Arial"/>
              </w:rPr>
              <w:t>Kurs odniesienia dla kursu otwarcia, kursu transakcyjnego i kursu zamknięcia</w:t>
            </w:r>
          </w:p>
          <w:p w14:paraId="71E3EA4F" w14:textId="77777777" w:rsidR="00D44BB3" w:rsidRPr="00920145" w:rsidRDefault="00D44BB3" w:rsidP="00A23201">
            <w:pPr>
              <w:pStyle w:val="Tekstpodstawowy21"/>
              <w:spacing w:before="60" w:line="360" w:lineRule="auto"/>
              <w:jc w:val="left"/>
              <w:rPr>
                <w:rFonts w:ascii="Verdana" w:hAnsi="Verdana" w:cs="Arial"/>
              </w:rPr>
            </w:pPr>
            <w:r w:rsidRPr="00920145">
              <w:rPr>
                <w:rFonts w:ascii="Verdana" w:hAnsi="Verdana" w:cs="Arial"/>
              </w:rPr>
              <w:t xml:space="preserve">- dla statycznych ograniczeń wahań kursów </w:t>
            </w:r>
          </w:p>
          <w:p w14:paraId="4FA0CCB0" w14:textId="77777777" w:rsidR="00D44BB3" w:rsidRPr="00920145" w:rsidRDefault="00D44BB3" w:rsidP="00A23201">
            <w:pPr>
              <w:pStyle w:val="Tekstpodstawowy21"/>
              <w:spacing w:before="60" w:line="360" w:lineRule="auto"/>
              <w:jc w:val="left"/>
              <w:rPr>
                <w:rFonts w:ascii="Verdana" w:hAnsi="Verdana" w:cs="Arial"/>
              </w:rPr>
            </w:pPr>
            <w:r w:rsidRPr="00920145">
              <w:rPr>
                <w:rFonts w:ascii="Verdana" w:hAnsi="Verdana" w:cs="Arial"/>
              </w:rPr>
              <w:t xml:space="preserve"> </w:t>
            </w:r>
          </w:p>
          <w:p w14:paraId="66D95CAB" w14:textId="77777777" w:rsidR="00D44BB3" w:rsidRPr="00920145" w:rsidRDefault="00D44BB3" w:rsidP="00A23201">
            <w:pPr>
              <w:pStyle w:val="Tekstpodstawowy21"/>
              <w:spacing w:before="60" w:line="360" w:lineRule="auto"/>
              <w:jc w:val="left"/>
              <w:rPr>
                <w:rFonts w:ascii="Verdana" w:hAnsi="Verdana" w:cs="Arial"/>
              </w:rPr>
            </w:pPr>
          </w:p>
        </w:tc>
        <w:tc>
          <w:tcPr>
            <w:tcW w:w="5344" w:type="dxa"/>
          </w:tcPr>
          <w:p w14:paraId="3BC4F911" w14:textId="77777777" w:rsidR="00D44BB3" w:rsidRPr="00920145" w:rsidRDefault="00D44BB3" w:rsidP="00876816">
            <w:pPr>
              <w:autoSpaceDE w:val="0"/>
              <w:autoSpaceDN w:val="0"/>
              <w:adjustRightInd w:val="0"/>
              <w:spacing w:before="120" w:after="240" w:line="360" w:lineRule="auto"/>
              <w:rPr>
                <w:rFonts w:ascii="Verdana" w:hAnsi="Verdana" w:cs="Arial"/>
                <w:sz w:val="20"/>
                <w:szCs w:val="20"/>
              </w:rPr>
            </w:pPr>
            <w:r w:rsidRPr="00920145">
              <w:rPr>
                <w:rFonts w:ascii="Verdana" w:hAnsi="Verdana" w:cs="Arial"/>
                <w:sz w:val="20"/>
                <w:szCs w:val="20"/>
              </w:rPr>
              <w:t xml:space="preserve">Kurs obliczony zgodnie z metodologią Blacka – </w:t>
            </w:r>
            <w:proofErr w:type="spellStart"/>
            <w:r w:rsidRPr="00920145">
              <w:rPr>
                <w:rFonts w:ascii="Verdana" w:hAnsi="Verdana" w:cs="Arial"/>
                <w:sz w:val="20"/>
                <w:szCs w:val="20"/>
              </w:rPr>
              <w:t>Scholesa</w:t>
            </w:r>
            <w:proofErr w:type="spellEnd"/>
            <w:r w:rsidRPr="00920145">
              <w:rPr>
                <w:rFonts w:ascii="Verdana" w:hAnsi="Verdana" w:cs="Arial"/>
                <w:sz w:val="20"/>
                <w:szCs w:val="20"/>
              </w:rPr>
              <w:t xml:space="preserve">, według następującego wzoru: </w:t>
            </w:r>
          </w:p>
          <w:p w14:paraId="0E93DF10" w14:textId="77777777" w:rsidR="00D44BB3" w:rsidRPr="00920145" w:rsidRDefault="00D44BB3" w:rsidP="00A23201">
            <w:pPr>
              <w:autoSpaceDE w:val="0"/>
              <w:autoSpaceDN w:val="0"/>
              <w:adjustRightInd w:val="0"/>
              <w:spacing w:line="360" w:lineRule="auto"/>
              <w:ind w:left="358" w:firstLine="14"/>
              <w:rPr>
                <w:rFonts w:ascii="Verdana" w:hAnsi="Verdana" w:cs="Arial"/>
                <w:sz w:val="20"/>
                <w:szCs w:val="20"/>
              </w:rPr>
            </w:pPr>
            <w:r w:rsidRPr="00920145">
              <w:rPr>
                <w:rFonts w:ascii="Verdana" w:hAnsi="Verdana" w:cs="Arial"/>
                <w:sz w:val="20"/>
                <w:szCs w:val="20"/>
              </w:rPr>
              <w:t xml:space="preserve">1) dla opcji kupna: </w:t>
            </w:r>
          </w:p>
          <w:p w14:paraId="59E13324" w14:textId="77777777" w:rsidR="00D44BB3" w:rsidRPr="00920145" w:rsidRDefault="00D44BB3" w:rsidP="00A23201">
            <w:pPr>
              <w:autoSpaceDE w:val="0"/>
              <w:autoSpaceDN w:val="0"/>
              <w:adjustRightInd w:val="0"/>
              <w:spacing w:line="360" w:lineRule="auto"/>
              <w:ind w:left="358" w:firstLine="350"/>
              <w:rPr>
                <w:rFonts w:ascii="Verdana" w:hAnsi="Verdana" w:cs="Arial"/>
                <w:sz w:val="20"/>
                <w:szCs w:val="20"/>
              </w:rPr>
            </w:pPr>
            <w:r w:rsidRPr="00920145">
              <w:rPr>
                <w:rFonts w:ascii="Verdana" w:hAnsi="Verdana" w:cs="Arial"/>
                <w:position w:val="-10"/>
                <w:sz w:val="20"/>
                <w:szCs w:val="20"/>
              </w:rPr>
              <w:object w:dxaOrig="2980" w:dyaOrig="360" w14:anchorId="79E4AC40">
                <v:shape id="_x0000_i1032" type="#_x0000_t75" style="width:148.5pt;height:18.75pt" o:ole="" fillcolor="window">
                  <v:imagedata r:id="rId22" o:title=""/>
                </v:shape>
                <o:OLEObject Type="Embed" ProgID="Equation.3" ShapeID="_x0000_i1032" DrawAspect="Content" ObjectID="_1810630016" r:id="rId23"/>
              </w:object>
            </w:r>
            <w:r w:rsidRPr="00920145">
              <w:rPr>
                <w:rFonts w:ascii="Verdana" w:hAnsi="Verdana" w:cs="Arial"/>
                <w:sz w:val="20"/>
                <w:szCs w:val="20"/>
              </w:rPr>
              <w:t xml:space="preserve">;   </w:t>
            </w:r>
            <w:r w:rsidRPr="00920145">
              <w:rPr>
                <w:rFonts w:ascii="Verdana" w:hAnsi="Verdana" w:cs="Arial"/>
                <w:sz w:val="20"/>
                <w:szCs w:val="20"/>
              </w:rPr>
              <w:tab/>
            </w:r>
          </w:p>
          <w:p w14:paraId="71B94FD3" w14:textId="77777777" w:rsidR="009C4CBB" w:rsidRPr="00920145" w:rsidRDefault="009C4CBB" w:rsidP="00A23201">
            <w:pPr>
              <w:autoSpaceDE w:val="0"/>
              <w:autoSpaceDN w:val="0"/>
              <w:adjustRightInd w:val="0"/>
              <w:spacing w:line="360" w:lineRule="auto"/>
              <w:ind w:left="358" w:firstLine="350"/>
              <w:rPr>
                <w:rFonts w:ascii="Verdana" w:hAnsi="Verdana" w:cs="Arial"/>
                <w:sz w:val="20"/>
                <w:szCs w:val="20"/>
              </w:rPr>
            </w:pPr>
          </w:p>
          <w:p w14:paraId="2F73CD1D" w14:textId="621243A1" w:rsidR="00D44BB3" w:rsidRPr="00920145" w:rsidRDefault="00D44BB3" w:rsidP="00A23201">
            <w:pPr>
              <w:autoSpaceDE w:val="0"/>
              <w:autoSpaceDN w:val="0"/>
              <w:adjustRightInd w:val="0"/>
              <w:spacing w:line="360" w:lineRule="auto"/>
              <w:ind w:left="358" w:firstLine="350"/>
              <w:rPr>
                <w:rFonts w:ascii="Verdana" w:hAnsi="Verdana" w:cs="Arial"/>
                <w:sz w:val="20"/>
                <w:szCs w:val="20"/>
              </w:rPr>
            </w:pPr>
            <w:r w:rsidRPr="00920145">
              <w:rPr>
                <w:rFonts w:ascii="Verdana" w:hAnsi="Verdana" w:cs="Arial"/>
                <w:sz w:val="20"/>
                <w:szCs w:val="20"/>
              </w:rPr>
              <w:tab/>
            </w:r>
            <w:r w:rsidRPr="00920145">
              <w:rPr>
                <w:rFonts w:ascii="Verdana" w:hAnsi="Verdana" w:cs="Arial"/>
                <w:sz w:val="20"/>
                <w:szCs w:val="20"/>
              </w:rPr>
              <w:tab/>
            </w:r>
          </w:p>
          <w:p w14:paraId="08908DA2" w14:textId="77777777" w:rsidR="00D44BB3" w:rsidRPr="00920145" w:rsidRDefault="00D44BB3" w:rsidP="00A23201">
            <w:pPr>
              <w:autoSpaceDE w:val="0"/>
              <w:autoSpaceDN w:val="0"/>
              <w:adjustRightInd w:val="0"/>
              <w:spacing w:line="360" w:lineRule="auto"/>
              <w:ind w:left="358"/>
              <w:rPr>
                <w:rFonts w:ascii="Verdana" w:hAnsi="Verdana" w:cs="Arial"/>
                <w:sz w:val="20"/>
                <w:szCs w:val="20"/>
              </w:rPr>
            </w:pPr>
            <w:r w:rsidRPr="00920145">
              <w:rPr>
                <w:rFonts w:ascii="Verdana" w:hAnsi="Verdana" w:cs="Arial"/>
                <w:sz w:val="20"/>
                <w:szCs w:val="20"/>
              </w:rPr>
              <w:lastRenderedPageBreak/>
              <w:t>2) dla opcji sprzedaży:</w:t>
            </w:r>
          </w:p>
          <w:p w14:paraId="2C9626E4" w14:textId="77777777" w:rsidR="00D44BB3" w:rsidRPr="00920145" w:rsidRDefault="00D44BB3" w:rsidP="00A23201">
            <w:pPr>
              <w:autoSpaceDE w:val="0"/>
              <w:autoSpaceDN w:val="0"/>
              <w:adjustRightInd w:val="0"/>
              <w:spacing w:line="360" w:lineRule="auto"/>
              <w:ind w:left="358" w:firstLine="350"/>
              <w:rPr>
                <w:rFonts w:ascii="Verdana" w:hAnsi="Verdana" w:cs="Arial"/>
                <w:sz w:val="20"/>
                <w:szCs w:val="20"/>
              </w:rPr>
            </w:pPr>
            <w:r w:rsidRPr="00920145">
              <w:rPr>
                <w:rFonts w:ascii="Verdana" w:hAnsi="Verdana" w:cs="Arial"/>
                <w:position w:val="-10"/>
                <w:sz w:val="20"/>
                <w:szCs w:val="20"/>
              </w:rPr>
              <w:object w:dxaOrig="3240" w:dyaOrig="360" w14:anchorId="54B11D58">
                <v:shape id="_x0000_i1033" type="#_x0000_t75" style="width:168pt;height:18.75pt" o:ole="" fillcolor="window">
                  <v:imagedata r:id="rId24" o:title=""/>
                </v:shape>
                <o:OLEObject Type="Embed" ProgID="Equation.3" ShapeID="_x0000_i1033" DrawAspect="Content" ObjectID="_1810630017" r:id="rId25"/>
              </w:object>
            </w:r>
            <w:r w:rsidRPr="00920145">
              <w:rPr>
                <w:rFonts w:ascii="Verdana" w:hAnsi="Verdana" w:cs="Arial"/>
                <w:sz w:val="20"/>
                <w:szCs w:val="20"/>
              </w:rPr>
              <w:t>;</w:t>
            </w:r>
          </w:p>
          <w:p w14:paraId="175EC4A9" w14:textId="77777777" w:rsidR="00D44BB3" w:rsidRPr="00920145" w:rsidRDefault="00D44BB3" w:rsidP="00A23201">
            <w:pPr>
              <w:autoSpaceDE w:val="0"/>
              <w:autoSpaceDN w:val="0"/>
              <w:adjustRightInd w:val="0"/>
              <w:spacing w:line="360" w:lineRule="auto"/>
              <w:ind w:left="358"/>
              <w:rPr>
                <w:rFonts w:ascii="Verdana" w:hAnsi="Verdana" w:cs="Arial"/>
                <w:sz w:val="20"/>
                <w:szCs w:val="20"/>
              </w:rPr>
            </w:pPr>
          </w:p>
          <w:p w14:paraId="29AB33FB" w14:textId="77777777" w:rsidR="00D44BB3" w:rsidRPr="00920145" w:rsidRDefault="00D44BB3" w:rsidP="00A23201">
            <w:pPr>
              <w:autoSpaceDE w:val="0"/>
              <w:autoSpaceDN w:val="0"/>
              <w:adjustRightInd w:val="0"/>
              <w:spacing w:line="360" w:lineRule="auto"/>
              <w:ind w:left="358"/>
              <w:rPr>
                <w:rFonts w:ascii="Verdana" w:hAnsi="Verdana" w:cs="Arial"/>
                <w:sz w:val="20"/>
                <w:szCs w:val="20"/>
              </w:rPr>
            </w:pPr>
            <w:r w:rsidRPr="00920145">
              <w:rPr>
                <w:rFonts w:ascii="Verdana" w:hAnsi="Verdana" w:cs="Arial"/>
                <w:sz w:val="20"/>
                <w:szCs w:val="20"/>
              </w:rPr>
              <w:t xml:space="preserve">gdzie: </w:t>
            </w:r>
          </w:p>
          <w:p w14:paraId="27F5DA95" w14:textId="77777777" w:rsidR="00D44BB3" w:rsidRPr="00920145" w:rsidRDefault="00D44BB3" w:rsidP="00A23201">
            <w:pPr>
              <w:autoSpaceDE w:val="0"/>
              <w:autoSpaceDN w:val="0"/>
              <w:adjustRightInd w:val="0"/>
              <w:spacing w:line="360" w:lineRule="auto"/>
              <w:ind w:left="358" w:firstLine="350"/>
              <w:rPr>
                <w:rFonts w:ascii="Verdana" w:hAnsi="Verdana" w:cs="Arial"/>
                <w:sz w:val="20"/>
                <w:szCs w:val="20"/>
              </w:rPr>
            </w:pPr>
            <w:r w:rsidRPr="00920145">
              <w:rPr>
                <w:rFonts w:ascii="Verdana" w:hAnsi="Verdana" w:cs="Arial"/>
                <w:position w:val="-28"/>
                <w:sz w:val="20"/>
                <w:szCs w:val="20"/>
              </w:rPr>
              <w:object w:dxaOrig="3200" w:dyaOrig="700" w14:anchorId="29BF89D1">
                <v:shape id="_x0000_i1034" type="#_x0000_t75" style="width:160.5pt;height:33.75pt" o:ole="" fillcolor="window">
                  <v:imagedata r:id="rId26" o:title=""/>
                </v:shape>
                <o:OLEObject Type="Embed" ProgID="Equation.3" ShapeID="_x0000_i1034" DrawAspect="Content" ObjectID="_1810630018" r:id="rId27"/>
              </w:object>
            </w:r>
          </w:p>
          <w:p w14:paraId="1DCF5B06" w14:textId="77777777" w:rsidR="00D44BB3" w:rsidRPr="00920145" w:rsidRDefault="00D44BB3" w:rsidP="00A23201">
            <w:pPr>
              <w:autoSpaceDE w:val="0"/>
              <w:autoSpaceDN w:val="0"/>
              <w:adjustRightInd w:val="0"/>
              <w:spacing w:line="360" w:lineRule="auto"/>
              <w:ind w:left="358" w:firstLine="350"/>
              <w:rPr>
                <w:rFonts w:ascii="Verdana" w:hAnsi="Verdana" w:cs="Arial"/>
                <w:sz w:val="20"/>
                <w:szCs w:val="20"/>
              </w:rPr>
            </w:pPr>
          </w:p>
          <w:p w14:paraId="36E3C74D" w14:textId="77777777" w:rsidR="00D44BB3" w:rsidRPr="00920145" w:rsidRDefault="00D44BB3" w:rsidP="00A23201">
            <w:pPr>
              <w:autoSpaceDE w:val="0"/>
              <w:autoSpaceDN w:val="0"/>
              <w:adjustRightInd w:val="0"/>
              <w:spacing w:line="360" w:lineRule="auto"/>
              <w:ind w:left="358" w:firstLine="350"/>
              <w:rPr>
                <w:rFonts w:ascii="Verdana" w:hAnsi="Verdana" w:cs="Arial"/>
                <w:sz w:val="20"/>
                <w:szCs w:val="20"/>
              </w:rPr>
            </w:pPr>
            <w:r w:rsidRPr="00920145">
              <w:rPr>
                <w:rFonts w:ascii="Verdana" w:hAnsi="Verdana" w:cs="Arial"/>
                <w:position w:val="-28"/>
                <w:sz w:val="20"/>
                <w:szCs w:val="20"/>
              </w:rPr>
              <w:object w:dxaOrig="4420" w:dyaOrig="700" w14:anchorId="3416F064">
                <v:shape id="_x0000_i1035" type="#_x0000_t75" style="width:221.25pt;height:33.75pt" o:ole="" fillcolor="window">
                  <v:imagedata r:id="rId28" o:title=""/>
                </v:shape>
                <o:OLEObject Type="Embed" ProgID="Equation.3" ShapeID="_x0000_i1035" DrawAspect="Content" ObjectID="_1810630019" r:id="rId29"/>
              </w:object>
            </w:r>
          </w:p>
          <w:p w14:paraId="4DEF2E10" w14:textId="77777777" w:rsidR="00D44BB3" w:rsidRPr="00920145" w:rsidRDefault="00D44BB3" w:rsidP="00A23201">
            <w:pPr>
              <w:autoSpaceDE w:val="0"/>
              <w:autoSpaceDN w:val="0"/>
              <w:adjustRightInd w:val="0"/>
              <w:spacing w:line="360" w:lineRule="auto"/>
              <w:ind w:left="358"/>
              <w:rPr>
                <w:rFonts w:ascii="Verdana" w:hAnsi="Verdana" w:cs="Arial"/>
                <w:sz w:val="20"/>
                <w:szCs w:val="20"/>
              </w:rPr>
            </w:pPr>
            <w:r w:rsidRPr="00920145">
              <w:rPr>
                <w:rFonts w:ascii="Verdana" w:hAnsi="Verdana" w:cs="Arial"/>
                <w:sz w:val="20"/>
                <w:szCs w:val="20"/>
              </w:rPr>
              <w:t xml:space="preserve">Stosowane oznaczenia: </w:t>
            </w:r>
          </w:p>
          <w:p w14:paraId="6BC6E9CF" w14:textId="77777777" w:rsidR="00D44BB3" w:rsidRPr="00920145" w:rsidRDefault="00D44BB3" w:rsidP="00A23201">
            <w:pPr>
              <w:autoSpaceDE w:val="0"/>
              <w:autoSpaceDN w:val="0"/>
              <w:adjustRightInd w:val="0"/>
              <w:spacing w:line="360" w:lineRule="auto"/>
              <w:ind w:left="653"/>
              <w:rPr>
                <w:rFonts w:ascii="Verdana" w:hAnsi="Verdana" w:cs="Arial"/>
                <w:sz w:val="20"/>
                <w:szCs w:val="20"/>
              </w:rPr>
            </w:pPr>
            <w:r w:rsidRPr="00920145">
              <w:rPr>
                <w:rFonts w:ascii="Verdana" w:hAnsi="Verdana" w:cs="Arial"/>
                <w:sz w:val="20"/>
                <w:szCs w:val="20"/>
              </w:rPr>
              <w:t>C – kurs odniesienia dla opcji kupna</w:t>
            </w:r>
          </w:p>
          <w:p w14:paraId="4904ADC6" w14:textId="77777777" w:rsidR="00D44BB3" w:rsidRPr="00920145" w:rsidRDefault="00D44BB3" w:rsidP="00A23201">
            <w:pPr>
              <w:autoSpaceDE w:val="0"/>
              <w:autoSpaceDN w:val="0"/>
              <w:adjustRightInd w:val="0"/>
              <w:spacing w:line="360" w:lineRule="auto"/>
              <w:ind w:left="653"/>
              <w:rPr>
                <w:rFonts w:ascii="Verdana" w:hAnsi="Verdana" w:cs="Arial"/>
                <w:sz w:val="20"/>
                <w:szCs w:val="20"/>
              </w:rPr>
            </w:pPr>
            <w:r w:rsidRPr="00920145">
              <w:rPr>
                <w:rFonts w:ascii="Verdana" w:hAnsi="Verdana" w:cs="Arial"/>
                <w:sz w:val="20"/>
                <w:szCs w:val="20"/>
              </w:rPr>
              <w:t xml:space="preserve">P – kurs odniesienia dla opcji sprzedaży </w:t>
            </w:r>
          </w:p>
          <w:p w14:paraId="538B5D45" w14:textId="77777777" w:rsidR="00D44BB3" w:rsidRPr="00920145" w:rsidRDefault="00D44BB3" w:rsidP="00A23201">
            <w:pPr>
              <w:autoSpaceDE w:val="0"/>
              <w:autoSpaceDN w:val="0"/>
              <w:adjustRightInd w:val="0"/>
              <w:spacing w:line="360" w:lineRule="auto"/>
              <w:ind w:left="653"/>
              <w:rPr>
                <w:rFonts w:ascii="Verdana" w:hAnsi="Verdana" w:cs="Arial"/>
                <w:sz w:val="20"/>
                <w:szCs w:val="20"/>
              </w:rPr>
            </w:pPr>
            <w:r w:rsidRPr="00920145">
              <w:rPr>
                <w:rFonts w:ascii="Verdana" w:hAnsi="Verdana" w:cs="Arial"/>
                <w:sz w:val="20"/>
                <w:szCs w:val="20"/>
              </w:rPr>
              <w:t xml:space="preserve">I – ostatnia wartość indeksu będącego instrumentem bazowym </w:t>
            </w:r>
          </w:p>
          <w:p w14:paraId="2485FFD4" w14:textId="77777777" w:rsidR="00D44BB3" w:rsidRPr="00920145" w:rsidRDefault="00D44BB3" w:rsidP="00A23201">
            <w:pPr>
              <w:autoSpaceDE w:val="0"/>
              <w:autoSpaceDN w:val="0"/>
              <w:adjustRightInd w:val="0"/>
              <w:spacing w:line="360" w:lineRule="auto"/>
              <w:ind w:left="653"/>
              <w:rPr>
                <w:rFonts w:ascii="Verdana" w:hAnsi="Verdana" w:cs="Arial"/>
                <w:sz w:val="20"/>
                <w:szCs w:val="20"/>
              </w:rPr>
            </w:pPr>
            <w:r w:rsidRPr="00920145">
              <w:rPr>
                <w:rFonts w:ascii="Verdana" w:hAnsi="Verdana" w:cs="Arial"/>
                <w:sz w:val="20"/>
                <w:szCs w:val="20"/>
              </w:rPr>
              <w:t xml:space="preserve">W – kurs wykonania danej opcji </w:t>
            </w:r>
          </w:p>
          <w:p w14:paraId="43B420BD" w14:textId="77777777" w:rsidR="00D44BB3" w:rsidRPr="00920145" w:rsidRDefault="00D44BB3" w:rsidP="00A23201">
            <w:pPr>
              <w:autoSpaceDE w:val="0"/>
              <w:autoSpaceDN w:val="0"/>
              <w:adjustRightInd w:val="0"/>
              <w:spacing w:line="360" w:lineRule="auto"/>
              <w:ind w:left="653"/>
              <w:rPr>
                <w:rFonts w:ascii="Verdana" w:hAnsi="Verdana" w:cs="Arial"/>
                <w:sz w:val="20"/>
                <w:szCs w:val="20"/>
              </w:rPr>
            </w:pPr>
            <w:r w:rsidRPr="00920145">
              <w:rPr>
                <w:rFonts w:ascii="Verdana" w:hAnsi="Verdana" w:cs="Arial"/>
                <w:sz w:val="20"/>
                <w:szCs w:val="20"/>
              </w:rPr>
              <w:t xml:space="preserve">T – czas do wygaśnięcia = n/365, gdzie n= liczba dni od dnia ostatniej sesji poprzedzającej sesję, na którą wyznaczany jest kurs odniesienia do dnia wygaśnięcia opcji </w:t>
            </w:r>
          </w:p>
          <w:p w14:paraId="7058B964" w14:textId="77777777" w:rsidR="00D44BB3" w:rsidRPr="00920145" w:rsidRDefault="00D44BB3" w:rsidP="00A23201">
            <w:pPr>
              <w:autoSpaceDE w:val="0"/>
              <w:autoSpaceDN w:val="0"/>
              <w:adjustRightInd w:val="0"/>
              <w:spacing w:line="360" w:lineRule="auto"/>
              <w:ind w:left="653"/>
              <w:rPr>
                <w:rFonts w:ascii="Verdana" w:hAnsi="Verdana" w:cs="Arial"/>
                <w:sz w:val="20"/>
                <w:szCs w:val="20"/>
              </w:rPr>
            </w:pPr>
            <w:r w:rsidRPr="00920145">
              <w:rPr>
                <w:rFonts w:ascii="Verdana" w:hAnsi="Verdana" w:cs="Arial"/>
                <w:sz w:val="20"/>
                <w:szCs w:val="20"/>
              </w:rPr>
              <w:t xml:space="preserve">r – stopa procentowa (określana przez Giełdę) </w:t>
            </w:r>
          </w:p>
          <w:p w14:paraId="16CD1D27" w14:textId="77777777" w:rsidR="00D44BB3" w:rsidRPr="00920145" w:rsidRDefault="00D44BB3" w:rsidP="00A23201">
            <w:pPr>
              <w:autoSpaceDE w:val="0"/>
              <w:autoSpaceDN w:val="0"/>
              <w:adjustRightInd w:val="0"/>
              <w:spacing w:line="360" w:lineRule="auto"/>
              <w:ind w:left="653"/>
              <w:rPr>
                <w:rFonts w:ascii="Verdana" w:hAnsi="Verdana" w:cs="Arial"/>
                <w:sz w:val="20"/>
                <w:szCs w:val="20"/>
              </w:rPr>
            </w:pPr>
            <w:r w:rsidRPr="00920145">
              <w:rPr>
                <w:rFonts w:ascii="Verdana" w:hAnsi="Verdana" w:cs="Arial"/>
                <w:sz w:val="20"/>
                <w:szCs w:val="20"/>
              </w:rPr>
              <w:t xml:space="preserve">q – stopa dywidendy dla indeksu (określana przez Giełdę) </w:t>
            </w:r>
          </w:p>
          <w:p w14:paraId="55E42354" w14:textId="77777777" w:rsidR="00D44BB3" w:rsidRPr="00920145" w:rsidRDefault="00D44BB3" w:rsidP="00A23201">
            <w:pPr>
              <w:autoSpaceDE w:val="0"/>
              <w:autoSpaceDN w:val="0"/>
              <w:adjustRightInd w:val="0"/>
              <w:spacing w:line="360" w:lineRule="auto"/>
              <w:ind w:left="653"/>
              <w:rPr>
                <w:rFonts w:ascii="Verdana" w:hAnsi="Verdana" w:cs="Arial"/>
                <w:sz w:val="20"/>
                <w:szCs w:val="20"/>
              </w:rPr>
            </w:pPr>
            <w:r w:rsidRPr="00920145">
              <w:rPr>
                <w:rFonts w:ascii="Verdana" w:hAnsi="Verdana" w:cs="Arial"/>
                <w:sz w:val="20"/>
                <w:szCs w:val="20"/>
              </w:rPr>
              <w:t xml:space="preserve">V - zmienność cen (określana przez Giełdę) </w:t>
            </w:r>
          </w:p>
          <w:p w14:paraId="2C2C3644" w14:textId="77777777" w:rsidR="00D44BB3" w:rsidRPr="00920145" w:rsidRDefault="00D44BB3" w:rsidP="00A23201">
            <w:pPr>
              <w:autoSpaceDE w:val="0"/>
              <w:autoSpaceDN w:val="0"/>
              <w:adjustRightInd w:val="0"/>
              <w:spacing w:line="360" w:lineRule="auto"/>
              <w:ind w:left="653"/>
              <w:rPr>
                <w:rFonts w:ascii="Verdana" w:hAnsi="Verdana" w:cs="Arial"/>
                <w:sz w:val="20"/>
                <w:szCs w:val="20"/>
              </w:rPr>
            </w:pPr>
            <w:r w:rsidRPr="00920145">
              <w:rPr>
                <w:rFonts w:ascii="Verdana" w:hAnsi="Verdana" w:cs="Arial"/>
                <w:sz w:val="20"/>
                <w:szCs w:val="20"/>
              </w:rPr>
              <w:t xml:space="preserve">N(d) - dystrybuanta standaryzowanej zmiennej </w:t>
            </w:r>
            <w:r w:rsidRPr="00920145">
              <w:rPr>
                <w:rFonts w:ascii="Verdana" w:hAnsi="Verdana" w:cs="Arial"/>
                <w:sz w:val="20"/>
                <w:szCs w:val="20"/>
              </w:rPr>
              <w:br/>
              <w:t xml:space="preserve">o rozkładzie normalnym </w:t>
            </w:r>
          </w:p>
          <w:p w14:paraId="372AA5FF" w14:textId="77777777" w:rsidR="00D44BB3" w:rsidRPr="00920145" w:rsidRDefault="00D44BB3" w:rsidP="00A23201">
            <w:pPr>
              <w:autoSpaceDE w:val="0"/>
              <w:autoSpaceDN w:val="0"/>
              <w:adjustRightInd w:val="0"/>
              <w:spacing w:after="240" w:line="360" w:lineRule="auto"/>
              <w:ind w:left="653"/>
              <w:rPr>
                <w:rFonts w:ascii="Verdana" w:hAnsi="Verdana" w:cs="Arial"/>
                <w:sz w:val="20"/>
                <w:szCs w:val="20"/>
              </w:rPr>
            </w:pPr>
            <w:r w:rsidRPr="00920145">
              <w:rPr>
                <w:rFonts w:ascii="Verdana" w:hAnsi="Verdana" w:cs="Arial"/>
                <w:sz w:val="20"/>
                <w:szCs w:val="20"/>
              </w:rPr>
              <w:lastRenderedPageBreak/>
              <w:t>e - podstawa logarytmu naturalnego (stała Eulera).</w:t>
            </w:r>
          </w:p>
        </w:tc>
      </w:tr>
      <w:tr w:rsidR="00D44BB3" w:rsidRPr="00920145" w14:paraId="1E1A80DD" w14:textId="77777777" w:rsidTr="00414CC9">
        <w:trPr>
          <w:trHeight w:val="53"/>
        </w:trPr>
        <w:tc>
          <w:tcPr>
            <w:tcW w:w="2878" w:type="dxa"/>
          </w:tcPr>
          <w:p w14:paraId="761C70BA" w14:textId="77777777" w:rsidR="00D44BB3" w:rsidRPr="00920145" w:rsidRDefault="00D44BB3" w:rsidP="00CF4F34">
            <w:pPr>
              <w:pStyle w:val="Tekstpodstawowy21"/>
              <w:spacing w:before="120" w:line="360" w:lineRule="auto"/>
              <w:jc w:val="left"/>
              <w:rPr>
                <w:rFonts w:ascii="Verdana" w:hAnsi="Verdana" w:cs="Arial"/>
              </w:rPr>
            </w:pPr>
            <w:r w:rsidRPr="00920145">
              <w:rPr>
                <w:rFonts w:ascii="Verdana" w:hAnsi="Verdana" w:cs="Arial"/>
              </w:rPr>
              <w:lastRenderedPageBreak/>
              <w:t>Wysokość dynamicznych ograniczeń wahań kursów</w:t>
            </w:r>
          </w:p>
        </w:tc>
        <w:tc>
          <w:tcPr>
            <w:tcW w:w="5344" w:type="dxa"/>
          </w:tcPr>
          <w:p w14:paraId="3C1D777F" w14:textId="77777777" w:rsidR="00D44BB3" w:rsidRPr="00920145" w:rsidRDefault="00D44BB3" w:rsidP="009C4CBB">
            <w:pPr>
              <w:spacing w:before="120" w:after="120" w:line="360" w:lineRule="auto"/>
              <w:rPr>
                <w:rFonts w:ascii="Verdana" w:hAnsi="Verdana"/>
                <w:sz w:val="20"/>
                <w:szCs w:val="20"/>
              </w:rPr>
            </w:pPr>
            <w:r w:rsidRPr="00920145">
              <w:rPr>
                <w:rFonts w:ascii="Verdana" w:hAnsi="Verdana"/>
                <w:sz w:val="20"/>
                <w:szCs w:val="20"/>
              </w:rPr>
              <w:t xml:space="preserve">a) 12,5 punktu indeksowego od kursu odniesienia </w:t>
            </w:r>
            <w:r w:rsidRPr="00920145">
              <w:rPr>
                <w:rFonts w:ascii="Verdana" w:hAnsi="Verdana"/>
                <w:sz w:val="20"/>
                <w:szCs w:val="20"/>
              </w:rPr>
              <w:br/>
              <w:t>– przy kursie odniesienia od 0,01 punktu do 2,49 punktu,</w:t>
            </w:r>
          </w:p>
          <w:p w14:paraId="517E1A94" w14:textId="77777777" w:rsidR="00D44BB3" w:rsidRPr="00920145" w:rsidRDefault="00D44BB3" w:rsidP="009C4CBB">
            <w:pPr>
              <w:spacing w:after="120" w:line="360" w:lineRule="auto"/>
              <w:rPr>
                <w:rFonts w:ascii="Verdana" w:hAnsi="Verdana"/>
                <w:sz w:val="20"/>
                <w:szCs w:val="20"/>
              </w:rPr>
            </w:pPr>
            <w:r w:rsidRPr="00920145">
              <w:rPr>
                <w:rFonts w:ascii="Verdana" w:hAnsi="Verdana"/>
                <w:sz w:val="20"/>
                <w:szCs w:val="20"/>
              </w:rPr>
              <w:t xml:space="preserve">b) 25 punktów indeksowych od kursu odniesienia </w:t>
            </w:r>
            <w:r w:rsidRPr="00920145">
              <w:rPr>
                <w:rFonts w:ascii="Verdana" w:hAnsi="Verdana"/>
                <w:sz w:val="20"/>
                <w:szCs w:val="20"/>
              </w:rPr>
              <w:br/>
              <w:t>– przy kursie odniesienia od 2,50 punktu do 4,99 punktu,</w:t>
            </w:r>
          </w:p>
          <w:p w14:paraId="6DCE78A1" w14:textId="77777777" w:rsidR="00D44BB3" w:rsidRPr="00920145" w:rsidRDefault="00D44BB3" w:rsidP="009C4CBB">
            <w:pPr>
              <w:spacing w:after="120" w:line="360" w:lineRule="auto"/>
              <w:rPr>
                <w:rFonts w:ascii="Verdana" w:hAnsi="Verdana"/>
                <w:sz w:val="20"/>
                <w:szCs w:val="20"/>
              </w:rPr>
            </w:pPr>
            <w:r w:rsidRPr="00920145">
              <w:rPr>
                <w:rFonts w:ascii="Verdana" w:hAnsi="Verdana"/>
                <w:sz w:val="20"/>
                <w:szCs w:val="20"/>
              </w:rPr>
              <w:t xml:space="preserve">c) 50 punktów indeksowych od kursu odniesienia </w:t>
            </w:r>
            <w:r w:rsidRPr="00920145">
              <w:rPr>
                <w:rFonts w:ascii="Verdana" w:hAnsi="Verdana"/>
                <w:sz w:val="20"/>
                <w:szCs w:val="20"/>
              </w:rPr>
              <w:br/>
              <w:t>– przy kursie odniesienia od 5 punktów do 24,99 punktu,</w:t>
            </w:r>
          </w:p>
          <w:p w14:paraId="24F6A2AA" w14:textId="77777777" w:rsidR="00D44BB3" w:rsidRPr="00920145" w:rsidRDefault="00D44BB3" w:rsidP="009C4CBB">
            <w:pPr>
              <w:spacing w:after="120" w:line="360" w:lineRule="auto"/>
              <w:rPr>
                <w:rFonts w:ascii="Verdana" w:hAnsi="Verdana"/>
                <w:sz w:val="20"/>
                <w:szCs w:val="20"/>
              </w:rPr>
            </w:pPr>
            <w:r w:rsidRPr="00920145">
              <w:rPr>
                <w:rFonts w:ascii="Verdana" w:hAnsi="Verdana"/>
                <w:sz w:val="20"/>
                <w:szCs w:val="20"/>
              </w:rPr>
              <w:t xml:space="preserve">d) 75 punktów indeksowych od kursu odniesienia </w:t>
            </w:r>
            <w:r w:rsidRPr="00920145">
              <w:rPr>
                <w:rFonts w:ascii="Verdana" w:hAnsi="Verdana"/>
                <w:sz w:val="20"/>
                <w:szCs w:val="20"/>
              </w:rPr>
              <w:br/>
              <w:t>– przy kursie odniesienia od 25 punktów do 99,95 punktu,</w:t>
            </w:r>
          </w:p>
          <w:p w14:paraId="24CB1612" w14:textId="77777777" w:rsidR="00D44BB3" w:rsidRPr="00920145" w:rsidRDefault="00D44BB3" w:rsidP="009C4CBB">
            <w:pPr>
              <w:pStyle w:val="Tekstpodstawowy3"/>
              <w:tabs>
                <w:tab w:val="left" w:pos="1134"/>
              </w:tabs>
              <w:spacing w:line="360" w:lineRule="auto"/>
              <w:jc w:val="left"/>
              <w:rPr>
                <w:rFonts w:ascii="Verdana" w:hAnsi="Verdana" w:cs="Arial"/>
                <w:b w:val="0"/>
                <w:sz w:val="20"/>
              </w:rPr>
            </w:pPr>
            <w:r w:rsidRPr="00920145">
              <w:rPr>
                <w:rFonts w:ascii="Verdana" w:hAnsi="Verdana"/>
                <w:b w:val="0"/>
                <w:sz w:val="20"/>
              </w:rPr>
              <w:t xml:space="preserve">e) 100 punktów indeksowych od kursu odniesienia </w:t>
            </w:r>
            <w:r w:rsidRPr="00920145">
              <w:rPr>
                <w:rFonts w:ascii="Verdana" w:hAnsi="Verdana"/>
                <w:b w:val="0"/>
                <w:sz w:val="20"/>
              </w:rPr>
              <w:br/>
              <w:t>– przy kursie odniesienia 100 punktów lub wyższym</w:t>
            </w:r>
          </w:p>
        </w:tc>
      </w:tr>
      <w:tr w:rsidR="00D44BB3" w:rsidRPr="00920145" w14:paraId="6F7030E8" w14:textId="77777777" w:rsidTr="00414CC9">
        <w:trPr>
          <w:trHeight w:val="53"/>
        </w:trPr>
        <w:tc>
          <w:tcPr>
            <w:tcW w:w="2878" w:type="dxa"/>
          </w:tcPr>
          <w:p w14:paraId="063311D9" w14:textId="77777777" w:rsidR="00D44BB3" w:rsidRPr="00920145" w:rsidRDefault="00D44BB3" w:rsidP="00A23201">
            <w:pPr>
              <w:pStyle w:val="Tekstpodstawowy21"/>
              <w:spacing w:before="60" w:line="360" w:lineRule="auto"/>
              <w:jc w:val="left"/>
              <w:rPr>
                <w:rFonts w:ascii="Verdana" w:hAnsi="Verdana" w:cs="Arial"/>
              </w:rPr>
            </w:pPr>
            <w:r w:rsidRPr="00920145">
              <w:rPr>
                <w:rFonts w:ascii="Verdana" w:hAnsi="Verdana" w:cs="Arial"/>
              </w:rPr>
              <w:t>Kurs odniesienia dla kursu otwarcia -  dla dynamicznych ograniczeń wahań kursów</w:t>
            </w:r>
          </w:p>
        </w:tc>
        <w:tc>
          <w:tcPr>
            <w:tcW w:w="5344" w:type="dxa"/>
          </w:tcPr>
          <w:p w14:paraId="704057AB" w14:textId="77777777" w:rsidR="00D44BB3" w:rsidRPr="00920145" w:rsidRDefault="00D44BB3" w:rsidP="00A23201">
            <w:pPr>
              <w:pStyle w:val="Tekstpodstawowy21"/>
              <w:spacing w:before="60" w:line="360" w:lineRule="auto"/>
              <w:jc w:val="left"/>
              <w:rPr>
                <w:rFonts w:ascii="Verdana" w:hAnsi="Verdana" w:cs="Arial"/>
              </w:rPr>
            </w:pPr>
            <w:r w:rsidRPr="00920145">
              <w:rPr>
                <w:rFonts w:ascii="Verdana" w:hAnsi="Verdana" w:cs="Arial"/>
              </w:rPr>
              <w:t xml:space="preserve">równy kursowi odniesienia dla statycznych ograniczeń wahań kursów </w:t>
            </w:r>
          </w:p>
        </w:tc>
      </w:tr>
      <w:tr w:rsidR="00D44BB3" w:rsidRPr="00920145" w14:paraId="30B38FE9" w14:textId="77777777" w:rsidTr="00414CC9">
        <w:trPr>
          <w:trHeight w:val="53"/>
        </w:trPr>
        <w:tc>
          <w:tcPr>
            <w:tcW w:w="2878" w:type="dxa"/>
          </w:tcPr>
          <w:p w14:paraId="3E1122CD" w14:textId="77777777" w:rsidR="00D44BB3" w:rsidRPr="00920145" w:rsidRDefault="00D44BB3" w:rsidP="00A23201">
            <w:pPr>
              <w:pStyle w:val="Tekstpodstawowy21"/>
              <w:spacing w:before="60" w:line="360" w:lineRule="auto"/>
              <w:jc w:val="left"/>
              <w:rPr>
                <w:rFonts w:ascii="Verdana" w:hAnsi="Verdana" w:cs="Arial"/>
              </w:rPr>
            </w:pPr>
            <w:r w:rsidRPr="00920145">
              <w:rPr>
                <w:rFonts w:ascii="Verdana" w:hAnsi="Verdana" w:cs="Arial"/>
              </w:rPr>
              <w:t>Równoważenie podstawowe dla statycznych ograniczeń wahań kursów</w:t>
            </w:r>
          </w:p>
        </w:tc>
        <w:tc>
          <w:tcPr>
            <w:tcW w:w="5344" w:type="dxa"/>
          </w:tcPr>
          <w:p w14:paraId="3270E951" w14:textId="77777777" w:rsidR="00D44BB3" w:rsidRPr="00920145" w:rsidRDefault="00D44BB3" w:rsidP="00A23201">
            <w:pPr>
              <w:pStyle w:val="Tekstpodstawowy21"/>
              <w:spacing w:before="60" w:line="360" w:lineRule="auto"/>
              <w:jc w:val="left"/>
              <w:rPr>
                <w:rFonts w:ascii="Verdana" w:hAnsi="Verdana" w:cs="Arial"/>
              </w:rPr>
            </w:pPr>
            <w:r w:rsidRPr="00920145">
              <w:rPr>
                <w:rFonts w:ascii="Verdana" w:hAnsi="Verdana" w:cs="Arial"/>
              </w:rPr>
              <w:t>Tak</w:t>
            </w:r>
          </w:p>
        </w:tc>
      </w:tr>
      <w:tr w:rsidR="00D44BB3" w:rsidRPr="00920145" w14:paraId="6677C540" w14:textId="77777777" w:rsidTr="00414CC9">
        <w:trPr>
          <w:trHeight w:val="53"/>
        </w:trPr>
        <w:tc>
          <w:tcPr>
            <w:tcW w:w="2878" w:type="dxa"/>
          </w:tcPr>
          <w:p w14:paraId="73A49C0F" w14:textId="77777777" w:rsidR="00D44BB3" w:rsidRPr="00920145" w:rsidRDefault="00D44BB3" w:rsidP="00A23201">
            <w:pPr>
              <w:pStyle w:val="Tekstpodstawowy21"/>
              <w:spacing w:before="60" w:line="360" w:lineRule="auto"/>
              <w:jc w:val="left"/>
              <w:rPr>
                <w:rFonts w:ascii="Verdana" w:hAnsi="Verdana" w:cs="Arial"/>
              </w:rPr>
            </w:pPr>
            <w:r w:rsidRPr="00920145">
              <w:rPr>
                <w:rFonts w:ascii="Verdana" w:hAnsi="Verdana" w:cs="Arial"/>
              </w:rPr>
              <w:t>Czas trwania równoważenia podstawowego dla statycznych ograniczeń wahań kursów</w:t>
            </w:r>
          </w:p>
        </w:tc>
        <w:tc>
          <w:tcPr>
            <w:tcW w:w="5344" w:type="dxa"/>
          </w:tcPr>
          <w:p w14:paraId="0D03D10E" w14:textId="77777777" w:rsidR="00D44BB3" w:rsidRPr="00920145" w:rsidRDefault="00D44BB3" w:rsidP="00A23201">
            <w:pPr>
              <w:pStyle w:val="Tekstpodstawowy21"/>
              <w:spacing w:before="60" w:line="360" w:lineRule="auto"/>
              <w:jc w:val="left"/>
              <w:rPr>
                <w:rFonts w:ascii="Verdana" w:hAnsi="Verdana" w:cs="Arial"/>
              </w:rPr>
            </w:pPr>
            <w:r w:rsidRPr="00920145">
              <w:rPr>
                <w:rFonts w:ascii="Verdana" w:hAnsi="Verdana" w:cs="Arial"/>
              </w:rPr>
              <w:t>300 sekund</w:t>
            </w:r>
          </w:p>
        </w:tc>
      </w:tr>
      <w:tr w:rsidR="00D44BB3" w:rsidRPr="00920145" w14:paraId="13AD3B0C" w14:textId="77777777" w:rsidTr="00414CC9">
        <w:trPr>
          <w:trHeight w:val="53"/>
        </w:trPr>
        <w:tc>
          <w:tcPr>
            <w:tcW w:w="2878" w:type="dxa"/>
          </w:tcPr>
          <w:p w14:paraId="1BD706D0" w14:textId="77777777" w:rsidR="00D44BB3" w:rsidRPr="00920145" w:rsidRDefault="00D44BB3" w:rsidP="00A23201">
            <w:pPr>
              <w:pStyle w:val="Tekstpodstawowy21"/>
              <w:spacing w:before="60" w:line="360" w:lineRule="auto"/>
              <w:jc w:val="left"/>
              <w:rPr>
                <w:rFonts w:ascii="Verdana" w:hAnsi="Verdana" w:cs="Arial"/>
              </w:rPr>
            </w:pPr>
            <w:r w:rsidRPr="00920145">
              <w:rPr>
                <w:rFonts w:ascii="Verdana" w:hAnsi="Verdana" w:cs="Arial"/>
              </w:rPr>
              <w:t xml:space="preserve">Współczynnik przesunięcia kursu odniesienia dla </w:t>
            </w:r>
            <w:r w:rsidRPr="00920145">
              <w:rPr>
                <w:rFonts w:ascii="Verdana" w:hAnsi="Verdana" w:cs="Arial"/>
              </w:rPr>
              <w:lastRenderedPageBreak/>
              <w:t>równoważenia w fazie aukcji otwarcia</w:t>
            </w:r>
          </w:p>
        </w:tc>
        <w:tc>
          <w:tcPr>
            <w:tcW w:w="5344" w:type="dxa"/>
          </w:tcPr>
          <w:p w14:paraId="232D15E2" w14:textId="77777777" w:rsidR="00D44BB3" w:rsidRPr="00920145" w:rsidRDefault="00D44BB3" w:rsidP="00A23201">
            <w:pPr>
              <w:pStyle w:val="Tekstpodstawowy21"/>
              <w:spacing w:before="60" w:line="360" w:lineRule="auto"/>
              <w:jc w:val="left"/>
              <w:rPr>
                <w:rFonts w:ascii="Verdana" w:hAnsi="Verdana" w:cs="Arial"/>
              </w:rPr>
            </w:pPr>
            <w:r w:rsidRPr="00920145">
              <w:rPr>
                <w:rFonts w:ascii="Verdana" w:hAnsi="Verdana" w:cs="Arial"/>
              </w:rPr>
              <w:lastRenderedPageBreak/>
              <w:t>1</w:t>
            </w:r>
          </w:p>
        </w:tc>
      </w:tr>
      <w:tr w:rsidR="00D44BB3" w:rsidRPr="00920145" w14:paraId="1CBE3F8E" w14:textId="77777777" w:rsidTr="00414CC9">
        <w:trPr>
          <w:trHeight w:val="53"/>
        </w:trPr>
        <w:tc>
          <w:tcPr>
            <w:tcW w:w="2878" w:type="dxa"/>
          </w:tcPr>
          <w:p w14:paraId="77BEFAD2" w14:textId="77777777" w:rsidR="00D44BB3" w:rsidRPr="00920145" w:rsidRDefault="00D44BB3" w:rsidP="00A23201">
            <w:pPr>
              <w:pStyle w:val="Tekstpodstawowy21"/>
              <w:spacing w:before="60" w:line="360" w:lineRule="auto"/>
              <w:jc w:val="left"/>
              <w:rPr>
                <w:rFonts w:ascii="Verdana" w:hAnsi="Verdana" w:cs="Arial"/>
              </w:rPr>
            </w:pPr>
            <w:r w:rsidRPr="00920145">
              <w:rPr>
                <w:rFonts w:ascii="Verdana" w:hAnsi="Verdana" w:cs="Arial"/>
              </w:rPr>
              <w:t>Współczynnik przesunięcia kursu odniesienia dla równoważenia w fazach innych niż faza aukcji otwarcia</w:t>
            </w:r>
          </w:p>
        </w:tc>
        <w:tc>
          <w:tcPr>
            <w:tcW w:w="5344" w:type="dxa"/>
          </w:tcPr>
          <w:p w14:paraId="74A944B8" w14:textId="77777777" w:rsidR="00D44BB3" w:rsidRPr="00920145" w:rsidRDefault="00D44BB3" w:rsidP="00A23201">
            <w:pPr>
              <w:pStyle w:val="Tekstpodstawowy21"/>
              <w:spacing w:before="60" w:line="360" w:lineRule="auto"/>
              <w:jc w:val="left"/>
              <w:rPr>
                <w:rFonts w:ascii="Verdana" w:hAnsi="Verdana" w:cs="Arial"/>
              </w:rPr>
            </w:pPr>
            <w:r w:rsidRPr="00920145">
              <w:rPr>
                <w:rFonts w:ascii="Verdana" w:hAnsi="Verdana" w:cs="Arial"/>
              </w:rPr>
              <w:t>0,5</w:t>
            </w:r>
          </w:p>
        </w:tc>
      </w:tr>
      <w:tr w:rsidR="00D44BB3" w:rsidRPr="00920145" w14:paraId="50C11473" w14:textId="77777777" w:rsidTr="00414CC9">
        <w:trPr>
          <w:trHeight w:val="53"/>
        </w:trPr>
        <w:tc>
          <w:tcPr>
            <w:tcW w:w="2878" w:type="dxa"/>
          </w:tcPr>
          <w:p w14:paraId="4998F60A" w14:textId="77777777" w:rsidR="00D44BB3" w:rsidRPr="00920145" w:rsidRDefault="00D44BB3" w:rsidP="00A23201">
            <w:pPr>
              <w:pStyle w:val="Tekstpodstawowy21"/>
              <w:spacing w:before="60" w:line="360" w:lineRule="auto"/>
              <w:jc w:val="left"/>
              <w:rPr>
                <w:rFonts w:ascii="Verdana" w:hAnsi="Verdana" w:cs="Arial"/>
              </w:rPr>
            </w:pPr>
            <w:r w:rsidRPr="00920145">
              <w:rPr>
                <w:rFonts w:ascii="Verdana" w:hAnsi="Verdana" w:cs="Arial"/>
              </w:rPr>
              <w:t>Współczynnik maksymalnej liczby zmian netto statycznych ograniczeń wahań kursów</w:t>
            </w:r>
          </w:p>
        </w:tc>
        <w:tc>
          <w:tcPr>
            <w:tcW w:w="5344" w:type="dxa"/>
          </w:tcPr>
          <w:p w14:paraId="0C23B41B" w14:textId="77777777" w:rsidR="00D44BB3" w:rsidRPr="00920145" w:rsidRDefault="00D44BB3" w:rsidP="00A23201">
            <w:pPr>
              <w:pStyle w:val="Tekstpodstawowy21"/>
              <w:spacing w:before="60" w:line="360" w:lineRule="auto"/>
              <w:jc w:val="left"/>
              <w:rPr>
                <w:rFonts w:ascii="Verdana" w:hAnsi="Verdana" w:cs="Arial"/>
              </w:rPr>
            </w:pPr>
            <w:r w:rsidRPr="00920145">
              <w:rPr>
                <w:rFonts w:ascii="Verdana" w:hAnsi="Verdana" w:cs="Arial"/>
              </w:rPr>
              <w:t>2</w:t>
            </w:r>
          </w:p>
        </w:tc>
      </w:tr>
      <w:tr w:rsidR="00D44BB3" w:rsidRPr="00920145" w14:paraId="41A8EBE1" w14:textId="77777777" w:rsidTr="00414CC9">
        <w:trPr>
          <w:trHeight w:val="53"/>
        </w:trPr>
        <w:tc>
          <w:tcPr>
            <w:tcW w:w="2878" w:type="dxa"/>
          </w:tcPr>
          <w:p w14:paraId="1A3A52CD" w14:textId="77777777" w:rsidR="00D44BB3" w:rsidRPr="00920145" w:rsidRDefault="00D44BB3" w:rsidP="00A23201">
            <w:pPr>
              <w:pStyle w:val="Tekstpodstawowy21"/>
              <w:spacing w:before="60" w:line="360" w:lineRule="auto"/>
              <w:jc w:val="left"/>
              <w:rPr>
                <w:rFonts w:ascii="Verdana" w:hAnsi="Verdana" w:cs="Arial"/>
              </w:rPr>
            </w:pPr>
            <w:r w:rsidRPr="00920145">
              <w:rPr>
                <w:rFonts w:ascii="Verdana" w:hAnsi="Verdana" w:cs="Arial"/>
              </w:rPr>
              <w:t>Czas trwania równoważenia podstawowego dla dynamicznych ograniczeń wahań kursów</w:t>
            </w:r>
          </w:p>
        </w:tc>
        <w:tc>
          <w:tcPr>
            <w:tcW w:w="5344" w:type="dxa"/>
          </w:tcPr>
          <w:p w14:paraId="4A873FD7" w14:textId="77777777" w:rsidR="00D44BB3" w:rsidRPr="00920145" w:rsidRDefault="00D44BB3" w:rsidP="00A23201">
            <w:pPr>
              <w:pStyle w:val="Tekstpodstawowy21"/>
              <w:spacing w:before="60" w:line="360" w:lineRule="auto"/>
              <w:jc w:val="left"/>
              <w:rPr>
                <w:rFonts w:ascii="Verdana" w:hAnsi="Verdana" w:cs="Arial"/>
              </w:rPr>
            </w:pPr>
            <w:r w:rsidRPr="00920145">
              <w:rPr>
                <w:rFonts w:ascii="Verdana" w:hAnsi="Verdana" w:cs="Arial"/>
              </w:rPr>
              <w:t>60 sekund</w:t>
            </w:r>
          </w:p>
        </w:tc>
      </w:tr>
      <w:tr w:rsidR="00D44BB3" w:rsidRPr="00920145" w14:paraId="4A3B2BCB" w14:textId="77777777" w:rsidTr="00414CC9">
        <w:trPr>
          <w:trHeight w:val="53"/>
        </w:trPr>
        <w:tc>
          <w:tcPr>
            <w:tcW w:w="2878" w:type="dxa"/>
          </w:tcPr>
          <w:p w14:paraId="086DE93D" w14:textId="77777777" w:rsidR="00D44BB3" w:rsidRPr="00920145" w:rsidRDefault="00D44BB3" w:rsidP="00A23201">
            <w:pPr>
              <w:pStyle w:val="Tekstpodstawowy21"/>
              <w:spacing w:before="60" w:line="360" w:lineRule="auto"/>
              <w:jc w:val="left"/>
              <w:rPr>
                <w:rFonts w:ascii="Verdana" w:hAnsi="Verdana" w:cs="Arial"/>
              </w:rPr>
            </w:pPr>
            <w:r w:rsidRPr="00920145">
              <w:rPr>
                <w:rFonts w:ascii="Verdana" w:hAnsi="Verdana" w:cs="Arial"/>
              </w:rPr>
              <w:t>Współczynnik rozszerzenia dla równoważenia w fazie aukcji otwarcia</w:t>
            </w:r>
          </w:p>
        </w:tc>
        <w:tc>
          <w:tcPr>
            <w:tcW w:w="5344" w:type="dxa"/>
          </w:tcPr>
          <w:p w14:paraId="7B997C1C" w14:textId="77777777" w:rsidR="00D44BB3" w:rsidRPr="00920145" w:rsidRDefault="00D44BB3" w:rsidP="00A23201">
            <w:pPr>
              <w:pStyle w:val="Tekstpodstawowy21"/>
              <w:spacing w:before="60" w:line="360" w:lineRule="auto"/>
              <w:jc w:val="left"/>
              <w:rPr>
                <w:rFonts w:ascii="Verdana" w:hAnsi="Verdana" w:cs="Arial"/>
              </w:rPr>
            </w:pPr>
            <w:r w:rsidRPr="00920145">
              <w:rPr>
                <w:rFonts w:ascii="Verdana" w:hAnsi="Verdana" w:cs="Arial"/>
              </w:rPr>
              <w:t>3,0</w:t>
            </w:r>
          </w:p>
        </w:tc>
      </w:tr>
      <w:tr w:rsidR="00D44BB3" w:rsidRPr="00920145" w14:paraId="37892B15" w14:textId="77777777" w:rsidTr="00414CC9">
        <w:trPr>
          <w:trHeight w:val="53"/>
        </w:trPr>
        <w:tc>
          <w:tcPr>
            <w:tcW w:w="2878" w:type="dxa"/>
          </w:tcPr>
          <w:p w14:paraId="5B0BDAB1" w14:textId="77777777" w:rsidR="00D44BB3" w:rsidRPr="00920145" w:rsidRDefault="00D44BB3" w:rsidP="00A23201">
            <w:pPr>
              <w:pStyle w:val="Tekstpodstawowy21"/>
              <w:spacing w:before="60" w:line="360" w:lineRule="auto"/>
              <w:jc w:val="left"/>
              <w:rPr>
                <w:rFonts w:ascii="Verdana" w:hAnsi="Verdana" w:cs="Arial"/>
              </w:rPr>
            </w:pPr>
            <w:r w:rsidRPr="00920145">
              <w:rPr>
                <w:rFonts w:ascii="Verdana" w:hAnsi="Verdana" w:cs="Arial"/>
              </w:rPr>
              <w:t>Współczynnik rozszerzenia dla równoważenia w fazach innych niż faza aukcji otwarcia</w:t>
            </w:r>
          </w:p>
        </w:tc>
        <w:tc>
          <w:tcPr>
            <w:tcW w:w="5344" w:type="dxa"/>
          </w:tcPr>
          <w:p w14:paraId="70D1B13B" w14:textId="77777777" w:rsidR="00D44BB3" w:rsidRPr="00920145" w:rsidRDefault="00D44BB3" w:rsidP="00A23201">
            <w:pPr>
              <w:pStyle w:val="Tekstpodstawowy21"/>
              <w:spacing w:before="60" w:line="360" w:lineRule="auto"/>
              <w:jc w:val="left"/>
              <w:rPr>
                <w:rFonts w:ascii="Verdana" w:hAnsi="Verdana" w:cs="Arial"/>
              </w:rPr>
            </w:pPr>
            <w:r w:rsidRPr="00920145">
              <w:rPr>
                <w:rFonts w:ascii="Verdana" w:hAnsi="Verdana" w:cs="Arial"/>
              </w:rPr>
              <w:t>2,0</w:t>
            </w:r>
          </w:p>
        </w:tc>
      </w:tr>
      <w:tr w:rsidR="00D44BB3" w:rsidRPr="00920145" w14:paraId="70BCA61C" w14:textId="77777777" w:rsidTr="00414CC9">
        <w:trPr>
          <w:trHeight w:val="53"/>
        </w:trPr>
        <w:tc>
          <w:tcPr>
            <w:tcW w:w="2878" w:type="dxa"/>
          </w:tcPr>
          <w:p w14:paraId="244687D7" w14:textId="77777777" w:rsidR="00D44BB3" w:rsidRPr="00920145" w:rsidRDefault="00D44BB3" w:rsidP="00A23201">
            <w:pPr>
              <w:pStyle w:val="Tekstpodstawowy21"/>
              <w:spacing w:before="60" w:line="360" w:lineRule="auto"/>
              <w:jc w:val="left"/>
              <w:rPr>
                <w:rFonts w:ascii="Verdana" w:hAnsi="Verdana" w:cs="Arial"/>
              </w:rPr>
            </w:pPr>
            <w:r w:rsidRPr="00920145">
              <w:rPr>
                <w:rFonts w:ascii="Verdana" w:hAnsi="Verdana" w:cs="Arial"/>
              </w:rPr>
              <w:t>Współczynnik maksymalnej liczby zmian netto dynamicznych ograniczeń wahań kursów</w:t>
            </w:r>
          </w:p>
        </w:tc>
        <w:tc>
          <w:tcPr>
            <w:tcW w:w="5344" w:type="dxa"/>
          </w:tcPr>
          <w:p w14:paraId="40D61A53" w14:textId="77777777" w:rsidR="00D44BB3" w:rsidRPr="00920145" w:rsidRDefault="00D44BB3" w:rsidP="00A23201">
            <w:pPr>
              <w:pStyle w:val="Tekstpodstawowy21"/>
              <w:spacing w:before="60" w:line="360" w:lineRule="auto"/>
              <w:jc w:val="left"/>
              <w:rPr>
                <w:rFonts w:ascii="Verdana" w:hAnsi="Verdana" w:cs="Arial"/>
              </w:rPr>
            </w:pPr>
            <w:r w:rsidRPr="00920145">
              <w:rPr>
                <w:rFonts w:ascii="Verdana" w:hAnsi="Verdana" w:cs="Arial"/>
              </w:rPr>
              <w:t>20</w:t>
            </w:r>
          </w:p>
        </w:tc>
      </w:tr>
    </w:tbl>
    <w:p w14:paraId="5F1575F4" w14:textId="3196B1C9" w:rsidR="00CF4F34" w:rsidRPr="00920145" w:rsidRDefault="00CF4F34" w:rsidP="00A23201">
      <w:pPr>
        <w:spacing w:after="240" w:line="360" w:lineRule="auto"/>
        <w:ind w:left="143" w:firstLine="708"/>
        <w:rPr>
          <w:rFonts w:ascii="Verdana" w:hAnsi="Verdana"/>
          <w:sz w:val="20"/>
          <w:szCs w:val="18"/>
        </w:rPr>
      </w:pPr>
    </w:p>
    <w:p w14:paraId="7D2F306E" w14:textId="77777777" w:rsidR="009C4CBB" w:rsidRPr="00920145" w:rsidRDefault="009C4CBB" w:rsidP="00A23201">
      <w:pPr>
        <w:spacing w:after="240" w:line="360" w:lineRule="auto"/>
        <w:ind w:left="143" w:firstLine="708"/>
        <w:rPr>
          <w:rFonts w:ascii="Verdana" w:hAnsi="Verdana"/>
          <w:sz w:val="20"/>
          <w:szCs w:val="18"/>
        </w:rPr>
      </w:pPr>
    </w:p>
    <w:p w14:paraId="3CA21146" w14:textId="0E30F24B" w:rsidR="00D44BB3" w:rsidRPr="00920145" w:rsidRDefault="000F41FF" w:rsidP="008362AE">
      <w:pPr>
        <w:pStyle w:val="Nagwek3"/>
      </w:pPr>
      <w:r w:rsidRPr="00920145">
        <w:lastRenderedPageBreak/>
        <w:t>w § 101:</w:t>
      </w:r>
    </w:p>
    <w:p w14:paraId="06CBF134" w14:textId="5A324685" w:rsidR="000F41FF" w:rsidRPr="00920145" w:rsidRDefault="00CF4F34" w:rsidP="00CF4F34">
      <w:pPr>
        <w:tabs>
          <w:tab w:val="left" w:pos="567"/>
          <w:tab w:val="left" w:pos="851"/>
        </w:tabs>
        <w:spacing w:after="120" w:line="360" w:lineRule="auto"/>
        <w:jc w:val="both"/>
        <w:rPr>
          <w:rFonts w:ascii="Verdana" w:hAnsi="Verdana" w:cs="Arial"/>
          <w:spacing w:val="-3"/>
          <w:sz w:val="20"/>
          <w:szCs w:val="20"/>
        </w:rPr>
      </w:pPr>
      <w:r w:rsidRPr="00920145">
        <w:rPr>
          <w:rFonts w:ascii="Verdana" w:hAnsi="Verdana" w:cs="Arial"/>
          <w:spacing w:val="-3"/>
          <w:sz w:val="20"/>
          <w:szCs w:val="20"/>
        </w:rPr>
        <w:tab/>
      </w:r>
      <w:r w:rsidR="008F2E7A" w:rsidRPr="00920145">
        <w:rPr>
          <w:rFonts w:ascii="Verdana" w:hAnsi="Verdana" w:cs="Arial"/>
          <w:spacing w:val="-3"/>
          <w:sz w:val="20"/>
          <w:szCs w:val="20"/>
        </w:rPr>
        <w:t xml:space="preserve">a) </w:t>
      </w:r>
      <w:r w:rsidR="000F41FF" w:rsidRPr="00920145">
        <w:rPr>
          <w:rFonts w:ascii="Verdana" w:hAnsi="Verdana" w:cs="Arial"/>
          <w:spacing w:val="-3"/>
          <w:sz w:val="20"/>
          <w:szCs w:val="20"/>
        </w:rPr>
        <w:t>ust. 3 otrzymuje brzmienie:</w:t>
      </w:r>
    </w:p>
    <w:p w14:paraId="6D5C2E4E" w14:textId="3BC01014" w:rsidR="000F41FF" w:rsidRPr="00920145" w:rsidRDefault="000F41FF" w:rsidP="00CF4F34">
      <w:pPr>
        <w:pStyle w:val="Akapitzlist"/>
        <w:tabs>
          <w:tab w:val="left" w:pos="851"/>
        </w:tabs>
        <w:spacing w:after="120" w:line="360" w:lineRule="auto"/>
        <w:ind w:left="567"/>
        <w:contextualSpacing w:val="0"/>
        <w:jc w:val="both"/>
        <w:rPr>
          <w:rFonts w:ascii="Verdana" w:hAnsi="Verdana"/>
          <w:sz w:val="20"/>
          <w:szCs w:val="20"/>
        </w:rPr>
      </w:pPr>
      <w:r w:rsidRPr="00920145">
        <w:rPr>
          <w:rFonts w:ascii="Verdana" w:hAnsi="Verdana" w:cs="Arial"/>
          <w:spacing w:val="-3"/>
          <w:sz w:val="20"/>
          <w:szCs w:val="20"/>
        </w:rPr>
        <w:t xml:space="preserve">„3. </w:t>
      </w:r>
      <w:r w:rsidRPr="00920145">
        <w:rPr>
          <w:rFonts w:ascii="Verdana" w:hAnsi="Verdana"/>
          <w:sz w:val="20"/>
          <w:szCs w:val="20"/>
        </w:rPr>
        <w:t xml:space="preserve">Karty umów, o których mowa w ust. 1, przekazywane są członkom giełdy </w:t>
      </w:r>
      <w:r w:rsidR="00493D67" w:rsidRPr="00920145">
        <w:rPr>
          <w:rFonts w:ascii="Verdana" w:hAnsi="Verdana"/>
          <w:sz w:val="20"/>
          <w:szCs w:val="20"/>
        </w:rPr>
        <w:br/>
      </w:r>
      <w:r w:rsidRPr="00920145">
        <w:rPr>
          <w:rFonts w:ascii="Verdana" w:hAnsi="Verdana"/>
          <w:sz w:val="20"/>
          <w:szCs w:val="20"/>
        </w:rPr>
        <w:t>w formie przekazu elektronicznego. W sytuacjach nadzwyczajnych karty umów mogą być przekazywane w uzgodnionej z Giełdą formie elektronicznej – na zasadach określonych przez Zarząd Giełdy.”;</w:t>
      </w:r>
    </w:p>
    <w:p w14:paraId="355DC178" w14:textId="09884198" w:rsidR="000F41FF" w:rsidRPr="00920145" w:rsidRDefault="00CF4F34" w:rsidP="00CF4F34">
      <w:pPr>
        <w:tabs>
          <w:tab w:val="left" w:pos="567"/>
        </w:tabs>
        <w:spacing w:after="120" w:line="360" w:lineRule="auto"/>
        <w:jc w:val="both"/>
        <w:rPr>
          <w:rFonts w:ascii="Verdana" w:hAnsi="Verdana"/>
          <w:sz w:val="20"/>
          <w:szCs w:val="20"/>
        </w:rPr>
      </w:pPr>
      <w:r w:rsidRPr="00920145">
        <w:rPr>
          <w:rFonts w:ascii="Verdana" w:hAnsi="Verdana"/>
          <w:sz w:val="20"/>
          <w:szCs w:val="20"/>
        </w:rPr>
        <w:tab/>
      </w:r>
      <w:r w:rsidR="008F2E7A" w:rsidRPr="00920145">
        <w:rPr>
          <w:rFonts w:ascii="Verdana" w:hAnsi="Verdana"/>
          <w:sz w:val="20"/>
          <w:szCs w:val="20"/>
        </w:rPr>
        <w:t xml:space="preserve">b) </w:t>
      </w:r>
      <w:r w:rsidR="000F41FF" w:rsidRPr="00920145">
        <w:rPr>
          <w:rFonts w:ascii="Verdana" w:hAnsi="Verdana"/>
          <w:sz w:val="20"/>
          <w:szCs w:val="20"/>
        </w:rPr>
        <w:t>ust. 7 otrzymuje brzmienie:</w:t>
      </w:r>
    </w:p>
    <w:p w14:paraId="46A1D4E7" w14:textId="18229934" w:rsidR="000F41FF" w:rsidRPr="00920145" w:rsidRDefault="000F41FF" w:rsidP="00A23201">
      <w:pPr>
        <w:pStyle w:val="Akapitzlist"/>
        <w:tabs>
          <w:tab w:val="left" w:pos="851"/>
        </w:tabs>
        <w:spacing w:after="240" w:line="360" w:lineRule="auto"/>
        <w:ind w:left="567"/>
        <w:contextualSpacing w:val="0"/>
        <w:jc w:val="both"/>
        <w:rPr>
          <w:rFonts w:ascii="Verdana" w:hAnsi="Verdana" w:cs="Arial"/>
          <w:sz w:val="20"/>
          <w:szCs w:val="20"/>
        </w:rPr>
      </w:pPr>
      <w:r w:rsidRPr="00920145">
        <w:rPr>
          <w:rFonts w:ascii="Verdana" w:hAnsi="Verdana"/>
          <w:sz w:val="20"/>
          <w:szCs w:val="20"/>
        </w:rPr>
        <w:t xml:space="preserve">„7. </w:t>
      </w:r>
      <w:r w:rsidRPr="00920145">
        <w:rPr>
          <w:rFonts w:ascii="Verdana" w:hAnsi="Verdana" w:cs="Arial"/>
          <w:sz w:val="20"/>
          <w:szCs w:val="20"/>
        </w:rPr>
        <w:t>Karty umów w formie elektronicznej mogą być udostępniane członkom giełdy dodatkowo po zakończeniu sesji giełdowej (w uzgodnionej z Giełdą formie elektronicznej) - na zasadach określonych przez Zarząd Giełdy.”;</w:t>
      </w:r>
    </w:p>
    <w:p w14:paraId="1EB95295" w14:textId="6F90E9BA" w:rsidR="000F41FF" w:rsidRPr="00920145" w:rsidRDefault="0084019F" w:rsidP="008362AE">
      <w:pPr>
        <w:pStyle w:val="Nagwek3"/>
      </w:pPr>
      <w:r w:rsidRPr="00920145">
        <w:t>w § 105 w ust. 2 wyrazy „uczestników rynku” zastępuje się wyrazami „uczestników obrotu”;</w:t>
      </w:r>
    </w:p>
    <w:p w14:paraId="25637C62" w14:textId="6E17DC2D" w:rsidR="0084019F" w:rsidRPr="00920145" w:rsidRDefault="0084019F" w:rsidP="008362AE">
      <w:pPr>
        <w:pStyle w:val="Nagwek3"/>
      </w:pPr>
      <w:r w:rsidRPr="00920145">
        <w:t>w § 106 w ust. 1 wyrazy „informacja, której mowa” zastępuje się wyrazami „informacja, o której mowa”;</w:t>
      </w:r>
    </w:p>
    <w:p w14:paraId="246691E7" w14:textId="7B9B45D6" w:rsidR="0084019F" w:rsidRPr="00920145" w:rsidRDefault="0084019F" w:rsidP="008362AE">
      <w:pPr>
        <w:pStyle w:val="Nagwek3"/>
      </w:pPr>
      <w:r w:rsidRPr="00920145">
        <w:t>§ 118 otrzymuje brzmienie:</w:t>
      </w:r>
    </w:p>
    <w:p w14:paraId="0ED32A71" w14:textId="7A14DA2D" w:rsidR="0084019F" w:rsidRPr="00920145" w:rsidRDefault="0084019F" w:rsidP="00A23201">
      <w:pPr>
        <w:pStyle w:val="Akapitzlist"/>
        <w:tabs>
          <w:tab w:val="left" w:pos="851"/>
        </w:tabs>
        <w:spacing w:after="120" w:line="360" w:lineRule="auto"/>
        <w:ind w:left="567"/>
        <w:contextualSpacing w:val="0"/>
        <w:jc w:val="both"/>
        <w:rPr>
          <w:rFonts w:ascii="Verdana" w:hAnsi="Verdana" w:cs="Arial"/>
          <w:spacing w:val="-3"/>
          <w:sz w:val="20"/>
          <w:szCs w:val="20"/>
        </w:rPr>
      </w:pPr>
      <w:r w:rsidRPr="00920145">
        <w:rPr>
          <w:rFonts w:ascii="Verdana" w:hAnsi="Verdana" w:cs="Arial"/>
          <w:spacing w:val="-3"/>
          <w:sz w:val="20"/>
          <w:szCs w:val="20"/>
        </w:rPr>
        <w:t>„§ 118</w:t>
      </w:r>
    </w:p>
    <w:p w14:paraId="3B6664FC" w14:textId="76183967" w:rsidR="0084019F" w:rsidRPr="00920145" w:rsidRDefault="0084019F" w:rsidP="00F8716B">
      <w:pPr>
        <w:numPr>
          <w:ilvl w:val="0"/>
          <w:numId w:val="65"/>
        </w:numPr>
        <w:tabs>
          <w:tab w:val="clear" w:pos="340"/>
          <w:tab w:val="num" w:pos="709"/>
          <w:tab w:val="left" w:pos="993"/>
        </w:tabs>
        <w:spacing w:after="120" w:line="360" w:lineRule="auto"/>
        <w:ind w:left="567" w:firstLine="0"/>
        <w:jc w:val="both"/>
        <w:rPr>
          <w:rFonts w:ascii="Verdana" w:hAnsi="Verdana" w:cs="Arial"/>
          <w:sz w:val="20"/>
          <w:szCs w:val="18"/>
        </w:rPr>
      </w:pPr>
      <w:r w:rsidRPr="00920145">
        <w:rPr>
          <w:rFonts w:ascii="Verdana" w:hAnsi="Verdana" w:cs="Arial"/>
          <w:sz w:val="20"/>
          <w:szCs w:val="18"/>
        </w:rPr>
        <w:t>Niezwłocznie po podjęciu uchwały w przedmiocie obniżenia wartości nominalnej akcji notowanych na giełdzie i ich podziale („split akcji”) emitent przekazuje Giełdzie uchwałę walnego zgromadzenia określającą warunki splitu akcji.</w:t>
      </w:r>
    </w:p>
    <w:p w14:paraId="623CEA1E" w14:textId="130691F6" w:rsidR="0084019F" w:rsidRPr="00920145" w:rsidRDefault="0084019F" w:rsidP="00F8716B">
      <w:pPr>
        <w:numPr>
          <w:ilvl w:val="0"/>
          <w:numId w:val="65"/>
        </w:numPr>
        <w:tabs>
          <w:tab w:val="clear" w:pos="340"/>
          <w:tab w:val="num" w:pos="709"/>
          <w:tab w:val="left" w:pos="993"/>
        </w:tabs>
        <w:spacing w:after="120" w:line="360" w:lineRule="auto"/>
        <w:ind w:left="567" w:firstLine="0"/>
        <w:jc w:val="both"/>
        <w:rPr>
          <w:rFonts w:ascii="Verdana" w:hAnsi="Verdana" w:cs="Arial"/>
          <w:sz w:val="20"/>
          <w:szCs w:val="18"/>
        </w:rPr>
      </w:pPr>
      <w:r w:rsidRPr="00920145">
        <w:rPr>
          <w:rFonts w:ascii="Verdana" w:hAnsi="Verdana" w:cs="Arial"/>
          <w:sz w:val="20"/>
          <w:szCs w:val="18"/>
        </w:rPr>
        <w:t>Niezwłocznie po zarejestrowaniu zmiany statutu w przedmiocie splitu akcji notowanych na giełdzie emitent przekazuje Giełdzie odpis właściwego  postanowienia sądu oraz aktualny odpis z właściwego rejestru spółki.</w:t>
      </w:r>
    </w:p>
    <w:p w14:paraId="55EE612E" w14:textId="5303DBEB" w:rsidR="0084019F" w:rsidRPr="00920145" w:rsidRDefault="0084019F" w:rsidP="0058231C">
      <w:pPr>
        <w:numPr>
          <w:ilvl w:val="0"/>
          <w:numId w:val="65"/>
        </w:numPr>
        <w:tabs>
          <w:tab w:val="clear" w:pos="340"/>
          <w:tab w:val="num" w:pos="709"/>
          <w:tab w:val="left" w:pos="993"/>
        </w:tabs>
        <w:spacing w:after="240" w:line="360" w:lineRule="auto"/>
        <w:ind w:left="567" w:firstLine="0"/>
        <w:jc w:val="both"/>
        <w:rPr>
          <w:rFonts w:ascii="Verdana" w:hAnsi="Verdana" w:cs="Arial"/>
          <w:sz w:val="20"/>
          <w:szCs w:val="18"/>
        </w:rPr>
      </w:pPr>
      <w:r w:rsidRPr="00920145">
        <w:rPr>
          <w:rFonts w:ascii="Verdana" w:hAnsi="Verdana" w:cs="Arial"/>
          <w:sz w:val="20"/>
          <w:szCs w:val="18"/>
        </w:rPr>
        <w:t>Emitent niezwłocznie przekazuje Giełdzie uchwałę Zarządu KDPW S.A. określającą dzień wymiany akcji w wyniku  splitu akcji (dzień W) i podaje ją do publicznej wiadomości co najmniej na 3 dni sesyjne przed tym dniem.”;</w:t>
      </w:r>
    </w:p>
    <w:p w14:paraId="68BF6C2C" w14:textId="7A941DCA" w:rsidR="0084019F" w:rsidRPr="00920145" w:rsidRDefault="0084019F" w:rsidP="008362AE">
      <w:pPr>
        <w:pStyle w:val="Nagwek3"/>
      </w:pPr>
      <w:r w:rsidRPr="00920145">
        <w:t>§ 123 otrzymuje brzmienie:</w:t>
      </w:r>
    </w:p>
    <w:p w14:paraId="1F47BFAD" w14:textId="6DED514F" w:rsidR="0084019F" w:rsidRPr="00920145" w:rsidRDefault="0084019F" w:rsidP="00A23201">
      <w:pPr>
        <w:pStyle w:val="Akapitzlist"/>
        <w:tabs>
          <w:tab w:val="left" w:pos="851"/>
        </w:tabs>
        <w:spacing w:after="120" w:line="360" w:lineRule="auto"/>
        <w:ind w:left="567"/>
        <w:contextualSpacing w:val="0"/>
        <w:jc w:val="both"/>
        <w:rPr>
          <w:rFonts w:ascii="Verdana" w:hAnsi="Verdana" w:cs="Arial"/>
          <w:sz w:val="20"/>
          <w:szCs w:val="18"/>
        </w:rPr>
      </w:pPr>
      <w:r w:rsidRPr="00920145">
        <w:rPr>
          <w:rFonts w:ascii="Verdana" w:hAnsi="Verdana" w:cs="Arial"/>
          <w:sz w:val="20"/>
          <w:szCs w:val="18"/>
        </w:rPr>
        <w:t>„§ 123</w:t>
      </w:r>
    </w:p>
    <w:p w14:paraId="442CA94B" w14:textId="6BBD23C0" w:rsidR="0084019F" w:rsidRPr="00920145" w:rsidRDefault="0084019F" w:rsidP="00F8716B">
      <w:pPr>
        <w:numPr>
          <w:ilvl w:val="0"/>
          <w:numId w:val="66"/>
        </w:numPr>
        <w:tabs>
          <w:tab w:val="left" w:pos="851"/>
        </w:tabs>
        <w:spacing w:after="120" w:line="360" w:lineRule="auto"/>
        <w:ind w:left="567" w:firstLine="0"/>
        <w:jc w:val="both"/>
        <w:rPr>
          <w:rFonts w:ascii="Verdana" w:hAnsi="Verdana" w:cs="Arial"/>
          <w:sz w:val="20"/>
          <w:szCs w:val="18"/>
        </w:rPr>
      </w:pPr>
      <w:r w:rsidRPr="00920145">
        <w:rPr>
          <w:rFonts w:ascii="Verdana" w:hAnsi="Verdana" w:cs="Arial"/>
          <w:sz w:val="20"/>
          <w:szCs w:val="18"/>
        </w:rPr>
        <w:t xml:space="preserve">Niezwłocznie po podjęciu uchwały w przedmiocie podwyższenia wartości nominalnej akcji notowanych na giełdzie i ich połączeniu („scalenie akcji”) </w:t>
      </w:r>
      <w:r w:rsidRPr="00920145">
        <w:rPr>
          <w:rFonts w:ascii="Verdana" w:hAnsi="Verdana" w:cs="Arial"/>
          <w:sz w:val="20"/>
          <w:szCs w:val="18"/>
        </w:rPr>
        <w:lastRenderedPageBreak/>
        <w:t xml:space="preserve">emitent przekazuje Giełdzie uchwałę walnego zgromadzenia określającą warunki scalenia akcji. </w:t>
      </w:r>
    </w:p>
    <w:p w14:paraId="00678442" w14:textId="1E08BC23" w:rsidR="0084019F" w:rsidRPr="00920145" w:rsidRDefault="0084019F" w:rsidP="00F8716B">
      <w:pPr>
        <w:numPr>
          <w:ilvl w:val="0"/>
          <w:numId w:val="66"/>
        </w:numPr>
        <w:tabs>
          <w:tab w:val="left" w:pos="851"/>
        </w:tabs>
        <w:spacing w:after="120" w:line="360" w:lineRule="auto"/>
        <w:ind w:left="567" w:firstLine="0"/>
        <w:jc w:val="both"/>
        <w:rPr>
          <w:rFonts w:ascii="Verdana" w:hAnsi="Verdana" w:cs="Arial"/>
          <w:sz w:val="20"/>
          <w:szCs w:val="18"/>
        </w:rPr>
      </w:pPr>
      <w:r w:rsidRPr="00920145">
        <w:rPr>
          <w:rFonts w:ascii="Verdana" w:hAnsi="Verdana" w:cs="Arial"/>
          <w:sz w:val="20"/>
          <w:szCs w:val="18"/>
        </w:rPr>
        <w:t xml:space="preserve">Niezwłocznie po zarejestrowaniu zmiany statutu w przedmiocie scalenia akcji notowanych na giełdzie emitent przekazuje Giełdzie odpis właściwego  postanowienia sądu oraz aktualny odpis z właściwego rejestru spółki oraz  uzgadnia  proponowane terminy oraz zasady obrotu tymi akcjami w związku </w:t>
      </w:r>
      <w:r w:rsidR="004F298F" w:rsidRPr="00920145">
        <w:rPr>
          <w:rFonts w:ascii="Verdana" w:hAnsi="Verdana" w:cs="Arial"/>
          <w:sz w:val="20"/>
          <w:szCs w:val="18"/>
        </w:rPr>
        <w:br/>
      </w:r>
      <w:r w:rsidRPr="00920145">
        <w:rPr>
          <w:rFonts w:ascii="Verdana" w:hAnsi="Verdana" w:cs="Arial"/>
          <w:sz w:val="20"/>
          <w:szCs w:val="18"/>
        </w:rPr>
        <w:t>z planowanym scaleniem akcji.</w:t>
      </w:r>
    </w:p>
    <w:p w14:paraId="1E497B92" w14:textId="502653D8" w:rsidR="00CF4F34" w:rsidRPr="00920145" w:rsidRDefault="0084019F" w:rsidP="009C4CBB">
      <w:pPr>
        <w:numPr>
          <w:ilvl w:val="0"/>
          <w:numId w:val="66"/>
        </w:numPr>
        <w:tabs>
          <w:tab w:val="left" w:pos="851"/>
        </w:tabs>
        <w:spacing w:after="360" w:line="360" w:lineRule="auto"/>
        <w:ind w:left="567" w:firstLine="0"/>
        <w:jc w:val="both"/>
        <w:rPr>
          <w:rFonts w:ascii="Verdana" w:hAnsi="Verdana" w:cs="Arial"/>
          <w:sz w:val="20"/>
          <w:szCs w:val="18"/>
        </w:rPr>
      </w:pPr>
      <w:r w:rsidRPr="00920145">
        <w:rPr>
          <w:rFonts w:ascii="Verdana" w:hAnsi="Verdana" w:cs="Arial"/>
          <w:sz w:val="20"/>
          <w:szCs w:val="18"/>
        </w:rPr>
        <w:t>Emitent niezwłocznie przekazuje Giełdzie uchwałę Zarządu KDPW S.A.</w:t>
      </w:r>
      <w:r w:rsidRPr="00920145">
        <w:rPr>
          <w:rFonts w:ascii="Verdana" w:hAnsi="Verdana" w:cs="Arial"/>
          <w:sz w:val="20"/>
          <w:szCs w:val="18"/>
        </w:rPr>
        <w:br/>
        <w:t>w przedmiocie scalenia akcji oraz podaje ją do publicznej wiadomości.”</w:t>
      </w:r>
      <w:r w:rsidR="006E0D43" w:rsidRPr="00920145">
        <w:rPr>
          <w:rFonts w:ascii="Verdana" w:hAnsi="Verdana" w:cs="Arial"/>
          <w:sz w:val="20"/>
          <w:szCs w:val="18"/>
        </w:rPr>
        <w:t>.</w:t>
      </w:r>
    </w:p>
    <w:p w14:paraId="44553823" w14:textId="6A25F12C" w:rsidR="0084019F" w:rsidRPr="00920145" w:rsidRDefault="00F0275A" w:rsidP="00A23201">
      <w:pPr>
        <w:pStyle w:val="Akapitzlist"/>
        <w:numPr>
          <w:ilvl w:val="0"/>
          <w:numId w:val="1"/>
        </w:numPr>
        <w:tabs>
          <w:tab w:val="clear" w:pos="567"/>
          <w:tab w:val="num" w:pos="284"/>
        </w:tabs>
        <w:spacing w:after="240" w:line="360" w:lineRule="auto"/>
        <w:contextualSpacing w:val="0"/>
        <w:jc w:val="both"/>
        <w:rPr>
          <w:rFonts w:ascii="Verdana" w:hAnsi="Verdana" w:cs="Arial"/>
          <w:sz w:val="20"/>
          <w:szCs w:val="18"/>
        </w:rPr>
      </w:pPr>
      <w:r w:rsidRPr="00920145">
        <w:rPr>
          <w:rFonts w:ascii="Verdana" w:hAnsi="Verdana" w:cs="Arial"/>
          <w:sz w:val="20"/>
          <w:szCs w:val="18"/>
        </w:rPr>
        <w:t>W</w:t>
      </w:r>
      <w:r w:rsidR="0098528D" w:rsidRPr="00920145">
        <w:rPr>
          <w:rFonts w:ascii="Verdana" w:hAnsi="Verdana" w:cs="Arial"/>
          <w:sz w:val="20"/>
          <w:szCs w:val="18"/>
        </w:rPr>
        <w:t xml:space="preserve"> Dziale V:</w:t>
      </w:r>
    </w:p>
    <w:p w14:paraId="610F6353" w14:textId="6F90B647" w:rsidR="0098528D" w:rsidRPr="00920145" w:rsidRDefault="00D07367" w:rsidP="00793AB4">
      <w:pPr>
        <w:pStyle w:val="Akapitzlist"/>
        <w:numPr>
          <w:ilvl w:val="1"/>
          <w:numId w:val="13"/>
        </w:numPr>
        <w:spacing w:after="120" w:line="360" w:lineRule="auto"/>
        <w:ind w:left="709" w:hanging="425"/>
        <w:contextualSpacing w:val="0"/>
        <w:jc w:val="both"/>
        <w:rPr>
          <w:rFonts w:ascii="Verdana" w:hAnsi="Verdana" w:cs="Arial"/>
          <w:sz w:val="20"/>
          <w:szCs w:val="18"/>
        </w:rPr>
      </w:pPr>
      <w:r w:rsidRPr="00920145">
        <w:rPr>
          <w:rFonts w:ascii="Verdana" w:hAnsi="Verdana" w:cs="Arial"/>
          <w:sz w:val="20"/>
          <w:szCs w:val="18"/>
        </w:rPr>
        <w:t>w § 1:</w:t>
      </w:r>
    </w:p>
    <w:p w14:paraId="1DADBB67" w14:textId="2129D1A8" w:rsidR="00D07367" w:rsidRPr="00920145" w:rsidRDefault="00D07367" w:rsidP="00F0275A">
      <w:pPr>
        <w:pStyle w:val="Akapitzlist"/>
        <w:numPr>
          <w:ilvl w:val="0"/>
          <w:numId w:val="104"/>
        </w:numPr>
        <w:tabs>
          <w:tab w:val="clear" w:pos="644"/>
          <w:tab w:val="num" w:pos="993"/>
        </w:tabs>
        <w:spacing w:after="120" w:line="360" w:lineRule="auto"/>
        <w:ind w:left="851" w:hanging="284"/>
        <w:contextualSpacing w:val="0"/>
        <w:jc w:val="both"/>
        <w:rPr>
          <w:rFonts w:ascii="Verdana" w:hAnsi="Verdana" w:cs="Arial"/>
          <w:sz w:val="20"/>
          <w:szCs w:val="18"/>
        </w:rPr>
      </w:pPr>
      <w:r w:rsidRPr="00920145">
        <w:rPr>
          <w:rFonts w:ascii="Verdana" w:hAnsi="Verdana" w:cs="Arial"/>
          <w:sz w:val="20"/>
          <w:szCs w:val="18"/>
        </w:rPr>
        <w:t>ust. 2 otrzymuje brzmienie:</w:t>
      </w:r>
    </w:p>
    <w:p w14:paraId="4E9D104F" w14:textId="1684EAF5" w:rsidR="00CE0B1E" w:rsidRPr="00920145" w:rsidRDefault="00F0275A" w:rsidP="00793AB4">
      <w:pPr>
        <w:pStyle w:val="Akapitzlist"/>
        <w:tabs>
          <w:tab w:val="num" w:pos="993"/>
        </w:tabs>
        <w:spacing w:after="120" w:line="360" w:lineRule="auto"/>
        <w:ind w:left="851" w:hanging="284"/>
        <w:contextualSpacing w:val="0"/>
        <w:jc w:val="both"/>
        <w:rPr>
          <w:rFonts w:ascii="Verdana" w:hAnsi="Verdana" w:cs="Arial"/>
          <w:sz w:val="20"/>
          <w:szCs w:val="20"/>
        </w:rPr>
      </w:pPr>
      <w:r w:rsidRPr="00920145">
        <w:rPr>
          <w:rFonts w:ascii="Verdana" w:hAnsi="Verdana" w:cs="Arial"/>
          <w:sz w:val="20"/>
          <w:szCs w:val="20"/>
        </w:rPr>
        <w:tab/>
      </w:r>
      <w:r w:rsidR="00D07367" w:rsidRPr="00920145">
        <w:rPr>
          <w:rFonts w:ascii="Verdana" w:hAnsi="Verdana" w:cs="Arial"/>
          <w:sz w:val="20"/>
          <w:szCs w:val="20"/>
        </w:rPr>
        <w:t>„2. Warunkiem notowania instrumentów strukturyzowanych w systemie animatora rynku jest istnienie, na podstawie pisemnej umowy, ważnego zobowiązania animatora rynku</w:t>
      </w:r>
      <w:r w:rsidR="00394762" w:rsidRPr="00920145">
        <w:rPr>
          <w:rFonts w:ascii="Verdana" w:hAnsi="Verdana" w:cs="Arial"/>
          <w:sz w:val="20"/>
          <w:szCs w:val="20"/>
        </w:rPr>
        <w:t>,</w:t>
      </w:r>
      <w:r w:rsidR="00D07367" w:rsidRPr="00920145">
        <w:rPr>
          <w:rFonts w:ascii="Verdana" w:hAnsi="Verdana" w:cs="Arial"/>
          <w:sz w:val="20"/>
          <w:szCs w:val="20"/>
        </w:rPr>
        <w:t xml:space="preserve"> zwanego dalej również „animatorem”, do wykonywania w stosunku do tych instrumentów zadań określonych w tej umowie i przepisach </w:t>
      </w:r>
      <w:r w:rsidR="00D07367" w:rsidRPr="00920145">
        <w:rPr>
          <w:rFonts w:ascii="Verdana" w:hAnsi="Verdana"/>
          <w:sz w:val="20"/>
          <w:szCs w:val="20"/>
        </w:rPr>
        <w:t>niniejszego Działu</w:t>
      </w:r>
      <w:r w:rsidR="00D07367" w:rsidRPr="00920145">
        <w:rPr>
          <w:rFonts w:ascii="Verdana" w:hAnsi="Verdana" w:cs="Arial"/>
          <w:sz w:val="20"/>
          <w:szCs w:val="20"/>
        </w:rPr>
        <w:t xml:space="preserve">.”;  </w:t>
      </w:r>
    </w:p>
    <w:p w14:paraId="0B4A9793" w14:textId="5B2EAEC4" w:rsidR="00D07367" w:rsidRPr="00920145" w:rsidRDefault="00FC0D9E" w:rsidP="00F0275A">
      <w:pPr>
        <w:pStyle w:val="Akapitzlist"/>
        <w:numPr>
          <w:ilvl w:val="0"/>
          <w:numId w:val="104"/>
        </w:numPr>
        <w:tabs>
          <w:tab w:val="clear" w:pos="644"/>
          <w:tab w:val="num" w:pos="993"/>
        </w:tabs>
        <w:spacing w:after="240" w:line="360" w:lineRule="auto"/>
        <w:ind w:left="851" w:hanging="284"/>
        <w:contextualSpacing w:val="0"/>
        <w:jc w:val="both"/>
        <w:rPr>
          <w:rFonts w:ascii="Verdana" w:hAnsi="Verdana" w:cs="Arial"/>
          <w:sz w:val="20"/>
          <w:szCs w:val="20"/>
        </w:rPr>
      </w:pPr>
      <w:r w:rsidRPr="00920145">
        <w:rPr>
          <w:rFonts w:ascii="Verdana" w:hAnsi="Verdana" w:cs="Arial"/>
          <w:sz w:val="20"/>
          <w:szCs w:val="18"/>
        </w:rPr>
        <w:t>w ust. 4 w pkt 2) wyrazy „poziomu referencyjnego” zastępuje się wyrazami „Poziomu Referencyjnego”;</w:t>
      </w:r>
    </w:p>
    <w:p w14:paraId="517659C8" w14:textId="59091788" w:rsidR="00FC0D9E" w:rsidRPr="00920145" w:rsidRDefault="00FC0D9E" w:rsidP="00443C99">
      <w:pPr>
        <w:pStyle w:val="Akapitzlist"/>
        <w:numPr>
          <w:ilvl w:val="1"/>
          <w:numId w:val="13"/>
        </w:numPr>
        <w:spacing w:after="120" w:line="360" w:lineRule="auto"/>
        <w:ind w:left="709" w:hanging="425"/>
        <w:contextualSpacing w:val="0"/>
        <w:jc w:val="both"/>
        <w:rPr>
          <w:rFonts w:ascii="Verdana" w:hAnsi="Verdana" w:cs="Arial"/>
          <w:sz w:val="20"/>
          <w:szCs w:val="18"/>
        </w:rPr>
      </w:pPr>
      <w:r w:rsidRPr="00920145">
        <w:rPr>
          <w:rFonts w:ascii="Verdana" w:hAnsi="Verdana" w:cs="Arial"/>
          <w:sz w:val="20"/>
          <w:szCs w:val="18"/>
        </w:rPr>
        <w:t>w § 2:</w:t>
      </w:r>
    </w:p>
    <w:p w14:paraId="0D02E730" w14:textId="04367F84" w:rsidR="0084019F" w:rsidRPr="00920145" w:rsidRDefault="00443C99" w:rsidP="00443C99">
      <w:pPr>
        <w:tabs>
          <w:tab w:val="left" w:pos="284"/>
        </w:tabs>
        <w:spacing w:after="120" w:line="360" w:lineRule="auto"/>
        <w:jc w:val="both"/>
        <w:rPr>
          <w:rFonts w:ascii="Verdana" w:hAnsi="Verdana" w:cs="Arial"/>
          <w:spacing w:val="-3"/>
          <w:sz w:val="20"/>
          <w:szCs w:val="20"/>
        </w:rPr>
      </w:pPr>
      <w:r w:rsidRPr="00920145">
        <w:rPr>
          <w:rFonts w:ascii="Verdana" w:hAnsi="Verdana" w:cs="Arial"/>
          <w:spacing w:val="-3"/>
          <w:sz w:val="20"/>
          <w:szCs w:val="20"/>
        </w:rPr>
        <w:tab/>
      </w:r>
      <w:r w:rsidR="00F0275A" w:rsidRPr="00920145">
        <w:rPr>
          <w:rFonts w:ascii="Verdana" w:hAnsi="Verdana" w:cs="Arial"/>
          <w:spacing w:val="-3"/>
          <w:sz w:val="20"/>
          <w:szCs w:val="20"/>
        </w:rPr>
        <w:tab/>
      </w:r>
      <w:r w:rsidRPr="00920145">
        <w:rPr>
          <w:rFonts w:ascii="Verdana" w:hAnsi="Verdana" w:cs="Arial"/>
          <w:spacing w:val="-3"/>
          <w:sz w:val="20"/>
          <w:szCs w:val="20"/>
        </w:rPr>
        <w:t xml:space="preserve">a) </w:t>
      </w:r>
      <w:r w:rsidR="00FC0D9E" w:rsidRPr="00920145">
        <w:rPr>
          <w:rFonts w:ascii="Verdana" w:hAnsi="Verdana" w:cs="Arial"/>
          <w:spacing w:val="-3"/>
          <w:sz w:val="20"/>
          <w:szCs w:val="20"/>
        </w:rPr>
        <w:t>ust. 3 otrzymuje brzmienie:</w:t>
      </w:r>
    </w:p>
    <w:p w14:paraId="15B3421A" w14:textId="5EDE0BD7" w:rsidR="00FC0D9E" w:rsidRPr="00920145" w:rsidRDefault="00443C99" w:rsidP="00F0275A">
      <w:pPr>
        <w:pStyle w:val="Akapitzlist"/>
        <w:tabs>
          <w:tab w:val="left" w:pos="851"/>
        </w:tabs>
        <w:spacing w:after="240" w:line="360" w:lineRule="auto"/>
        <w:ind w:left="851" w:hanging="283"/>
        <w:contextualSpacing w:val="0"/>
        <w:jc w:val="both"/>
        <w:rPr>
          <w:rFonts w:ascii="Verdana" w:hAnsi="Verdana"/>
          <w:sz w:val="20"/>
          <w:szCs w:val="20"/>
        </w:rPr>
      </w:pPr>
      <w:r w:rsidRPr="00920145">
        <w:rPr>
          <w:rFonts w:ascii="Verdana" w:hAnsi="Verdana" w:cs="Arial"/>
          <w:spacing w:val="-3"/>
          <w:sz w:val="20"/>
          <w:szCs w:val="20"/>
        </w:rPr>
        <w:tab/>
      </w:r>
      <w:r w:rsidR="00FC0D9E" w:rsidRPr="00920145">
        <w:rPr>
          <w:rFonts w:ascii="Verdana" w:hAnsi="Verdana" w:cs="Arial"/>
          <w:spacing w:val="-3"/>
          <w:sz w:val="20"/>
          <w:szCs w:val="20"/>
        </w:rPr>
        <w:t xml:space="preserve">„3. </w:t>
      </w:r>
      <w:r w:rsidR="00FC0D9E" w:rsidRPr="00920145">
        <w:rPr>
          <w:rFonts w:ascii="Verdana" w:hAnsi="Verdana"/>
          <w:sz w:val="20"/>
          <w:szCs w:val="20"/>
        </w:rPr>
        <w:t xml:space="preserve">Giełda podaje do wiadomości </w:t>
      </w:r>
      <w:r w:rsidR="00AD6CE8" w:rsidRPr="00920145">
        <w:rPr>
          <w:rFonts w:ascii="Verdana" w:hAnsi="Verdana"/>
          <w:sz w:val="20"/>
          <w:szCs w:val="20"/>
        </w:rPr>
        <w:t>uczestników obrotu</w:t>
      </w:r>
      <w:r w:rsidR="00FC0D9E" w:rsidRPr="00920145">
        <w:rPr>
          <w:rFonts w:ascii="Verdana" w:hAnsi="Verdana"/>
          <w:sz w:val="20"/>
          <w:szCs w:val="20"/>
        </w:rPr>
        <w:t xml:space="preserve"> skład poszczególnych segmentów instrumentów strukturyzowanych, o których mowa w ust. 1, zwanych dalej „Segmentami”.”;</w:t>
      </w:r>
    </w:p>
    <w:p w14:paraId="7C799970" w14:textId="0779191E" w:rsidR="00FC0D9E" w:rsidRPr="00920145" w:rsidRDefault="00F0275A" w:rsidP="00443C99">
      <w:pPr>
        <w:pStyle w:val="Akapitzlist"/>
        <w:tabs>
          <w:tab w:val="left" w:pos="851"/>
        </w:tabs>
        <w:spacing w:after="120" w:line="360" w:lineRule="auto"/>
        <w:ind w:left="709" w:hanging="425"/>
        <w:contextualSpacing w:val="0"/>
        <w:jc w:val="both"/>
        <w:rPr>
          <w:rFonts w:ascii="Verdana" w:hAnsi="Verdana"/>
          <w:sz w:val="20"/>
          <w:szCs w:val="20"/>
        </w:rPr>
      </w:pPr>
      <w:r w:rsidRPr="00920145">
        <w:rPr>
          <w:rFonts w:ascii="Verdana" w:hAnsi="Verdana"/>
          <w:sz w:val="20"/>
          <w:szCs w:val="20"/>
        </w:rPr>
        <w:tab/>
      </w:r>
      <w:r w:rsidR="00CE0B1E" w:rsidRPr="00920145">
        <w:rPr>
          <w:rFonts w:ascii="Verdana" w:hAnsi="Verdana"/>
          <w:sz w:val="20"/>
          <w:szCs w:val="20"/>
        </w:rPr>
        <w:t xml:space="preserve">b) </w:t>
      </w:r>
      <w:r w:rsidR="00FC0D9E" w:rsidRPr="00920145">
        <w:rPr>
          <w:rFonts w:ascii="Verdana" w:hAnsi="Verdana"/>
          <w:sz w:val="20"/>
          <w:szCs w:val="20"/>
        </w:rPr>
        <w:t>po ust. 3 dodaje się ust. 4 i 5, w brzmieniu:</w:t>
      </w:r>
    </w:p>
    <w:p w14:paraId="4691D6CC" w14:textId="3CCAC615" w:rsidR="00FC0D9E" w:rsidRPr="00920145" w:rsidRDefault="00FC0D9E" w:rsidP="00F10AD8">
      <w:pPr>
        <w:pStyle w:val="Akapitzlist"/>
        <w:tabs>
          <w:tab w:val="left" w:pos="851"/>
        </w:tabs>
        <w:spacing w:after="120" w:line="360" w:lineRule="auto"/>
        <w:ind w:left="851"/>
        <w:contextualSpacing w:val="0"/>
        <w:jc w:val="both"/>
        <w:rPr>
          <w:rFonts w:ascii="Verdana" w:hAnsi="Verdana"/>
          <w:sz w:val="20"/>
          <w:szCs w:val="20"/>
        </w:rPr>
      </w:pPr>
      <w:r w:rsidRPr="00920145">
        <w:rPr>
          <w:rFonts w:ascii="Verdana" w:hAnsi="Verdana"/>
          <w:sz w:val="20"/>
          <w:szCs w:val="20"/>
        </w:rPr>
        <w:t xml:space="preserve">„4. Segmenty, o których mowa w ust. 1, nie stanowią segmentów notowań </w:t>
      </w:r>
      <w:r w:rsidR="00443C99" w:rsidRPr="00920145">
        <w:rPr>
          <w:rFonts w:ascii="Verdana" w:hAnsi="Verdana"/>
          <w:sz w:val="20"/>
          <w:szCs w:val="20"/>
        </w:rPr>
        <w:br/>
      </w:r>
      <w:r w:rsidRPr="00920145">
        <w:rPr>
          <w:rFonts w:ascii="Verdana" w:hAnsi="Verdana"/>
          <w:sz w:val="20"/>
          <w:szCs w:val="20"/>
        </w:rPr>
        <w:t xml:space="preserve">w rozumieniu </w:t>
      </w:r>
      <w:r w:rsidRPr="00920145">
        <w:rPr>
          <w:rFonts w:ascii="Verdana" w:hAnsi="Verdana" w:cs="Arial"/>
          <w:sz w:val="20"/>
          <w:szCs w:val="20"/>
        </w:rPr>
        <w:t>§ 4 ust. 4.</w:t>
      </w:r>
    </w:p>
    <w:p w14:paraId="63EA1784" w14:textId="762AB3D7" w:rsidR="00FC0D9E" w:rsidRPr="00920145" w:rsidRDefault="00FC0D9E" w:rsidP="00F10AD8">
      <w:pPr>
        <w:tabs>
          <w:tab w:val="left" w:pos="142"/>
        </w:tabs>
        <w:spacing w:after="240" w:line="360" w:lineRule="auto"/>
        <w:ind w:left="851"/>
        <w:jc w:val="both"/>
        <w:rPr>
          <w:rFonts w:ascii="Verdana" w:hAnsi="Verdana" w:cs="Arial"/>
          <w:sz w:val="20"/>
          <w:szCs w:val="20"/>
        </w:rPr>
      </w:pPr>
      <w:r w:rsidRPr="00920145">
        <w:rPr>
          <w:rFonts w:ascii="Verdana" w:hAnsi="Verdana" w:cs="Arial"/>
          <w:sz w:val="20"/>
          <w:szCs w:val="20"/>
        </w:rPr>
        <w:t xml:space="preserve">5. O ile co innego nie wynika wprost z przepisów niniejszego Działu, zasady obrotu instrumentami strukturyzowanymi należącymi do Segmentu A lub Segmentu B są takie same, z zastrzeżeniem różnic wynikających </w:t>
      </w:r>
      <w:r w:rsidR="00394762" w:rsidRPr="00920145">
        <w:rPr>
          <w:rFonts w:ascii="Verdana" w:hAnsi="Verdana" w:cs="Arial"/>
          <w:sz w:val="20"/>
          <w:szCs w:val="20"/>
        </w:rPr>
        <w:br/>
      </w:r>
      <w:r w:rsidRPr="00920145">
        <w:rPr>
          <w:rFonts w:ascii="Verdana" w:hAnsi="Verdana" w:cs="Arial"/>
          <w:sz w:val="20"/>
          <w:szCs w:val="20"/>
        </w:rPr>
        <w:t xml:space="preserve">z zakwalifikowania danych instrumentów do różnych segmentów notowań </w:t>
      </w:r>
      <w:r w:rsidR="00443C99" w:rsidRPr="00920145">
        <w:rPr>
          <w:rFonts w:ascii="Verdana" w:hAnsi="Verdana" w:cs="Arial"/>
          <w:sz w:val="20"/>
          <w:szCs w:val="20"/>
        </w:rPr>
        <w:br/>
      </w:r>
      <w:r w:rsidRPr="00920145">
        <w:rPr>
          <w:rFonts w:ascii="Verdana" w:hAnsi="Verdana" w:cs="Arial"/>
          <w:sz w:val="20"/>
          <w:szCs w:val="20"/>
        </w:rPr>
        <w:t xml:space="preserve">w </w:t>
      </w:r>
      <w:r w:rsidRPr="00920145">
        <w:rPr>
          <w:rFonts w:ascii="Verdana" w:hAnsi="Verdana"/>
          <w:sz w:val="20"/>
          <w:szCs w:val="20"/>
        </w:rPr>
        <w:t xml:space="preserve">rozumieniu </w:t>
      </w:r>
      <w:r w:rsidRPr="00920145">
        <w:rPr>
          <w:rFonts w:ascii="Verdana" w:hAnsi="Verdana" w:cs="Arial"/>
          <w:sz w:val="20"/>
          <w:szCs w:val="20"/>
        </w:rPr>
        <w:t>§ 4 ust. 4.”;</w:t>
      </w:r>
    </w:p>
    <w:p w14:paraId="19BD6944" w14:textId="5190B0A1" w:rsidR="00264D64" w:rsidRPr="00920145" w:rsidRDefault="00264D64" w:rsidP="00F8716B">
      <w:pPr>
        <w:pStyle w:val="Akapitzlist"/>
        <w:numPr>
          <w:ilvl w:val="1"/>
          <w:numId w:val="13"/>
        </w:numPr>
        <w:spacing w:after="120" w:line="360" w:lineRule="auto"/>
        <w:ind w:left="709" w:hanging="425"/>
        <w:contextualSpacing w:val="0"/>
        <w:jc w:val="both"/>
        <w:rPr>
          <w:rFonts w:ascii="Verdana" w:hAnsi="Verdana" w:cs="Arial"/>
          <w:sz w:val="20"/>
          <w:szCs w:val="20"/>
        </w:rPr>
      </w:pPr>
      <w:r w:rsidRPr="00920145">
        <w:rPr>
          <w:rFonts w:ascii="Verdana" w:hAnsi="Verdana" w:cs="Arial"/>
          <w:sz w:val="20"/>
          <w:szCs w:val="20"/>
        </w:rPr>
        <w:lastRenderedPageBreak/>
        <w:t>w § 4:</w:t>
      </w:r>
    </w:p>
    <w:p w14:paraId="36D4EE73" w14:textId="0836A40A" w:rsidR="00264D64" w:rsidRPr="00920145" w:rsidRDefault="00394762" w:rsidP="009371FA">
      <w:pPr>
        <w:pStyle w:val="Akapitzlist"/>
        <w:spacing w:after="120" w:line="360" w:lineRule="auto"/>
        <w:ind w:left="709" w:hanging="142"/>
        <w:contextualSpacing w:val="0"/>
        <w:jc w:val="both"/>
        <w:rPr>
          <w:rFonts w:ascii="Verdana" w:hAnsi="Verdana" w:cs="Arial"/>
          <w:sz w:val="20"/>
          <w:szCs w:val="20"/>
        </w:rPr>
      </w:pPr>
      <w:r w:rsidRPr="00920145">
        <w:rPr>
          <w:rFonts w:ascii="Verdana" w:hAnsi="Verdana" w:cs="Arial"/>
          <w:sz w:val="20"/>
          <w:szCs w:val="20"/>
        </w:rPr>
        <w:t xml:space="preserve">a) </w:t>
      </w:r>
      <w:r w:rsidR="00046324" w:rsidRPr="00920145">
        <w:rPr>
          <w:rFonts w:ascii="Verdana" w:hAnsi="Verdana" w:cs="Arial"/>
          <w:sz w:val="20"/>
          <w:szCs w:val="20"/>
        </w:rPr>
        <w:t>w ust. 1 pkt 1) otrzymuje brzmienie:</w:t>
      </w:r>
    </w:p>
    <w:p w14:paraId="27A66205" w14:textId="678FE648" w:rsidR="00046324" w:rsidRPr="00920145" w:rsidRDefault="00046324" w:rsidP="00A23201">
      <w:pPr>
        <w:pStyle w:val="Akapitzlist"/>
        <w:spacing w:after="120" w:line="360" w:lineRule="auto"/>
        <w:ind w:left="709"/>
        <w:contextualSpacing w:val="0"/>
        <w:jc w:val="both"/>
        <w:rPr>
          <w:rFonts w:ascii="Verdana" w:hAnsi="Verdana" w:cs="Arial"/>
          <w:sz w:val="20"/>
          <w:szCs w:val="20"/>
        </w:rPr>
      </w:pPr>
      <w:r w:rsidRPr="00920145">
        <w:rPr>
          <w:rFonts w:ascii="Verdana" w:hAnsi="Verdana" w:cs="Arial"/>
          <w:sz w:val="20"/>
          <w:szCs w:val="20"/>
        </w:rPr>
        <w:t xml:space="preserve">„1) </w:t>
      </w:r>
      <w:bookmarkStart w:id="18" w:name="_Hlk62208644"/>
      <w:r w:rsidRPr="00920145">
        <w:rPr>
          <w:rFonts w:ascii="Verdana" w:hAnsi="Verdana" w:cs="Arial"/>
          <w:sz w:val="20"/>
        </w:rPr>
        <w:t xml:space="preserve">w systemie notowań </w:t>
      </w:r>
      <w:r w:rsidRPr="00920145">
        <w:rPr>
          <w:rFonts w:ascii="Verdana" w:hAnsi="Verdana"/>
          <w:sz w:val="20"/>
        </w:rPr>
        <w:t>z fazą notowań ciągłych w każdym dniu sesyjnym</w:t>
      </w:r>
      <w:bookmarkEnd w:id="18"/>
      <w:r w:rsidRPr="00920145">
        <w:rPr>
          <w:rFonts w:ascii="Verdana" w:hAnsi="Verdana"/>
          <w:sz w:val="20"/>
        </w:rPr>
        <w:t>:</w:t>
      </w:r>
    </w:p>
    <w:tbl>
      <w:tblPr>
        <w:tblW w:w="779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7"/>
        <w:gridCol w:w="5169"/>
      </w:tblGrid>
      <w:tr w:rsidR="00046324" w:rsidRPr="00920145" w14:paraId="3EE48EE5" w14:textId="77777777" w:rsidTr="00046324">
        <w:trPr>
          <w:cantSplit/>
          <w:trHeight w:val="323"/>
        </w:trPr>
        <w:tc>
          <w:tcPr>
            <w:tcW w:w="2627" w:type="dxa"/>
          </w:tcPr>
          <w:p w14:paraId="350B2113" w14:textId="77777777" w:rsidR="00046324" w:rsidRPr="00920145" w:rsidRDefault="00046324" w:rsidP="00A23201">
            <w:pPr>
              <w:pStyle w:val="Tekstpodstawowywcity"/>
              <w:spacing w:line="360" w:lineRule="auto"/>
              <w:ind w:hanging="2"/>
              <w:rPr>
                <w:rFonts w:ascii="Verdana" w:hAnsi="Verdana" w:cs="Arial"/>
                <w:sz w:val="20"/>
              </w:rPr>
            </w:pPr>
            <w:r w:rsidRPr="00920145">
              <w:rPr>
                <w:rFonts w:ascii="Verdana" w:hAnsi="Verdana" w:cs="Arial"/>
                <w:sz w:val="20"/>
              </w:rPr>
              <w:t>godz. 8.30 – 9.05</w:t>
            </w:r>
          </w:p>
        </w:tc>
        <w:tc>
          <w:tcPr>
            <w:tcW w:w="5169" w:type="dxa"/>
          </w:tcPr>
          <w:p w14:paraId="0700A5C8" w14:textId="77777777" w:rsidR="00046324" w:rsidRPr="00920145" w:rsidRDefault="00046324" w:rsidP="00A23201">
            <w:pPr>
              <w:pStyle w:val="Tekstpodstawowywcity"/>
              <w:spacing w:line="360" w:lineRule="auto"/>
              <w:rPr>
                <w:rFonts w:ascii="Verdana" w:hAnsi="Verdana" w:cs="Arial"/>
                <w:sz w:val="20"/>
              </w:rPr>
            </w:pPr>
            <w:r w:rsidRPr="00920145">
              <w:rPr>
                <w:rFonts w:ascii="Verdana" w:hAnsi="Verdana" w:cs="Arial"/>
                <w:sz w:val="20"/>
              </w:rPr>
              <w:t xml:space="preserve">Faza przed otwarciem </w:t>
            </w:r>
          </w:p>
        </w:tc>
      </w:tr>
      <w:tr w:rsidR="00046324" w:rsidRPr="00920145" w14:paraId="71156337" w14:textId="77777777" w:rsidTr="00046324">
        <w:trPr>
          <w:cantSplit/>
        </w:trPr>
        <w:tc>
          <w:tcPr>
            <w:tcW w:w="2627" w:type="dxa"/>
          </w:tcPr>
          <w:p w14:paraId="6E116D58" w14:textId="77777777" w:rsidR="00046324" w:rsidRPr="00920145" w:rsidRDefault="00046324" w:rsidP="00A23201">
            <w:pPr>
              <w:pStyle w:val="Tekstpodstawowywcity"/>
              <w:spacing w:line="360" w:lineRule="auto"/>
              <w:ind w:hanging="2"/>
              <w:rPr>
                <w:rFonts w:ascii="Verdana" w:hAnsi="Verdana" w:cs="Arial"/>
                <w:sz w:val="20"/>
              </w:rPr>
            </w:pPr>
            <w:r w:rsidRPr="00920145">
              <w:rPr>
                <w:rFonts w:ascii="Verdana" w:hAnsi="Verdana" w:cs="Arial"/>
                <w:sz w:val="20"/>
              </w:rPr>
              <w:t>godz. 9.05 – 16.50</w:t>
            </w:r>
          </w:p>
        </w:tc>
        <w:tc>
          <w:tcPr>
            <w:tcW w:w="5169" w:type="dxa"/>
          </w:tcPr>
          <w:p w14:paraId="2D9CBD42" w14:textId="77777777" w:rsidR="00046324" w:rsidRPr="00920145" w:rsidRDefault="00046324" w:rsidP="00A23201">
            <w:pPr>
              <w:pStyle w:val="Tekstpodstawowywcity"/>
              <w:spacing w:line="360" w:lineRule="auto"/>
              <w:ind w:hanging="91"/>
              <w:rPr>
                <w:rFonts w:ascii="Verdana" w:hAnsi="Verdana" w:cs="Arial"/>
                <w:sz w:val="20"/>
              </w:rPr>
            </w:pPr>
            <w:r w:rsidRPr="00920145">
              <w:rPr>
                <w:rFonts w:ascii="Verdana" w:hAnsi="Verdana" w:cs="Arial"/>
                <w:sz w:val="20"/>
              </w:rPr>
              <w:t xml:space="preserve"> Faza notowań ciągłych</w:t>
            </w:r>
          </w:p>
        </w:tc>
      </w:tr>
    </w:tbl>
    <w:p w14:paraId="1C273845" w14:textId="3E6ACAB6" w:rsidR="00046324" w:rsidRPr="00920145" w:rsidRDefault="00046324" w:rsidP="00A23201">
      <w:pPr>
        <w:pStyle w:val="Akapitzlist"/>
        <w:spacing w:after="120" w:line="360" w:lineRule="auto"/>
        <w:ind w:left="709"/>
        <w:contextualSpacing w:val="0"/>
        <w:jc w:val="both"/>
        <w:rPr>
          <w:rFonts w:ascii="Verdana" w:hAnsi="Verdana" w:cs="Arial"/>
          <w:sz w:val="20"/>
          <w:szCs w:val="20"/>
        </w:rPr>
      </w:pPr>
    </w:p>
    <w:p w14:paraId="7B68CE2E" w14:textId="54C96ED4" w:rsidR="00046324" w:rsidRPr="00920145" w:rsidRDefault="00394762" w:rsidP="009371FA">
      <w:pPr>
        <w:pStyle w:val="Akapitzlist"/>
        <w:spacing w:after="120" w:line="360" w:lineRule="auto"/>
        <w:ind w:left="567"/>
        <w:contextualSpacing w:val="0"/>
        <w:jc w:val="both"/>
        <w:rPr>
          <w:rFonts w:ascii="Verdana" w:hAnsi="Verdana" w:cs="Arial"/>
          <w:sz w:val="20"/>
          <w:szCs w:val="20"/>
        </w:rPr>
      </w:pPr>
      <w:r w:rsidRPr="00920145">
        <w:rPr>
          <w:rFonts w:ascii="Verdana" w:hAnsi="Verdana" w:cs="Arial"/>
          <w:sz w:val="20"/>
          <w:szCs w:val="20"/>
        </w:rPr>
        <w:t xml:space="preserve">b) </w:t>
      </w:r>
      <w:r w:rsidR="00046324" w:rsidRPr="00920145">
        <w:rPr>
          <w:rFonts w:ascii="Verdana" w:hAnsi="Verdana" w:cs="Arial"/>
          <w:sz w:val="20"/>
          <w:szCs w:val="20"/>
        </w:rPr>
        <w:t>w ust. 1 w pkt 2) lit. a) otrzymuje brzmienie:</w:t>
      </w:r>
    </w:p>
    <w:p w14:paraId="3641ADFA" w14:textId="1ED0A241" w:rsidR="00046324" w:rsidRPr="00920145" w:rsidRDefault="00046324" w:rsidP="00793AB4">
      <w:pPr>
        <w:pStyle w:val="Akapitzlist"/>
        <w:spacing w:after="120" w:line="360" w:lineRule="auto"/>
        <w:ind w:left="851"/>
        <w:contextualSpacing w:val="0"/>
        <w:jc w:val="both"/>
        <w:rPr>
          <w:rFonts w:ascii="Verdana" w:hAnsi="Verdana" w:cs="Arial"/>
          <w:sz w:val="20"/>
          <w:szCs w:val="20"/>
        </w:rPr>
      </w:pPr>
      <w:r w:rsidRPr="00920145">
        <w:rPr>
          <w:rFonts w:ascii="Verdana" w:hAnsi="Verdana" w:cs="Arial"/>
          <w:sz w:val="20"/>
          <w:szCs w:val="20"/>
        </w:rPr>
        <w:t xml:space="preserve">„a) </w:t>
      </w:r>
      <w:r w:rsidRPr="00920145">
        <w:rPr>
          <w:rFonts w:ascii="Verdana" w:hAnsi="Verdana"/>
          <w:iCs/>
          <w:sz w:val="20"/>
          <w:szCs w:val="20"/>
        </w:rPr>
        <w:t>harmonogram w dniu sesyjnym z fazą notowań ciągłych (z możliwością składania, modyfikowania i anulowania zleceń maklerskich oraz zawierania transakcji giełdowych):</w:t>
      </w:r>
    </w:p>
    <w:tbl>
      <w:tblPr>
        <w:tblW w:w="779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5103"/>
      </w:tblGrid>
      <w:tr w:rsidR="00046324" w:rsidRPr="00920145" w14:paraId="05385B53" w14:textId="77777777" w:rsidTr="00046324">
        <w:trPr>
          <w:cantSplit/>
          <w:trHeight w:val="323"/>
        </w:trPr>
        <w:tc>
          <w:tcPr>
            <w:tcW w:w="2693" w:type="dxa"/>
          </w:tcPr>
          <w:p w14:paraId="10BC320E" w14:textId="77777777" w:rsidR="00046324" w:rsidRPr="00920145" w:rsidRDefault="00046324" w:rsidP="00A23201">
            <w:pPr>
              <w:pStyle w:val="Tekstpodstawowywcity"/>
              <w:spacing w:line="360" w:lineRule="auto"/>
              <w:ind w:firstLine="70"/>
              <w:rPr>
                <w:rFonts w:ascii="Verdana" w:hAnsi="Verdana" w:cs="Arial"/>
                <w:sz w:val="20"/>
              </w:rPr>
            </w:pPr>
            <w:r w:rsidRPr="00920145">
              <w:rPr>
                <w:rFonts w:ascii="Verdana" w:hAnsi="Verdana" w:cs="Arial"/>
                <w:sz w:val="20"/>
              </w:rPr>
              <w:t>godz. 8.30 – 9.05</w:t>
            </w:r>
          </w:p>
        </w:tc>
        <w:tc>
          <w:tcPr>
            <w:tcW w:w="5103" w:type="dxa"/>
          </w:tcPr>
          <w:p w14:paraId="1ED8FB96" w14:textId="77777777" w:rsidR="00046324" w:rsidRPr="00920145" w:rsidRDefault="00046324" w:rsidP="00A23201">
            <w:pPr>
              <w:pStyle w:val="Tekstpodstawowywcity"/>
              <w:spacing w:line="360" w:lineRule="auto"/>
              <w:rPr>
                <w:rFonts w:ascii="Verdana" w:hAnsi="Verdana" w:cs="Arial"/>
                <w:sz w:val="20"/>
              </w:rPr>
            </w:pPr>
            <w:r w:rsidRPr="00920145">
              <w:rPr>
                <w:rFonts w:ascii="Verdana" w:hAnsi="Verdana" w:cs="Arial"/>
                <w:sz w:val="20"/>
              </w:rPr>
              <w:t xml:space="preserve">  Faza przed otwarciem </w:t>
            </w:r>
          </w:p>
        </w:tc>
      </w:tr>
      <w:tr w:rsidR="00046324" w:rsidRPr="00920145" w14:paraId="52EFF8F0" w14:textId="77777777" w:rsidTr="00046324">
        <w:trPr>
          <w:cantSplit/>
        </w:trPr>
        <w:tc>
          <w:tcPr>
            <w:tcW w:w="2693" w:type="dxa"/>
          </w:tcPr>
          <w:p w14:paraId="59ED7B0C" w14:textId="77777777" w:rsidR="00046324" w:rsidRPr="00920145" w:rsidRDefault="00046324" w:rsidP="00A23201">
            <w:pPr>
              <w:pStyle w:val="Tekstpodstawowywcity"/>
              <w:spacing w:line="360" w:lineRule="auto"/>
              <w:ind w:firstLine="70"/>
              <w:rPr>
                <w:rFonts w:ascii="Verdana" w:hAnsi="Verdana" w:cs="Arial"/>
                <w:sz w:val="20"/>
              </w:rPr>
            </w:pPr>
            <w:r w:rsidRPr="00920145">
              <w:rPr>
                <w:rFonts w:ascii="Verdana" w:hAnsi="Verdana" w:cs="Arial"/>
                <w:sz w:val="20"/>
              </w:rPr>
              <w:t>godz. 9.05 – 16.50</w:t>
            </w:r>
          </w:p>
        </w:tc>
        <w:tc>
          <w:tcPr>
            <w:tcW w:w="5103" w:type="dxa"/>
          </w:tcPr>
          <w:p w14:paraId="069666BC" w14:textId="77777777" w:rsidR="00046324" w:rsidRPr="00920145" w:rsidRDefault="00046324" w:rsidP="00A23201">
            <w:pPr>
              <w:pStyle w:val="Tekstpodstawowywcity"/>
              <w:spacing w:line="360" w:lineRule="auto"/>
              <w:ind w:firstLine="140"/>
              <w:rPr>
                <w:rFonts w:ascii="Verdana" w:hAnsi="Verdana" w:cs="Arial"/>
                <w:sz w:val="20"/>
              </w:rPr>
            </w:pPr>
            <w:r w:rsidRPr="00920145">
              <w:rPr>
                <w:rFonts w:ascii="Verdana" w:hAnsi="Verdana" w:cs="Arial"/>
                <w:sz w:val="20"/>
              </w:rPr>
              <w:t>Faza notowań ciągłych</w:t>
            </w:r>
          </w:p>
        </w:tc>
      </w:tr>
    </w:tbl>
    <w:p w14:paraId="4BA93ACD" w14:textId="1B243298" w:rsidR="00046324" w:rsidRPr="00920145" w:rsidRDefault="00046324" w:rsidP="00A23201">
      <w:pPr>
        <w:pStyle w:val="Akapitzlist"/>
        <w:spacing w:after="120" w:line="360" w:lineRule="auto"/>
        <w:ind w:left="709"/>
        <w:contextualSpacing w:val="0"/>
        <w:jc w:val="both"/>
        <w:rPr>
          <w:rFonts w:ascii="Verdana" w:hAnsi="Verdana" w:cs="Arial"/>
          <w:sz w:val="20"/>
          <w:szCs w:val="20"/>
        </w:rPr>
      </w:pPr>
    </w:p>
    <w:p w14:paraId="524A21EC" w14:textId="18FF96F0" w:rsidR="0008253F" w:rsidRPr="00920145" w:rsidRDefault="00394762" w:rsidP="00F0275A">
      <w:pPr>
        <w:pStyle w:val="Akapitzlist"/>
        <w:spacing w:after="120" w:line="360" w:lineRule="auto"/>
        <w:ind w:left="709" w:hanging="142"/>
        <w:contextualSpacing w:val="0"/>
        <w:jc w:val="both"/>
        <w:rPr>
          <w:rFonts w:ascii="Verdana" w:hAnsi="Verdana" w:cs="Arial"/>
          <w:sz w:val="20"/>
          <w:szCs w:val="20"/>
        </w:rPr>
      </w:pPr>
      <w:r w:rsidRPr="00920145">
        <w:rPr>
          <w:rFonts w:ascii="Verdana" w:hAnsi="Verdana" w:cs="Arial"/>
          <w:sz w:val="20"/>
          <w:szCs w:val="20"/>
        </w:rPr>
        <w:t xml:space="preserve">c) </w:t>
      </w:r>
      <w:r w:rsidR="0008253F" w:rsidRPr="00920145">
        <w:rPr>
          <w:rFonts w:ascii="Verdana" w:hAnsi="Verdana" w:cs="Arial"/>
          <w:sz w:val="20"/>
          <w:szCs w:val="20"/>
        </w:rPr>
        <w:t>ust. 1a otrzymuje brzmienie:</w:t>
      </w:r>
    </w:p>
    <w:p w14:paraId="3AC1B34D" w14:textId="70406999" w:rsidR="0008253F" w:rsidRPr="00920145" w:rsidRDefault="0008253F" w:rsidP="00F10AD8">
      <w:pPr>
        <w:pStyle w:val="Akapitzlist"/>
        <w:spacing w:after="240" w:line="360" w:lineRule="auto"/>
        <w:ind w:left="708"/>
        <w:contextualSpacing w:val="0"/>
        <w:jc w:val="both"/>
        <w:rPr>
          <w:rFonts w:ascii="Verdana" w:hAnsi="Verdana" w:cs="Arial"/>
          <w:sz w:val="20"/>
          <w:szCs w:val="20"/>
        </w:rPr>
      </w:pPr>
      <w:r w:rsidRPr="00920145">
        <w:rPr>
          <w:rFonts w:ascii="Verdana" w:hAnsi="Verdana" w:cs="Arial"/>
          <w:sz w:val="20"/>
          <w:szCs w:val="20"/>
        </w:rPr>
        <w:t xml:space="preserve">„1a. </w:t>
      </w:r>
      <w:r w:rsidRPr="00920145">
        <w:rPr>
          <w:rFonts w:ascii="Verdana" w:hAnsi="Verdana"/>
          <w:sz w:val="20"/>
          <w:szCs w:val="20"/>
        </w:rPr>
        <w:t xml:space="preserve">W systemie </w:t>
      </w:r>
      <w:r w:rsidRPr="00920145">
        <w:rPr>
          <w:rFonts w:ascii="Verdana" w:hAnsi="Verdana"/>
          <w:iCs/>
          <w:sz w:val="20"/>
          <w:szCs w:val="20"/>
        </w:rPr>
        <w:t xml:space="preserve">notowań z </w:t>
      </w:r>
      <w:r w:rsidRPr="00920145">
        <w:rPr>
          <w:rFonts w:ascii="Verdana" w:hAnsi="Verdana"/>
          <w:sz w:val="20"/>
          <w:szCs w:val="20"/>
        </w:rPr>
        <w:t>fazą notowań ciągłych w wybranym dniu sesyjnym tygodnia kalendarzowego, o którym mowa w ust. 1 pkt 2), faza notowań ciągłych ma miejsce w każdą środę danego tygodnia, pod warunkiem że jest to dzień sesyjny. W przypadku gdy dana środa nie jest dniem sesyjnym faza notowań ciągłych ma miejsce w następnym dniu sesyjnym tego samego tygodnia kalendarzowego - zgodnie z harmonogramem, o którym mowa w ust. 1 pkt 2 lit. a). W przypadku braku takiego dnia sesyjnego faza notowań ciągłych w tym systemie, w danym tygodniu kalendarzowym, nie ma miejsca.”;</w:t>
      </w:r>
    </w:p>
    <w:p w14:paraId="6177A8C1" w14:textId="4BC5377D" w:rsidR="00FC0D9E" w:rsidRPr="00920145" w:rsidRDefault="00F0275A" w:rsidP="00F0275A">
      <w:pPr>
        <w:pStyle w:val="Akapitzlist"/>
        <w:tabs>
          <w:tab w:val="left" w:pos="851"/>
        </w:tabs>
        <w:spacing w:after="120" w:line="360" w:lineRule="auto"/>
        <w:ind w:left="567" w:hanging="425"/>
        <w:contextualSpacing w:val="0"/>
        <w:jc w:val="both"/>
        <w:rPr>
          <w:rFonts w:ascii="Verdana" w:hAnsi="Verdana" w:cs="Arial"/>
          <w:spacing w:val="-3"/>
          <w:sz w:val="20"/>
          <w:szCs w:val="20"/>
        </w:rPr>
      </w:pPr>
      <w:r w:rsidRPr="00920145">
        <w:rPr>
          <w:rFonts w:ascii="Verdana" w:hAnsi="Verdana" w:cs="Arial"/>
          <w:spacing w:val="-3"/>
          <w:sz w:val="20"/>
          <w:szCs w:val="20"/>
        </w:rPr>
        <w:tab/>
      </w:r>
      <w:r w:rsidR="00394762" w:rsidRPr="00920145">
        <w:rPr>
          <w:rFonts w:ascii="Verdana" w:hAnsi="Verdana" w:cs="Arial"/>
          <w:spacing w:val="-3"/>
          <w:sz w:val="20"/>
          <w:szCs w:val="20"/>
        </w:rPr>
        <w:t xml:space="preserve">d) </w:t>
      </w:r>
      <w:r w:rsidR="00D266CC" w:rsidRPr="00920145">
        <w:rPr>
          <w:rFonts w:ascii="Verdana" w:hAnsi="Verdana" w:cs="Arial"/>
          <w:spacing w:val="-3"/>
          <w:sz w:val="20"/>
          <w:szCs w:val="20"/>
        </w:rPr>
        <w:t>ust. 3 – 5 otrzymują brzmienie:</w:t>
      </w:r>
    </w:p>
    <w:p w14:paraId="5B17A15A" w14:textId="7217252C" w:rsidR="00D266CC" w:rsidRPr="00920145" w:rsidRDefault="00D266CC" w:rsidP="00F10AD8">
      <w:pPr>
        <w:pStyle w:val="Akapitzlist"/>
        <w:tabs>
          <w:tab w:val="left" w:pos="851"/>
        </w:tabs>
        <w:spacing w:after="120" w:line="360" w:lineRule="auto"/>
        <w:ind w:left="708"/>
        <w:contextualSpacing w:val="0"/>
        <w:jc w:val="both"/>
        <w:rPr>
          <w:rFonts w:ascii="Verdana" w:hAnsi="Verdana" w:cs="Arial"/>
          <w:spacing w:val="-3"/>
          <w:sz w:val="20"/>
          <w:szCs w:val="20"/>
        </w:rPr>
      </w:pPr>
      <w:r w:rsidRPr="00920145">
        <w:rPr>
          <w:rFonts w:ascii="Verdana" w:hAnsi="Verdana" w:cs="Arial"/>
          <w:spacing w:val="-3"/>
          <w:sz w:val="20"/>
          <w:szCs w:val="20"/>
        </w:rPr>
        <w:t xml:space="preserve">„3. </w:t>
      </w:r>
      <w:r w:rsidRPr="00920145">
        <w:rPr>
          <w:rFonts w:ascii="Verdana" w:hAnsi="Verdana" w:cs="Arial"/>
          <w:sz w:val="20"/>
          <w:szCs w:val="20"/>
        </w:rPr>
        <w:t>Jeżeli we wskazanym w harmonogramie terminie nie nastąpi rozpoczęcie danej fazy notowań dla danych instrumentów finansowych (instrumentów oznaczonych tym samym kodem ISIN) to instrumenty te pozostają w fazie poprzedniej.</w:t>
      </w:r>
    </w:p>
    <w:p w14:paraId="3495E811" w14:textId="224A31BC" w:rsidR="00D266CC" w:rsidRPr="00920145" w:rsidRDefault="00D266CC" w:rsidP="00F10AD8">
      <w:pPr>
        <w:pStyle w:val="Tekstpodstawowy2"/>
        <w:spacing w:line="360" w:lineRule="auto"/>
        <w:ind w:left="708"/>
        <w:jc w:val="both"/>
        <w:rPr>
          <w:rFonts w:ascii="Verdana" w:hAnsi="Verdana" w:cs="Arial"/>
          <w:sz w:val="20"/>
          <w:szCs w:val="20"/>
        </w:rPr>
      </w:pPr>
      <w:r w:rsidRPr="00920145">
        <w:rPr>
          <w:rFonts w:ascii="Verdana" w:hAnsi="Verdana" w:cs="Arial"/>
          <w:sz w:val="20"/>
          <w:szCs w:val="20"/>
        </w:rPr>
        <w:t xml:space="preserve">4. Klasa instrumentów strukturyzowanych, zwana dalej ”segmentem notowań”, jest to grupa instrumentów strukturyzowanych o takich samych parametrach zawierania transakcji. Klasa instrumentów w znaczeniu, o którym mowa w zdaniu pierwszym, nie stanowi klasy instrumentów </w:t>
      </w:r>
      <w:r w:rsidRPr="00920145">
        <w:rPr>
          <w:rFonts w:ascii="Verdana" w:hAnsi="Verdana" w:cs="Arial"/>
          <w:sz w:val="20"/>
          <w:szCs w:val="20"/>
        </w:rPr>
        <w:lastRenderedPageBreak/>
        <w:t>finansowych w rozumieniu Rozporządzenia delegowanego Komisji (UE) 2017/583.</w:t>
      </w:r>
    </w:p>
    <w:p w14:paraId="75F49D01" w14:textId="73DE9EE2" w:rsidR="00793AB4" w:rsidRPr="00920145" w:rsidRDefault="00D266CC" w:rsidP="00F10AD8">
      <w:pPr>
        <w:pStyle w:val="Tekstpodstawowy2"/>
        <w:spacing w:after="240" w:line="360" w:lineRule="auto"/>
        <w:ind w:left="708"/>
        <w:jc w:val="both"/>
        <w:rPr>
          <w:rFonts w:ascii="Verdana" w:hAnsi="Verdana" w:cs="Arial"/>
          <w:sz w:val="20"/>
          <w:szCs w:val="20"/>
        </w:rPr>
      </w:pPr>
      <w:r w:rsidRPr="00920145">
        <w:rPr>
          <w:rFonts w:ascii="Verdana" w:hAnsi="Verdana" w:cs="Arial"/>
          <w:sz w:val="20"/>
          <w:szCs w:val="20"/>
        </w:rPr>
        <w:t>5. Giełda podaje do wiadomości uczestników obrotu skład poszczególnych segmentów notowań.”;</w:t>
      </w:r>
    </w:p>
    <w:p w14:paraId="3E822B0E" w14:textId="1A7F6C00" w:rsidR="00793AB4" w:rsidRPr="00920145" w:rsidRDefault="00793AB4">
      <w:pPr>
        <w:spacing w:after="0" w:line="240" w:lineRule="auto"/>
        <w:rPr>
          <w:rFonts w:ascii="Verdana" w:hAnsi="Verdana" w:cs="Arial"/>
          <w:sz w:val="20"/>
          <w:szCs w:val="20"/>
        </w:rPr>
      </w:pPr>
    </w:p>
    <w:p w14:paraId="3F944121" w14:textId="265215E5" w:rsidR="00585B6F" w:rsidRPr="00920145" w:rsidRDefault="00585B6F" w:rsidP="00F8716B">
      <w:pPr>
        <w:pStyle w:val="Akapitzlist"/>
        <w:numPr>
          <w:ilvl w:val="1"/>
          <w:numId w:val="13"/>
        </w:numPr>
        <w:spacing w:after="120" w:line="360" w:lineRule="auto"/>
        <w:ind w:left="709" w:hanging="425"/>
        <w:contextualSpacing w:val="0"/>
        <w:jc w:val="both"/>
        <w:rPr>
          <w:rFonts w:ascii="Verdana" w:hAnsi="Verdana" w:cs="Arial"/>
          <w:sz w:val="20"/>
          <w:szCs w:val="20"/>
        </w:rPr>
      </w:pPr>
      <w:r w:rsidRPr="00920145">
        <w:rPr>
          <w:rFonts w:ascii="Verdana" w:hAnsi="Verdana" w:cs="Arial"/>
          <w:sz w:val="20"/>
          <w:szCs w:val="20"/>
        </w:rPr>
        <w:t>§ 5 otrzymuje brzmienie:</w:t>
      </w:r>
    </w:p>
    <w:p w14:paraId="361EAD9C" w14:textId="0C91235C" w:rsidR="00585B6F" w:rsidRPr="00920145" w:rsidRDefault="00585B6F" w:rsidP="00A23201">
      <w:pPr>
        <w:pStyle w:val="Akapitzlist"/>
        <w:spacing w:after="120" w:line="360" w:lineRule="auto"/>
        <w:ind w:left="709"/>
        <w:contextualSpacing w:val="0"/>
        <w:jc w:val="both"/>
        <w:rPr>
          <w:rFonts w:ascii="Verdana" w:hAnsi="Verdana" w:cs="Arial"/>
          <w:sz w:val="20"/>
          <w:szCs w:val="20"/>
        </w:rPr>
      </w:pPr>
      <w:r w:rsidRPr="00920145">
        <w:rPr>
          <w:rFonts w:ascii="Verdana" w:hAnsi="Verdana" w:cs="Arial"/>
          <w:sz w:val="20"/>
          <w:szCs w:val="20"/>
        </w:rPr>
        <w:t>„§ 5</w:t>
      </w:r>
    </w:p>
    <w:p w14:paraId="2765ED66" w14:textId="77777777" w:rsidR="00585B6F" w:rsidRPr="00920145" w:rsidRDefault="00585B6F" w:rsidP="00A23201">
      <w:pPr>
        <w:spacing w:after="120" w:line="360" w:lineRule="auto"/>
        <w:ind w:firstLine="709"/>
        <w:rPr>
          <w:rFonts w:ascii="Verdana" w:hAnsi="Verdana"/>
          <w:b/>
          <w:sz w:val="20"/>
          <w:szCs w:val="18"/>
        </w:rPr>
      </w:pPr>
      <w:bookmarkStart w:id="19" w:name="_Toc306014408"/>
      <w:r w:rsidRPr="00920145">
        <w:rPr>
          <w:rFonts w:ascii="Verdana" w:hAnsi="Verdana"/>
          <w:b/>
          <w:sz w:val="20"/>
          <w:szCs w:val="18"/>
        </w:rPr>
        <w:t>Faza przed otwarciem</w:t>
      </w:r>
      <w:bookmarkEnd w:id="19"/>
    </w:p>
    <w:p w14:paraId="0C513827" w14:textId="4B458FC6" w:rsidR="00585B6F" w:rsidRPr="00920145" w:rsidRDefault="00585B6F" w:rsidP="00F8716B">
      <w:pPr>
        <w:numPr>
          <w:ilvl w:val="0"/>
          <w:numId w:val="67"/>
        </w:numPr>
        <w:tabs>
          <w:tab w:val="left" w:pos="142"/>
          <w:tab w:val="left" w:pos="993"/>
        </w:tabs>
        <w:spacing w:after="120" w:line="360" w:lineRule="auto"/>
        <w:ind w:left="709" w:firstLine="0"/>
        <w:jc w:val="both"/>
        <w:rPr>
          <w:rFonts w:ascii="Verdana" w:hAnsi="Verdana" w:cs="Arial"/>
          <w:sz w:val="20"/>
          <w:szCs w:val="18"/>
        </w:rPr>
      </w:pPr>
      <w:r w:rsidRPr="00920145">
        <w:rPr>
          <w:rFonts w:ascii="Verdana" w:hAnsi="Verdana" w:cs="Arial"/>
          <w:sz w:val="20"/>
          <w:szCs w:val="18"/>
        </w:rPr>
        <w:t xml:space="preserve">W fazie przed otwarciem mogą być składane na giełdę nowe zlecenia maklerskie, jednak transakcje nie są zawierane. </w:t>
      </w:r>
    </w:p>
    <w:p w14:paraId="19EEF625" w14:textId="17C59C58" w:rsidR="00585B6F" w:rsidRPr="00920145" w:rsidRDefault="00585B6F" w:rsidP="00F8716B">
      <w:pPr>
        <w:numPr>
          <w:ilvl w:val="0"/>
          <w:numId w:val="67"/>
        </w:numPr>
        <w:tabs>
          <w:tab w:val="left" w:pos="142"/>
          <w:tab w:val="left" w:pos="993"/>
        </w:tabs>
        <w:spacing w:after="120" w:line="360" w:lineRule="auto"/>
        <w:ind w:left="709" w:firstLine="0"/>
        <w:jc w:val="both"/>
        <w:rPr>
          <w:rFonts w:ascii="Verdana" w:hAnsi="Verdana" w:cs="Arial"/>
          <w:sz w:val="20"/>
          <w:szCs w:val="18"/>
        </w:rPr>
      </w:pPr>
      <w:r w:rsidRPr="00920145">
        <w:rPr>
          <w:rFonts w:ascii="Verdana" w:hAnsi="Verdana" w:cs="Arial"/>
          <w:sz w:val="20"/>
          <w:szCs w:val="18"/>
        </w:rPr>
        <w:t xml:space="preserve">Zlecenia maklerskie niebędące zleceniami animatora złożone a niezrealizowane na poprzednich sesjach giełdowych, jak również nowe zlecenia maklerskie niebędące zleceniami animatora składane w tej fazie, nie ulegają od razu ujawnieniu w arkuszu zleceń, lecz oczekują na rozkrosowanie i ujawnienie zgodnie z zasadami określonymi w § 35. </w:t>
      </w:r>
    </w:p>
    <w:p w14:paraId="7F65A4EE" w14:textId="2D164A56" w:rsidR="00585B6F" w:rsidRPr="00920145" w:rsidRDefault="00585B6F" w:rsidP="00F8716B">
      <w:pPr>
        <w:numPr>
          <w:ilvl w:val="0"/>
          <w:numId w:val="67"/>
        </w:numPr>
        <w:tabs>
          <w:tab w:val="left" w:pos="142"/>
          <w:tab w:val="left" w:pos="993"/>
        </w:tabs>
        <w:spacing w:after="120" w:line="360" w:lineRule="auto"/>
        <w:ind w:left="709" w:firstLine="0"/>
        <w:jc w:val="both"/>
        <w:rPr>
          <w:rFonts w:ascii="Verdana" w:hAnsi="Verdana" w:cs="Arial"/>
          <w:sz w:val="20"/>
          <w:szCs w:val="18"/>
        </w:rPr>
      </w:pPr>
      <w:r w:rsidRPr="00920145">
        <w:rPr>
          <w:rFonts w:ascii="Verdana" w:hAnsi="Verdana" w:cs="Arial"/>
          <w:sz w:val="20"/>
          <w:szCs w:val="18"/>
        </w:rPr>
        <w:t xml:space="preserve">Zlecenia niebędące zleceniami animatora </w:t>
      </w:r>
      <w:r w:rsidRPr="00920145">
        <w:rPr>
          <w:rFonts w:ascii="Verdana" w:hAnsi="Verdana"/>
          <w:sz w:val="20"/>
          <w:szCs w:val="18"/>
        </w:rPr>
        <w:t xml:space="preserve">oczekujące na ujawnienie w arkuszu zleceń </w:t>
      </w:r>
      <w:r w:rsidRPr="00920145">
        <w:rPr>
          <w:rFonts w:ascii="Verdana" w:hAnsi="Verdana" w:cs="Arial"/>
          <w:sz w:val="20"/>
          <w:szCs w:val="18"/>
        </w:rPr>
        <w:t xml:space="preserve">mogą być w tej fazie anulowane i modyfikowane, przy czym modyfikacja takiego zlecenia oznacza, że traci ono priorytet czasu przyjęcia na giełdę. </w:t>
      </w:r>
    </w:p>
    <w:p w14:paraId="79754734" w14:textId="7C53D38C" w:rsidR="00585B6F" w:rsidRPr="00920145" w:rsidRDefault="00585B6F" w:rsidP="00F8716B">
      <w:pPr>
        <w:numPr>
          <w:ilvl w:val="0"/>
          <w:numId w:val="67"/>
        </w:numPr>
        <w:tabs>
          <w:tab w:val="left" w:pos="142"/>
          <w:tab w:val="left" w:pos="993"/>
        </w:tabs>
        <w:spacing w:after="120" w:line="360" w:lineRule="auto"/>
        <w:ind w:left="709" w:firstLine="0"/>
        <w:jc w:val="both"/>
        <w:rPr>
          <w:rFonts w:ascii="Verdana" w:hAnsi="Verdana" w:cs="Arial"/>
          <w:sz w:val="20"/>
          <w:szCs w:val="18"/>
        </w:rPr>
      </w:pPr>
      <w:r w:rsidRPr="00920145">
        <w:rPr>
          <w:rFonts w:ascii="Verdana" w:hAnsi="Verdana" w:cs="Arial"/>
          <w:sz w:val="20"/>
          <w:szCs w:val="18"/>
        </w:rPr>
        <w:t xml:space="preserve">Zlecenia maklerskie będące zleceniami animatora składane w tej fazie ulegają  natychmiastowemu ujawnieniu w arkuszu zleceń.   </w:t>
      </w:r>
    </w:p>
    <w:p w14:paraId="233982C3" w14:textId="42063F63" w:rsidR="00585B6F" w:rsidRPr="00920145" w:rsidRDefault="00585B6F" w:rsidP="00F8716B">
      <w:pPr>
        <w:numPr>
          <w:ilvl w:val="0"/>
          <w:numId w:val="67"/>
        </w:numPr>
        <w:tabs>
          <w:tab w:val="left" w:pos="142"/>
          <w:tab w:val="left" w:pos="993"/>
        </w:tabs>
        <w:spacing w:after="240" w:line="360" w:lineRule="auto"/>
        <w:ind w:left="709" w:firstLine="0"/>
        <w:jc w:val="both"/>
        <w:rPr>
          <w:rFonts w:ascii="Verdana" w:hAnsi="Verdana" w:cs="Arial"/>
          <w:sz w:val="20"/>
          <w:szCs w:val="18"/>
        </w:rPr>
      </w:pPr>
      <w:r w:rsidRPr="00920145">
        <w:rPr>
          <w:rFonts w:ascii="Verdana" w:hAnsi="Verdana" w:cs="Arial"/>
          <w:sz w:val="20"/>
          <w:szCs w:val="18"/>
        </w:rPr>
        <w:t>Zlecenia animatora istniejące w arkuszu zleceń mogą być w tej fazie anulowane i modyfikowane.”;</w:t>
      </w:r>
    </w:p>
    <w:p w14:paraId="37064369" w14:textId="2A9287B4" w:rsidR="00585B6F" w:rsidRPr="00920145" w:rsidRDefault="00A53F2A" w:rsidP="00F8716B">
      <w:pPr>
        <w:pStyle w:val="Akapitzlist"/>
        <w:numPr>
          <w:ilvl w:val="1"/>
          <w:numId w:val="13"/>
        </w:numPr>
        <w:spacing w:after="240" w:line="360" w:lineRule="auto"/>
        <w:ind w:left="709" w:hanging="425"/>
        <w:contextualSpacing w:val="0"/>
        <w:jc w:val="both"/>
        <w:rPr>
          <w:rFonts w:ascii="Verdana" w:hAnsi="Verdana" w:cs="Arial"/>
          <w:sz w:val="20"/>
          <w:szCs w:val="20"/>
        </w:rPr>
      </w:pPr>
      <w:r w:rsidRPr="00920145">
        <w:rPr>
          <w:rFonts w:ascii="Verdana" w:hAnsi="Verdana" w:cs="Arial"/>
          <w:sz w:val="20"/>
          <w:szCs w:val="20"/>
        </w:rPr>
        <w:t>uchyla się § 6;</w:t>
      </w:r>
    </w:p>
    <w:p w14:paraId="526CCF51" w14:textId="43E0F9F2" w:rsidR="00A53F2A" w:rsidRPr="00920145" w:rsidRDefault="00A53F2A" w:rsidP="00F8716B">
      <w:pPr>
        <w:pStyle w:val="Akapitzlist"/>
        <w:numPr>
          <w:ilvl w:val="1"/>
          <w:numId w:val="13"/>
        </w:numPr>
        <w:spacing w:after="240" w:line="360" w:lineRule="auto"/>
        <w:ind w:left="709" w:hanging="425"/>
        <w:contextualSpacing w:val="0"/>
        <w:jc w:val="both"/>
        <w:rPr>
          <w:rFonts w:ascii="Verdana" w:hAnsi="Verdana" w:cs="Arial"/>
          <w:sz w:val="20"/>
          <w:szCs w:val="20"/>
        </w:rPr>
      </w:pPr>
      <w:r w:rsidRPr="00920145">
        <w:rPr>
          <w:rFonts w:ascii="Verdana" w:hAnsi="Verdana" w:cs="Arial"/>
          <w:sz w:val="20"/>
          <w:szCs w:val="20"/>
        </w:rPr>
        <w:t>w § 7:</w:t>
      </w:r>
    </w:p>
    <w:p w14:paraId="28E18857" w14:textId="598A9B0A" w:rsidR="00A53F2A" w:rsidRPr="00920145" w:rsidRDefault="00515EDB" w:rsidP="00F0275A">
      <w:pPr>
        <w:pStyle w:val="Akapitzlist"/>
        <w:spacing w:after="120" w:line="360" w:lineRule="auto"/>
        <w:ind w:left="709" w:hanging="142"/>
        <w:contextualSpacing w:val="0"/>
        <w:jc w:val="both"/>
        <w:rPr>
          <w:rFonts w:ascii="Verdana" w:hAnsi="Verdana" w:cs="Arial"/>
          <w:sz w:val="20"/>
          <w:szCs w:val="20"/>
        </w:rPr>
      </w:pPr>
      <w:r w:rsidRPr="00920145">
        <w:rPr>
          <w:rFonts w:ascii="Verdana" w:hAnsi="Verdana" w:cs="Arial"/>
          <w:sz w:val="20"/>
          <w:szCs w:val="20"/>
        </w:rPr>
        <w:t xml:space="preserve">a) </w:t>
      </w:r>
      <w:r w:rsidR="00FB2075" w:rsidRPr="00920145">
        <w:rPr>
          <w:rFonts w:ascii="Verdana" w:hAnsi="Verdana" w:cs="Arial"/>
          <w:sz w:val="20"/>
          <w:szCs w:val="20"/>
        </w:rPr>
        <w:t>ust. 1 otrzymuje brzmienie:</w:t>
      </w:r>
    </w:p>
    <w:p w14:paraId="6C0804DC" w14:textId="0C9B0586" w:rsidR="00FB2075" w:rsidRPr="00920145" w:rsidRDefault="00FB2075" w:rsidP="009B0743">
      <w:pPr>
        <w:pStyle w:val="Akapitzlist"/>
        <w:spacing w:after="240" w:line="360" w:lineRule="auto"/>
        <w:ind w:left="567"/>
        <w:contextualSpacing w:val="0"/>
        <w:jc w:val="both"/>
        <w:rPr>
          <w:rFonts w:ascii="Verdana" w:hAnsi="Verdana" w:cs="Arial"/>
          <w:sz w:val="20"/>
          <w:szCs w:val="20"/>
        </w:rPr>
      </w:pPr>
      <w:r w:rsidRPr="00920145">
        <w:rPr>
          <w:rFonts w:ascii="Verdana" w:hAnsi="Verdana" w:cs="Arial"/>
          <w:sz w:val="20"/>
          <w:szCs w:val="20"/>
        </w:rPr>
        <w:t>„1. Z zastrzeżeniem  przepisów niniejszego Działu, w fazie notowań ciągłych do arkusza zleceń mogą być składane nowe zlecenia maklerskie, a zlecenia istniejące w arkuszu zleceń mogą być modyfikowane i  anulowane.”;</w:t>
      </w:r>
    </w:p>
    <w:p w14:paraId="322FAF8F" w14:textId="4E89D30A" w:rsidR="00FB2075" w:rsidRPr="00920145" w:rsidRDefault="00515EDB" w:rsidP="00F0275A">
      <w:pPr>
        <w:pStyle w:val="Akapitzlist"/>
        <w:spacing w:after="120" w:line="360" w:lineRule="auto"/>
        <w:ind w:left="709" w:hanging="142"/>
        <w:contextualSpacing w:val="0"/>
        <w:jc w:val="both"/>
        <w:rPr>
          <w:rFonts w:ascii="Verdana" w:hAnsi="Verdana" w:cs="Arial"/>
          <w:sz w:val="20"/>
          <w:szCs w:val="20"/>
        </w:rPr>
      </w:pPr>
      <w:r w:rsidRPr="00920145">
        <w:rPr>
          <w:rFonts w:ascii="Verdana" w:hAnsi="Verdana" w:cs="Arial"/>
          <w:sz w:val="20"/>
          <w:szCs w:val="20"/>
        </w:rPr>
        <w:t xml:space="preserve">b) </w:t>
      </w:r>
      <w:r w:rsidR="00FB2075" w:rsidRPr="00920145">
        <w:rPr>
          <w:rFonts w:ascii="Verdana" w:hAnsi="Verdana" w:cs="Arial"/>
          <w:sz w:val="20"/>
          <w:szCs w:val="20"/>
        </w:rPr>
        <w:t>ust. 3 otrzymuje brzmienie:</w:t>
      </w:r>
    </w:p>
    <w:p w14:paraId="31FDE086" w14:textId="656B050F" w:rsidR="00FB2075" w:rsidRPr="00920145" w:rsidRDefault="00FB2075" w:rsidP="009B0743">
      <w:pPr>
        <w:pStyle w:val="Akapitzlist"/>
        <w:spacing w:after="240" w:line="360" w:lineRule="auto"/>
        <w:ind w:left="567"/>
        <w:contextualSpacing w:val="0"/>
        <w:jc w:val="both"/>
        <w:rPr>
          <w:rFonts w:ascii="Verdana" w:hAnsi="Verdana" w:cs="Arial"/>
          <w:sz w:val="20"/>
          <w:szCs w:val="20"/>
        </w:rPr>
      </w:pPr>
      <w:r w:rsidRPr="00920145">
        <w:rPr>
          <w:rFonts w:ascii="Verdana" w:hAnsi="Verdana" w:cs="Arial"/>
          <w:sz w:val="20"/>
          <w:szCs w:val="20"/>
        </w:rPr>
        <w:lastRenderedPageBreak/>
        <w:t xml:space="preserve">„3. Transakcje są zawierane po kursie najlepszego zlecenia przeciwstawnego oczekującego na realizację/kursach najlepszych zleceń przeciwstawnych oczekujących na realizację w arkuszu zleceń.”; </w:t>
      </w:r>
    </w:p>
    <w:p w14:paraId="55ADF6F3" w14:textId="6AF9912A" w:rsidR="00FB2075" w:rsidRPr="00920145" w:rsidRDefault="00515EDB" w:rsidP="00F0275A">
      <w:pPr>
        <w:pStyle w:val="Akapitzlist"/>
        <w:spacing w:after="120" w:line="360" w:lineRule="auto"/>
        <w:ind w:left="709" w:hanging="142"/>
        <w:contextualSpacing w:val="0"/>
        <w:jc w:val="both"/>
        <w:rPr>
          <w:rFonts w:ascii="Verdana" w:hAnsi="Verdana" w:cs="Arial"/>
          <w:sz w:val="20"/>
          <w:szCs w:val="20"/>
        </w:rPr>
      </w:pPr>
      <w:r w:rsidRPr="00920145">
        <w:rPr>
          <w:rFonts w:ascii="Verdana" w:hAnsi="Verdana" w:cs="Arial"/>
          <w:sz w:val="20"/>
          <w:szCs w:val="20"/>
        </w:rPr>
        <w:t xml:space="preserve">c) </w:t>
      </w:r>
      <w:r w:rsidR="00FB2075" w:rsidRPr="00920145">
        <w:rPr>
          <w:rFonts w:ascii="Verdana" w:hAnsi="Verdana" w:cs="Arial"/>
          <w:sz w:val="20"/>
          <w:szCs w:val="20"/>
        </w:rPr>
        <w:t>dodaje się ust. 4, w brzmieniu:</w:t>
      </w:r>
    </w:p>
    <w:p w14:paraId="510601AF" w14:textId="0466BBAB" w:rsidR="00FB2075" w:rsidRPr="00920145" w:rsidRDefault="00FB2075" w:rsidP="009B0743">
      <w:pPr>
        <w:pStyle w:val="Akapitzlist"/>
        <w:spacing w:after="240" w:line="360" w:lineRule="auto"/>
        <w:ind w:left="567"/>
        <w:contextualSpacing w:val="0"/>
        <w:jc w:val="both"/>
        <w:rPr>
          <w:rFonts w:ascii="Verdana" w:hAnsi="Verdana" w:cs="Arial"/>
          <w:sz w:val="20"/>
          <w:szCs w:val="20"/>
        </w:rPr>
      </w:pPr>
      <w:r w:rsidRPr="00920145">
        <w:rPr>
          <w:rFonts w:ascii="Verdana" w:hAnsi="Verdana" w:cs="Arial"/>
          <w:sz w:val="20"/>
          <w:szCs w:val="20"/>
        </w:rPr>
        <w:t>„4. Warunkiem niezbędnym do realizacji zleceń i zawarcia transakcji jest obecność w arkuszu ważnych zleceń/ważnego zlecenia animatora. Za ważne zlecenie animatora przyjmuje się zlecenia kupna i sprzedaży, albo tylko zlecenie kupna - w zależności od tzw. stanu, jaki obowiązuje dla danego instrumentu (określanego na bieżąco przez animatora rynku).”;</w:t>
      </w:r>
    </w:p>
    <w:p w14:paraId="5BFFA5A5" w14:textId="62A7A395" w:rsidR="00711AF2" w:rsidRPr="00920145" w:rsidRDefault="00711AF2" w:rsidP="007E7A54">
      <w:pPr>
        <w:pStyle w:val="Akapitzlist"/>
        <w:numPr>
          <w:ilvl w:val="1"/>
          <w:numId w:val="13"/>
        </w:numPr>
        <w:spacing w:after="120" w:line="360" w:lineRule="auto"/>
        <w:ind w:left="567" w:hanging="283"/>
        <w:contextualSpacing w:val="0"/>
        <w:jc w:val="both"/>
        <w:rPr>
          <w:rFonts w:ascii="Verdana" w:hAnsi="Verdana" w:cs="Arial"/>
          <w:sz w:val="20"/>
          <w:szCs w:val="20"/>
        </w:rPr>
      </w:pPr>
      <w:r w:rsidRPr="00920145">
        <w:rPr>
          <w:rFonts w:ascii="Verdana" w:hAnsi="Verdana" w:cs="Arial"/>
          <w:sz w:val="20"/>
          <w:szCs w:val="20"/>
        </w:rPr>
        <w:t>w § 8</w:t>
      </w:r>
      <w:r w:rsidR="007E7A54" w:rsidRPr="00920145">
        <w:rPr>
          <w:rFonts w:ascii="Verdana" w:hAnsi="Verdana" w:cs="Arial"/>
          <w:sz w:val="20"/>
          <w:szCs w:val="20"/>
        </w:rPr>
        <w:t xml:space="preserve"> </w:t>
      </w:r>
      <w:r w:rsidRPr="00920145">
        <w:rPr>
          <w:rFonts w:ascii="Verdana" w:hAnsi="Verdana" w:cs="Arial"/>
          <w:sz w:val="20"/>
          <w:szCs w:val="20"/>
        </w:rPr>
        <w:t xml:space="preserve">ust. </w:t>
      </w:r>
      <w:r w:rsidR="007E7A54" w:rsidRPr="00920145">
        <w:rPr>
          <w:rFonts w:ascii="Verdana" w:hAnsi="Verdana" w:cs="Arial"/>
          <w:sz w:val="20"/>
          <w:szCs w:val="20"/>
        </w:rPr>
        <w:t xml:space="preserve">4 – 7 </w:t>
      </w:r>
      <w:r w:rsidRPr="00920145">
        <w:rPr>
          <w:rFonts w:ascii="Verdana" w:hAnsi="Verdana" w:cs="Arial"/>
          <w:sz w:val="20"/>
          <w:szCs w:val="20"/>
        </w:rPr>
        <w:t>otrzymuj</w:t>
      </w:r>
      <w:r w:rsidR="007E7A54" w:rsidRPr="00920145">
        <w:rPr>
          <w:rFonts w:ascii="Verdana" w:hAnsi="Verdana" w:cs="Arial"/>
          <w:sz w:val="20"/>
          <w:szCs w:val="20"/>
        </w:rPr>
        <w:t>ą</w:t>
      </w:r>
      <w:r w:rsidRPr="00920145">
        <w:rPr>
          <w:rFonts w:ascii="Verdana" w:hAnsi="Verdana" w:cs="Arial"/>
          <w:sz w:val="20"/>
          <w:szCs w:val="20"/>
        </w:rPr>
        <w:t xml:space="preserve"> brzmienie:</w:t>
      </w:r>
    </w:p>
    <w:p w14:paraId="796E4C91" w14:textId="3ACBC439" w:rsidR="00711AF2" w:rsidRPr="00920145" w:rsidRDefault="00711AF2" w:rsidP="007E7A54">
      <w:pPr>
        <w:pStyle w:val="Akapitzlist"/>
        <w:spacing w:after="120" w:line="360" w:lineRule="auto"/>
        <w:ind w:left="567"/>
        <w:contextualSpacing w:val="0"/>
        <w:jc w:val="both"/>
        <w:rPr>
          <w:rFonts w:ascii="Verdana" w:hAnsi="Verdana" w:cs="Arial"/>
          <w:sz w:val="20"/>
          <w:szCs w:val="20"/>
        </w:rPr>
      </w:pPr>
      <w:r w:rsidRPr="00920145">
        <w:rPr>
          <w:rFonts w:ascii="Verdana" w:hAnsi="Verdana" w:cs="Arial"/>
          <w:sz w:val="20"/>
          <w:szCs w:val="20"/>
        </w:rPr>
        <w:t>„</w:t>
      </w:r>
      <w:r w:rsidR="007E7A54" w:rsidRPr="00920145">
        <w:rPr>
          <w:rFonts w:ascii="Verdana" w:hAnsi="Verdana" w:cs="Arial"/>
          <w:sz w:val="20"/>
          <w:szCs w:val="20"/>
        </w:rPr>
        <w:t xml:space="preserve">4. </w:t>
      </w:r>
      <w:r w:rsidRPr="00920145">
        <w:rPr>
          <w:rFonts w:ascii="Verdana" w:hAnsi="Verdana" w:cs="Arial"/>
          <w:sz w:val="20"/>
          <w:szCs w:val="20"/>
        </w:rPr>
        <w:t xml:space="preserve">Animator jest obowiązany do ciągłego utrzymywania w arkuszu zleceń swojego zlecenia kupna i zlecenia sprzedaży albo tylko zlecenia kupna  – stosownie do przepisów </w:t>
      </w:r>
      <w:r w:rsidRPr="00920145">
        <w:rPr>
          <w:rFonts w:ascii="Verdana" w:hAnsi="Verdana"/>
          <w:sz w:val="20"/>
          <w:szCs w:val="20"/>
        </w:rPr>
        <w:t>niniejszego Działu</w:t>
      </w:r>
      <w:r w:rsidRPr="00920145">
        <w:rPr>
          <w:rFonts w:ascii="Verdana" w:hAnsi="Verdana" w:cs="Arial"/>
          <w:sz w:val="20"/>
          <w:szCs w:val="20"/>
        </w:rPr>
        <w:t>, w zależności od tzw. stanu jaki obowiązuje dla danego instrumentu (określanego na bieżąco przez animatora)</w:t>
      </w:r>
      <w:r w:rsidR="007E7A54" w:rsidRPr="00920145">
        <w:rPr>
          <w:rFonts w:ascii="Verdana" w:hAnsi="Verdana" w:cs="Arial"/>
          <w:sz w:val="20"/>
          <w:szCs w:val="20"/>
        </w:rPr>
        <w:t>, przez cały okres trwania fazy notowań ciągłych.</w:t>
      </w:r>
    </w:p>
    <w:p w14:paraId="6FF20AFD" w14:textId="4DC9338F" w:rsidR="00711AF2" w:rsidRPr="00920145" w:rsidRDefault="00711AF2" w:rsidP="009B0743">
      <w:pPr>
        <w:pStyle w:val="Akapitzlist"/>
        <w:spacing w:after="120" w:line="360" w:lineRule="auto"/>
        <w:ind w:left="567"/>
        <w:contextualSpacing w:val="0"/>
        <w:jc w:val="both"/>
        <w:rPr>
          <w:rFonts w:ascii="Verdana" w:hAnsi="Verdana" w:cs="Arial"/>
          <w:sz w:val="20"/>
          <w:szCs w:val="20"/>
        </w:rPr>
      </w:pPr>
      <w:r w:rsidRPr="00920145">
        <w:rPr>
          <w:rFonts w:ascii="Verdana" w:hAnsi="Verdana" w:cs="Arial"/>
          <w:sz w:val="20"/>
          <w:szCs w:val="20"/>
        </w:rPr>
        <w:t xml:space="preserve">5. W arkuszu zleceń może znajdować się w tym samym czasie maksymalnie po jednym zleceniu kupna i/lub jednym zleceniu sprzedaży animatora, </w:t>
      </w:r>
      <w:r w:rsidR="00A23201" w:rsidRPr="00920145">
        <w:rPr>
          <w:rFonts w:ascii="Verdana" w:hAnsi="Verdana" w:cs="Arial"/>
          <w:sz w:val="20"/>
          <w:szCs w:val="20"/>
        </w:rPr>
        <w:br/>
      </w:r>
      <w:r w:rsidRPr="00920145">
        <w:rPr>
          <w:rFonts w:ascii="Verdana" w:hAnsi="Verdana" w:cs="Arial"/>
          <w:sz w:val="20"/>
          <w:szCs w:val="20"/>
        </w:rPr>
        <w:t>w zależności od tzw. stanu jaki obowiązuje dla danego instrumentu (określanego na bieżąco przez animatora).</w:t>
      </w:r>
    </w:p>
    <w:p w14:paraId="339C9182" w14:textId="10FDC036" w:rsidR="00711AF2" w:rsidRPr="00920145" w:rsidRDefault="00711AF2" w:rsidP="009B0743">
      <w:pPr>
        <w:tabs>
          <w:tab w:val="left" w:pos="142"/>
        </w:tabs>
        <w:spacing w:after="120" w:line="360" w:lineRule="auto"/>
        <w:ind w:left="567"/>
        <w:jc w:val="both"/>
        <w:rPr>
          <w:rFonts w:ascii="Verdana" w:hAnsi="Verdana" w:cs="Arial"/>
          <w:sz w:val="20"/>
          <w:szCs w:val="20"/>
        </w:rPr>
      </w:pPr>
      <w:r w:rsidRPr="00920145">
        <w:rPr>
          <w:rFonts w:ascii="Verdana" w:hAnsi="Verdana" w:cs="Arial"/>
          <w:sz w:val="20"/>
          <w:szCs w:val="20"/>
        </w:rPr>
        <w:t xml:space="preserve">6. Animator może składać wyłącznie zlecenia LIMIT, z oznaczeniem „Ważne na dzień bieżący”. </w:t>
      </w:r>
    </w:p>
    <w:p w14:paraId="1886FCF9" w14:textId="1D59EF55" w:rsidR="00711AF2" w:rsidRPr="00920145" w:rsidRDefault="00711AF2" w:rsidP="009B0743">
      <w:pPr>
        <w:tabs>
          <w:tab w:val="left" w:pos="142"/>
        </w:tabs>
        <w:spacing w:after="240" w:line="360" w:lineRule="auto"/>
        <w:ind w:left="567"/>
        <w:jc w:val="both"/>
        <w:rPr>
          <w:rFonts w:ascii="Verdana" w:hAnsi="Verdana" w:cs="Arial"/>
          <w:sz w:val="20"/>
          <w:szCs w:val="20"/>
        </w:rPr>
      </w:pPr>
      <w:r w:rsidRPr="00920145">
        <w:rPr>
          <w:rFonts w:ascii="Verdana" w:hAnsi="Verdana" w:cs="Arial"/>
          <w:sz w:val="20"/>
          <w:szCs w:val="20"/>
        </w:rPr>
        <w:t xml:space="preserve">7. Animator rynku nie może składać innych zleceń niż te, które z tytułu wykonywania zadań animatora zobowiązany jest składać zgodnie z wymogami właściwej umowy i przepisami </w:t>
      </w:r>
      <w:r w:rsidRPr="00920145">
        <w:rPr>
          <w:rFonts w:ascii="Verdana" w:hAnsi="Verdana"/>
          <w:sz w:val="20"/>
          <w:szCs w:val="20"/>
        </w:rPr>
        <w:t>niniejszego Działu</w:t>
      </w:r>
      <w:r w:rsidRPr="00920145">
        <w:rPr>
          <w:rFonts w:ascii="Verdana" w:hAnsi="Verdana" w:cs="Arial"/>
          <w:sz w:val="20"/>
          <w:szCs w:val="20"/>
        </w:rPr>
        <w:t xml:space="preserve">, w zależności od tzw. stanu jaki obowiązuje dla danego instrumentu (określanego na bieżąco przez animatora).”;  </w:t>
      </w:r>
    </w:p>
    <w:p w14:paraId="1E3F4CB9" w14:textId="3D6D9414" w:rsidR="00784D85" w:rsidRPr="00920145" w:rsidRDefault="00CF602F" w:rsidP="00F8716B">
      <w:pPr>
        <w:pStyle w:val="Akapitzlist"/>
        <w:numPr>
          <w:ilvl w:val="1"/>
          <w:numId w:val="13"/>
        </w:numPr>
        <w:spacing w:after="240" w:line="360" w:lineRule="auto"/>
        <w:ind w:left="709" w:hanging="425"/>
        <w:contextualSpacing w:val="0"/>
        <w:jc w:val="both"/>
        <w:rPr>
          <w:rFonts w:ascii="Verdana" w:hAnsi="Verdana" w:cs="Arial"/>
          <w:sz w:val="20"/>
          <w:szCs w:val="20"/>
        </w:rPr>
      </w:pPr>
      <w:r w:rsidRPr="00920145">
        <w:rPr>
          <w:rFonts w:ascii="Verdana" w:hAnsi="Verdana" w:cs="Arial"/>
          <w:sz w:val="20"/>
          <w:szCs w:val="20"/>
        </w:rPr>
        <w:t xml:space="preserve">w Rozdziale 3 </w:t>
      </w:r>
      <w:r w:rsidR="00784D85" w:rsidRPr="00920145">
        <w:rPr>
          <w:rFonts w:ascii="Verdana" w:hAnsi="Verdana" w:cs="Arial"/>
          <w:sz w:val="20"/>
          <w:szCs w:val="20"/>
        </w:rPr>
        <w:t>uchyla się</w:t>
      </w:r>
      <w:r w:rsidRPr="00920145">
        <w:rPr>
          <w:rFonts w:ascii="Verdana" w:hAnsi="Verdana" w:cs="Arial"/>
          <w:sz w:val="20"/>
          <w:szCs w:val="20"/>
        </w:rPr>
        <w:t xml:space="preserve"> Oddział 2 (</w:t>
      </w:r>
      <w:r w:rsidR="00784D85" w:rsidRPr="00920145">
        <w:rPr>
          <w:rFonts w:ascii="Verdana" w:hAnsi="Verdana" w:cs="Arial"/>
          <w:sz w:val="20"/>
          <w:szCs w:val="20"/>
        </w:rPr>
        <w:t>§ 9</w:t>
      </w:r>
      <w:r w:rsidRPr="00920145">
        <w:rPr>
          <w:rFonts w:ascii="Verdana" w:hAnsi="Verdana" w:cs="Arial"/>
          <w:sz w:val="20"/>
          <w:szCs w:val="20"/>
        </w:rPr>
        <w:t>)</w:t>
      </w:r>
      <w:r w:rsidR="00784D85" w:rsidRPr="00920145">
        <w:rPr>
          <w:rFonts w:ascii="Verdana" w:hAnsi="Verdana" w:cs="Arial"/>
          <w:sz w:val="20"/>
          <w:szCs w:val="20"/>
        </w:rPr>
        <w:t>;</w:t>
      </w:r>
    </w:p>
    <w:p w14:paraId="6D6D1C1C" w14:textId="2BC15E56" w:rsidR="00784D85" w:rsidRPr="00920145" w:rsidRDefault="00784D85" w:rsidP="000D59A2">
      <w:pPr>
        <w:pStyle w:val="Akapitzlist"/>
        <w:numPr>
          <w:ilvl w:val="1"/>
          <w:numId w:val="13"/>
        </w:numPr>
        <w:spacing w:after="120" w:line="360" w:lineRule="auto"/>
        <w:ind w:left="709" w:hanging="425"/>
        <w:contextualSpacing w:val="0"/>
        <w:jc w:val="both"/>
        <w:rPr>
          <w:rFonts w:ascii="Verdana" w:hAnsi="Verdana" w:cs="Arial"/>
          <w:sz w:val="20"/>
          <w:szCs w:val="20"/>
        </w:rPr>
      </w:pPr>
      <w:r w:rsidRPr="00920145">
        <w:rPr>
          <w:rFonts w:ascii="Verdana" w:hAnsi="Verdana" w:cs="Arial"/>
          <w:sz w:val="20"/>
          <w:szCs w:val="20"/>
        </w:rPr>
        <w:t>w § 10:</w:t>
      </w:r>
    </w:p>
    <w:p w14:paraId="344CDAB1" w14:textId="332A1319" w:rsidR="00BC0A45" w:rsidRPr="00920145" w:rsidRDefault="00A23201" w:rsidP="00F0275A">
      <w:pPr>
        <w:pStyle w:val="Akapitzlist"/>
        <w:spacing w:after="120" w:line="360" w:lineRule="auto"/>
        <w:ind w:left="284" w:firstLine="283"/>
        <w:contextualSpacing w:val="0"/>
        <w:jc w:val="both"/>
        <w:rPr>
          <w:rFonts w:ascii="Verdana" w:hAnsi="Verdana" w:cs="Arial"/>
          <w:sz w:val="20"/>
          <w:szCs w:val="20"/>
        </w:rPr>
      </w:pPr>
      <w:r w:rsidRPr="00920145">
        <w:rPr>
          <w:rFonts w:ascii="Verdana" w:hAnsi="Verdana" w:cs="Arial"/>
          <w:sz w:val="20"/>
          <w:szCs w:val="20"/>
        </w:rPr>
        <w:t xml:space="preserve">a) </w:t>
      </w:r>
      <w:r w:rsidR="00BC0A45" w:rsidRPr="00920145">
        <w:rPr>
          <w:rFonts w:ascii="Verdana" w:hAnsi="Verdana" w:cs="Arial"/>
          <w:sz w:val="20"/>
          <w:szCs w:val="20"/>
        </w:rPr>
        <w:t>ust. 1 otrzymuje brzmienie:</w:t>
      </w:r>
    </w:p>
    <w:p w14:paraId="67999528" w14:textId="5B4DA711" w:rsidR="00BC0A45" w:rsidRPr="00920145" w:rsidRDefault="00BC0A45" w:rsidP="000D59A2">
      <w:pPr>
        <w:pStyle w:val="Akapitzlist"/>
        <w:spacing w:after="120" w:line="360" w:lineRule="auto"/>
        <w:ind w:left="567"/>
        <w:contextualSpacing w:val="0"/>
        <w:jc w:val="both"/>
        <w:rPr>
          <w:rFonts w:ascii="Verdana" w:hAnsi="Verdana"/>
          <w:sz w:val="20"/>
          <w:szCs w:val="20"/>
        </w:rPr>
      </w:pPr>
      <w:r w:rsidRPr="00920145">
        <w:rPr>
          <w:rFonts w:ascii="Verdana" w:hAnsi="Verdana" w:cs="Arial"/>
          <w:sz w:val="20"/>
          <w:szCs w:val="20"/>
        </w:rPr>
        <w:t xml:space="preserve">„1. </w:t>
      </w:r>
      <w:r w:rsidRPr="00920145">
        <w:rPr>
          <w:rFonts w:ascii="Verdana" w:hAnsi="Verdana"/>
          <w:sz w:val="20"/>
          <w:szCs w:val="20"/>
        </w:rPr>
        <w:t xml:space="preserve">Jeżeli w fazie notowań ciągłych w arkuszu zleceń znajdują się zlecenia maklerskie, w tym zlecenie/zlecenia animatora, spełniające takie warunki realizacji, w których po jednej ze stron transakcji występowałoby zlecenie animatora, zlecenia te </w:t>
      </w:r>
      <w:r w:rsidRPr="00920145">
        <w:rPr>
          <w:rFonts w:ascii="Verdana" w:hAnsi="Verdana" w:cs="Arial"/>
          <w:sz w:val="20"/>
          <w:szCs w:val="20"/>
        </w:rPr>
        <w:t xml:space="preserve">nie podlegają natychmiastowemu wykonaniu, lecz </w:t>
      </w:r>
      <w:r w:rsidRPr="00920145">
        <w:rPr>
          <w:rFonts w:ascii="Verdana" w:hAnsi="Verdana" w:cs="Arial"/>
          <w:sz w:val="20"/>
          <w:szCs w:val="20"/>
        </w:rPr>
        <w:lastRenderedPageBreak/>
        <w:t xml:space="preserve">oczekują na realizację w arkuszu zleceń, </w:t>
      </w:r>
      <w:r w:rsidRPr="00920145">
        <w:rPr>
          <w:rFonts w:ascii="Verdana" w:hAnsi="Verdana"/>
          <w:sz w:val="20"/>
          <w:szCs w:val="20"/>
        </w:rPr>
        <w:t xml:space="preserve">a do animatora wysyłany jest komunikat „Zapytanie o Realizację”, zwany dalej komunikatem „ZOR”, z zastrzeżeniem ust. 8.”; </w:t>
      </w:r>
    </w:p>
    <w:p w14:paraId="4D0F0B3F" w14:textId="5D0FF379" w:rsidR="00BC0A45" w:rsidRPr="00920145" w:rsidRDefault="00A23201" w:rsidP="00F0275A">
      <w:pPr>
        <w:spacing w:after="120" w:line="360" w:lineRule="auto"/>
        <w:ind w:firstLine="567"/>
        <w:jc w:val="both"/>
        <w:rPr>
          <w:rFonts w:ascii="Verdana" w:hAnsi="Verdana"/>
          <w:sz w:val="20"/>
          <w:szCs w:val="20"/>
        </w:rPr>
      </w:pPr>
      <w:r w:rsidRPr="00920145">
        <w:rPr>
          <w:rFonts w:ascii="Verdana" w:hAnsi="Verdana"/>
          <w:sz w:val="20"/>
          <w:szCs w:val="20"/>
        </w:rPr>
        <w:t>b)</w:t>
      </w:r>
      <w:r w:rsidR="00BC0A45" w:rsidRPr="00920145">
        <w:rPr>
          <w:rFonts w:ascii="Verdana" w:hAnsi="Verdana"/>
          <w:sz w:val="20"/>
          <w:szCs w:val="20"/>
        </w:rPr>
        <w:t xml:space="preserve"> uchyla się ust. 2;</w:t>
      </w:r>
    </w:p>
    <w:p w14:paraId="576A8B27" w14:textId="6AE9D4A5" w:rsidR="00BC0A45" w:rsidRPr="00920145" w:rsidRDefault="00A23201" w:rsidP="00F0275A">
      <w:pPr>
        <w:pStyle w:val="Akapitzlist"/>
        <w:spacing w:after="120" w:line="360" w:lineRule="auto"/>
        <w:ind w:left="709" w:hanging="142"/>
        <w:contextualSpacing w:val="0"/>
        <w:jc w:val="both"/>
        <w:rPr>
          <w:rFonts w:ascii="Verdana" w:hAnsi="Verdana" w:cs="Arial"/>
          <w:sz w:val="20"/>
          <w:szCs w:val="20"/>
        </w:rPr>
      </w:pPr>
      <w:r w:rsidRPr="00920145">
        <w:rPr>
          <w:rFonts w:ascii="Verdana" w:hAnsi="Verdana" w:cs="Arial"/>
          <w:sz w:val="20"/>
          <w:szCs w:val="20"/>
        </w:rPr>
        <w:t xml:space="preserve">c) </w:t>
      </w:r>
      <w:r w:rsidR="00BC0A45" w:rsidRPr="00920145">
        <w:rPr>
          <w:rFonts w:ascii="Verdana" w:hAnsi="Verdana" w:cs="Arial"/>
          <w:sz w:val="20"/>
          <w:szCs w:val="20"/>
        </w:rPr>
        <w:t>ust. 4 – 7 otrzymują brzmienie:</w:t>
      </w:r>
    </w:p>
    <w:p w14:paraId="0F1F7E07" w14:textId="7C5AA620" w:rsidR="00BC0A45" w:rsidRPr="00920145" w:rsidRDefault="00BC0A45" w:rsidP="000D59A2">
      <w:pPr>
        <w:pStyle w:val="Akapitzlist"/>
        <w:spacing w:after="120" w:line="360" w:lineRule="auto"/>
        <w:ind w:left="567"/>
        <w:contextualSpacing w:val="0"/>
        <w:jc w:val="both"/>
        <w:rPr>
          <w:rFonts w:ascii="Verdana" w:hAnsi="Verdana" w:cs="Arial"/>
          <w:sz w:val="20"/>
          <w:szCs w:val="20"/>
        </w:rPr>
      </w:pPr>
      <w:r w:rsidRPr="00920145">
        <w:rPr>
          <w:rFonts w:ascii="Verdana" w:hAnsi="Verdana" w:cs="Arial"/>
          <w:sz w:val="20"/>
          <w:szCs w:val="20"/>
        </w:rPr>
        <w:t xml:space="preserve">„4. </w:t>
      </w:r>
      <w:r w:rsidRPr="00920145">
        <w:rPr>
          <w:rFonts w:ascii="Verdana" w:hAnsi="Verdana"/>
          <w:sz w:val="20"/>
          <w:szCs w:val="18"/>
        </w:rPr>
        <w:t>Po otrzymaniu komunikatu ZOR, w trakcie  określonego w ust. 7 czasu, zwanego dalej „Czasem Opóźnienia Odpowiedzi Animatora”, animator może:</w:t>
      </w:r>
    </w:p>
    <w:p w14:paraId="618D759B" w14:textId="77777777" w:rsidR="000D59A2" w:rsidRPr="00920145" w:rsidRDefault="00BC0A45" w:rsidP="000D59A2">
      <w:pPr>
        <w:numPr>
          <w:ilvl w:val="0"/>
          <w:numId w:val="68"/>
        </w:numPr>
        <w:spacing w:after="120" w:line="360" w:lineRule="auto"/>
        <w:ind w:left="1276" w:hanging="357"/>
        <w:jc w:val="both"/>
        <w:rPr>
          <w:rFonts w:ascii="Verdana" w:hAnsi="Verdana"/>
          <w:sz w:val="20"/>
          <w:szCs w:val="18"/>
        </w:rPr>
      </w:pPr>
      <w:r w:rsidRPr="00920145">
        <w:rPr>
          <w:rFonts w:ascii="Verdana" w:hAnsi="Verdana"/>
          <w:sz w:val="20"/>
          <w:szCs w:val="18"/>
        </w:rPr>
        <w:t xml:space="preserve">potwierdzić swoje zlecenie/zlecenia składając w miejsce dotychczasowego nowe zlecenie/nowe zlecenia o takich samych parametrach, </w:t>
      </w:r>
    </w:p>
    <w:p w14:paraId="77A01E26" w14:textId="77777777" w:rsidR="000D59A2" w:rsidRPr="00920145" w:rsidRDefault="00BC0A45" w:rsidP="000D59A2">
      <w:pPr>
        <w:numPr>
          <w:ilvl w:val="0"/>
          <w:numId w:val="68"/>
        </w:numPr>
        <w:spacing w:after="120" w:line="360" w:lineRule="auto"/>
        <w:ind w:left="1276" w:hanging="357"/>
        <w:jc w:val="both"/>
        <w:rPr>
          <w:rFonts w:ascii="Verdana" w:hAnsi="Verdana"/>
          <w:sz w:val="20"/>
          <w:szCs w:val="18"/>
        </w:rPr>
      </w:pPr>
      <w:r w:rsidRPr="00920145">
        <w:rPr>
          <w:rFonts w:ascii="Verdana" w:hAnsi="Verdana"/>
          <w:sz w:val="20"/>
          <w:szCs w:val="18"/>
        </w:rPr>
        <w:t xml:space="preserve">zmodyfikować swoje zlecenie/zlecenia składając w miejsce dotychczasowego nowe zlecenie/nowe zlecenia o innych parametrach, </w:t>
      </w:r>
    </w:p>
    <w:p w14:paraId="76172D3F" w14:textId="02C917BB" w:rsidR="00BC0A45" w:rsidRPr="00920145" w:rsidRDefault="00BC0A45" w:rsidP="000D59A2">
      <w:pPr>
        <w:numPr>
          <w:ilvl w:val="0"/>
          <w:numId w:val="68"/>
        </w:numPr>
        <w:spacing w:after="120" w:line="360" w:lineRule="auto"/>
        <w:ind w:left="1276" w:hanging="357"/>
        <w:jc w:val="both"/>
        <w:rPr>
          <w:rFonts w:ascii="Verdana" w:hAnsi="Verdana"/>
          <w:sz w:val="20"/>
          <w:szCs w:val="18"/>
        </w:rPr>
      </w:pPr>
      <w:r w:rsidRPr="00920145">
        <w:rPr>
          <w:rFonts w:ascii="Verdana" w:hAnsi="Verdana"/>
          <w:sz w:val="20"/>
          <w:szCs w:val="18"/>
        </w:rPr>
        <w:t xml:space="preserve">anulować swoje zlecenie/zlecenia, </w:t>
      </w:r>
    </w:p>
    <w:p w14:paraId="722FC1C5" w14:textId="77777777" w:rsidR="00BC0A45" w:rsidRPr="00920145" w:rsidRDefault="00BC0A45" w:rsidP="000D59A2">
      <w:pPr>
        <w:numPr>
          <w:ilvl w:val="0"/>
          <w:numId w:val="68"/>
        </w:numPr>
        <w:spacing w:after="120" w:line="360" w:lineRule="auto"/>
        <w:ind w:left="1276" w:hanging="357"/>
        <w:jc w:val="both"/>
        <w:rPr>
          <w:rFonts w:ascii="Verdana" w:hAnsi="Verdana"/>
          <w:sz w:val="20"/>
          <w:szCs w:val="18"/>
        </w:rPr>
      </w:pPr>
      <w:r w:rsidRPr="00920145">
        <w:rPr>
          <w:rFonts w:ascii="Verdana" w:hAnsi="Verdana"/>
          <w:sz w:val="20"/>
          <w:szCs w:val="18"/>
        </w:rPr>
        <w:t xml:space="preserve">nie dokonywać żadnych z czynności wskazanych w lit. a) – c). </w:t>
      </w:r>
    </w:p>
    <w:p w14:paraId="2D299462" w14:textId="2D39C4B7" w:rsidR="00BC0A45" w:rsidRPr="00920145" w:rsidRDefault="00BC0A45" w:rsidP="000D59A2">
      <w:pPr>
        <w:spacing w:after="120" w:line="360" w:lineRule="auto"/>
        <w:ind w:left="567"/>
        <w:jc w:val="both"/>
        <w:rPr>
          <w:rFonts w:ascii="Verdana" w:hAnsi="Verdana"/>
          <w:sz w:val="20"/>
          <w:szCs w:val="18"/>
        </w:rPr>
      </w:pPr>
      <w:r w:rsidRPr="00920145">
        <w:rPr>
          <w:rFonts w:ascii="Verdana" w:hAnsi="Verdana"/>
          <w:sz w:val="20"/>
          <w:szCs w:val="18"/>
        </w:rPr>
        <w:t xml:space="preserve">5. Bezpośrednio po złożeniu przez animatora nowego zlecenia/nowych zleceń, o których mowa w ust. 4 lit. a) lub lit. b), a w przypadku określonym w ust. 4 lit. d) – bezpośrednio po upływie Czasu Opóźnienia Odpowiedzi Animatora, następuje uruchomienie procesu rozkrosowania zleceń oczekujących na ujawnienie w arkuszu zleceń. </w:t>
      </w:r>
    </w:p>
    <w:p w14:paraId="2F2E4A25" w14:textId="3FCE444D" w:rsidR="00BC0A45" w:rsidRPr="00920145" w:rsidRDefault="00BC0A45" w:rsidP="000D59A2">
      <w:pPr>
        <w:spacing w:after="120" w:line="360" w:lineRule="auto"/>
        <w:ind w:left="567"/>
        <w:jc w:val="both"/>
        <w:rPr>
          <w:rFonts w:ascii="Verdana" w:hAnsi="Verdana"/>
          <w:sz w:val="20"/>
          <w:szCs w:val="18"/>
        </w:rPr>
      </w:pPr>
      <w:r w:rsidRPr="00920145">
        <w:rPr>
          <w:rFonts w:ascii="Verdana" w:hAnsi="Verdana"/>
          <w:sz w:val="20"/>
          <w:szCs w:val="18"/>
        </w:rPr>
        <w:t xml:space="preserve">6. W przypadku określonym w ust. 4 lit. c) następuje zawieszenie obrotu typu  „Zawieszenie - Brak Animatora”.  </w:t>
      </w:r>
      <w:r w:rsidRPr="00920145">
        <w:rPr>
          <w:rFonts w:ascii="Verdana" w:hAnsi="Verdana"/>
          <w:b/>
          <w:sz w:val="20"/>
          <w:szCs w:val="18"/>
        </w:rPr>
        <w:t xml:space="preserve"> </w:t>
      </w:r>
    </w:p>
    <w:p w14:paraId="1DDF3F6A" w14:textId="44A29FD0" w:rsidR="00BC0A45" w:rsidRPr="00920145" w:rsidRDefault="00BC0A45" w:rsidP="000D59A2">
      <w:pPr>
        <w:spacing w:after="240" w:line="360" w:lineRule="auto"/>
        <w:ind w:firstLine="567"/>
        <w:jc w:val="both"/>
        <w:rPr>
          <w:rFonts w:ascii="Verdana" w:hAnsi="Verdana"/>
          <w:sz w:val="20"/>
          <w:szCs w:val="18"/>
        </w:rPr>
      </w:pPr>
      <w:r w:rsidRPr="00920145">
        <w:rPr>
          <w:rFonts w:ascii="Verdana" w:hAnsi="Verdana"/>
          <w:sz w:val="20"/>
          <w:szCs w:val="18"/>
        </w:rPr>
        <w:t xml:space="preserve">7. Czas Opóźnienia Odpowiedzi Animatora wynosi 2 sekundy.”; </w:t>
      </w:r>
    </w:p>
    <w:p w14:paraId="2DD9D55E" w14:textId="5F5E1A52" w:rsidR="00C90F4A" w:rsidRPr="00920145" w:rsidRDefault="00A23201" w:rsidP="00F0275A">
      <w:pPr>
        <w:spacing w:after="120" w:line="360" w:lineRule="auto"/>
        <w:ind w:left="709" w:hanging="283"/>
        <w:jc w:val="both"/>
        <w:rPr>
          <w:rFonts w:ascii="Verdana" w:hAnsi="Verdana"/>
          <w:sz w:val="20"/>
          <w:szCs w:val="18"/>
        </w:rPr>
      </w:pPr>
      <w:r w:rsidRPr="00920145">
        <w:rPr>
          <w:rFonts w:ascii="Verdana" w:hAnsi="Verdana"/>
          <w:sz w:val="20"/>
          <w:szCs w:val="18"/>
        </w:rPr>
        <w:t xml:space="preserve">d) </w:t>
      </w:r>
      <w:r w:rsidR="00C90F4A" w:rsidRPr="00920145">
        <w:rPr>
          <w:rFonts w:ascii="Verdana" w:hAnsi="Verdana"/>
          <w:sz w:val="20"/>
          <w:szCs w:val="18"/>
        </w:rPr>
        <w:t>dodaje się ust. 8, w brzmieniu:</w:t>
      </w:r>
    </w:p>
    <w:p w14:paraId="074D0BBE" w14:textId="4361F320" w:rsidR="00C90F4A" w:rsidRPr="00920145" w:rsidRDefault="00C90F4A" w:rsidP="007727AB">
      <w:pPr>
        <w:spacing w:after="240" w:line="360" w:lineRule="auto"/>
        <w:ind w:left="708"/>
        <w:jc w:val="both"/>
        <w:rPr>
          <w:rFonts w:ascii="Verdana" w:hAnsi="Verdana"/>
          <w:sz w:val="20"/>
          <w:szCs w:val="20"/>
        </w:rPr>
      </w:pPr>
      <w:r w:rsidRPr="00920145">
        <w:rPr>
          <w:rFonts w:ascii="Verdana" w:hAnsi="Verdana"/>
          <w:sz w:val="20"/>
          <w:szCs w:val="20"/>
        </w:rPr>
        <w:t>„8. Komunikat ZOR nie jest wysyłany w trakcie procesu rozkrosowania zleceń oczekujących na ujawnienie w arkuszu zleceń.”;</w:t>
      </w:r>
    </w:p>
    <w:p w14:paraId="34D26A84" w14:textId="03A6456B" w:rsidR="00C90F4A" w:rsidRPr="00920145" w:rsidRDefault="002A34B7" w:rsidP="000D59A2">
      <w:pPr>
        <w:pStyle w:val="Akapitzlist"/>
        <w:numPr>
          <w:ilvl w:val="1"/>
          <w:numId w:val="13"/>
        </w:numPr>
        <w:spacing w:after="120" w:line="360" w:lineRule="auto"/>
        <w:ind w:left="709" w:hanging="425"/>
        <w:contextualSpacing w:val="0"/>
        <w:jc w:val="both"/>
        <w:rPr>
          <w:rFonts w:ascii="Verdana" w:hAnsi="Verdana"/>
          <w:sz w:val="20"/>
          <w:szCs w:val="18"/>
        </w:rPr>
      </w:pPr>
      <w:r w:rsidRPr="00920145">
        <w:rPr>
          <w:rFonts w:ascii="Verdana" w:hAnsi="Verdana"/>
          <w:sz w:val="20"/>
          <w:szCs w:val="18"/>
        </w:rPr>
        <w:t>w § 11:</w:t>
      </w:r>
    </w:p>
    <w:p w14:paraId="1CC1C4CF" w14:textId="5410A2D4" w:rsidR="002A34B7" w:rsidRPr="00920145" w:rsidRDefault="00A23201" w:rsidP="00F0275A">
      <w:pPr>
        <w:pStyle w:val="Akapitzlist"/>
        <w:spacing w:after="120" w:line="360" w:lineRule="auto"/>
        <w:ind w:left="709" w:hanging="283"/>
        <w:contextualSpacing w:val="0"/>
        <w:jc w:val="both"/>
        <w:rPr>
          <w:rFonts w:ascii="Verdana" w:hAnsi="Verdana"/>
          <w:sz w:val="20"/>
          <w:szCs w:val="18"/>
        </w:rPr>
      </w:pPr>
      <w:r w:rsidRPr="00920145">
        <w:rPr>
          <w:rFonts w:ascii="Verdana" w:hAnsi="Verdana"/>
          <w:sz w:val="20"/>
          <w:szCs w:val="18"/>
        </w:rPr>
        <w:t xml:space="preserve">a) </w:t>
      </w:r>
      <w:r w:rsidR="002A34B7" w:rsidRPr="00920145">
        <w:rPr>
          <w:rFonts w:ascii="Verdana" w:hAnsi="Verdana"/>
          <w:sz w:val="20"/>
          <w:szCs w:val="18"/>
        </w:rPr>
        <w:t>ust. 1 i 2 otrzymują brzmienie:</w:t>
      </w:r>
    </w:p>
    <w:p w14:paraId="1F7AC538" w14:textId="50957603" w:rsidR="002A34B7" w:rsidRPr="00920145" w:rsidRDefault="002A34B7" w:rsidP="007727AB">
      <w:pPr>
        <w:pStyle w:val="Akapitzlist"/>
        <w:spacing w:after="120" w:line="360" w:lineRule="auto"/>
        <w:ind w:left="708"/>
        <w:contextualSpacing w:val="0"/>
        <w:jc w:val="both"/>
        <w:rPr>
          <w:rFonts w:ascii="Verdana" w:hAnsi="Verdana" w:cs="Arial"/>
          <w:sz w:val="20"/>
          <w:szCs w:val="20"/>
        </w:rPr>
      </w:pPr>
      <w:r w:rsidRPr="00920145">
        <w:rPr>
          <w:rFonts w:ascii="Verdana" w:hAnsi="Verdana"/>
          <w:sz w:val="20"/>
          <w:szCs w:val="20"/>
        </w:rPr>
        <w:t xml:space="preserve">„1. </w:t>
      </w:r>
      <w:r w:rsidRPr="00920145">
        <w:rPr>
          <w:rFonts w:ascii="Verdana" w:hAnsi="Verdana" w:cs="Arial"/>
          <w:sz w:val="20"/>
          <w:szCs w:val="20"/>
        </w:rPr>
        <w:t xml:space="preserve">W obrocie instrumentami strukturyzowanymi przedział dopuszczalnych wahań kursów , zwany dalej „spreadem animatora”, wyznaczany jest przez limity cen w zleceniu kupna i zleceniu sprzedaży złożonych przez animatora rynku (zwanych dalej odpowiednio „zleceniem kupna animatora” lub „zleceniem sprzedaży animatora”), znajdujących się w danej chwili </w:t>
      </w:r>
      <w:r w:rsidR="00DF62CB" w:rsidRPr="00920145">
        <w:rPr>
          <w:rFonts w:ascii="Verdana" w:hAnsi="Verdana" w:cs="Arial"/>
          <w:sz w:val="20"/>
          <w:szCs w:val="20"/>
        </w:rPr>
        <w:t xml:space="preserve">w </w:t>
      </w:r>
      <w:r w:rsidRPr="00920145">
        <w:rPr>
          <w:rFonts w:ascii="Verdana" w:hAnsi="Verdana" w:cs="Arial"/>
          <w:sz w:val="20"/>
          <w:szCs w:val="20"/>
        </w:rPr>
        <w:t xml:space="preserve">arkuszu zleceń, z zastrzeżeniem ust. 2. </w:t>
      </w:r>
    </w:p>
    <w:p w14:paraId="43ECC717" w14:textId="08D20111" w:rsidR="002A34B7" w:rsidRPr="00920145" w:rsidRDefault="002A34B7" w:rsidP="007727AB">
      <w:pPr>
        <w:pStyle w:val="Akapitzlist"/>
        <w:spacing w:after="120" w:line="360" w:lineRule="auto"/>
        <w:ind w:left="708"/>
        <w:contextualSpacing w:val="0"/>
        <w:jc w:val="both"/>
        <w:rPr>
          <w:rFonts w:ascii="Verdana" w:hAnsi="Verdana"/>
          <w:sz w:val="20"/>
          <w:szCs w:val="20"/>
        </w:rPr>
      </w:pPr>
      <w:r w:rsidRPr="00920145">
        <w:rPr>
          <w:rFonts w:ascii="Verdana" w:hAnsi="Verdana" w:cs="Arial"/>
          <w:sz w:val="20"/>
          <w:szCs w:val="20"/>
        </w:rPr>
        <w:lastRenderedPageBreak/>
        <w:t xml:space="preserve">2. </w:t>
      </w:r>
      <w:r w:rsidRPr="00920145">
        <w:rPr>
          <w:rFonts w:ascii="Verdana" w:hAnsi="Verdana"/>
          <w:sz w:val="20"/>
          <w:szCs w:val="20"/>
        </w:rPr>
        <w:t xml:space="preserve">Dla instrumentu, dla którego obowiązuje stan „Tylko Zlecenie Kupna”, transakcje mogą być zawierane wyłącznie po kursie równym limitowi ceny </w:t>
      </w:r>
      <w:r w:rsidR="00DF62CB" w:rsidRPr="00920145">
        <w:rPr>
          <w:rFonts w:ascii="Verdana" w:hAnsi="Verdana"/>
          <w:sz w:val="20"/>
          <w:szCs w:val="20"/>
        </w:rPr>
        <w:br/>
      </w:r>
      <w:r w:rsidRPr="00920145">
        <w:rPr>
          <w:rFonts w:ascii="Verdana" w:hAnsi="Verdana"/>
          <w:sz w:val="20"/>
          <w:szCs w:val="20"/>
        </w:rPr>
        <w:t>w zleceniu kupna animatora.”;</w:t>
      </w:r>
      <w:r w:rsidRPr="00920145" w:rsidDel="00DE268F">
        <w:rPr>
          <w:rFonts w:ascii="Verdana" w:hAnsi="Verdana"/>
          <w:sz w:val="20"/>
          <w:szCs w:val="20"/>
        </w:rPr>
        <w:t xml:space="preserve"> </w:t>
      </w:r>
    </w:p>
    <w:p w14:paraId="60DB5174" w14:textId="068289A9" w:rsidR="002A34B7" w:rsidRPr="00920145" w:rsidRDefault="00A23201" w:rsidP="00F0275A">
      <w:pPr>
        <w:pStyle w:val="Akapitzlist"/>
        <w:spacing w:after="240" w:line="360" w:lineRule="auto"/>
        <w:ind w:left="709" w:hanging="283"/>
        <w:contextualSpacing w:val="0"/>
        <w:jc w:val="both"/>
        <w:rPr>
          <w:rFonts w:ascii="Verdana" w:hAnsi="Verdana"/>
          <w:sz w:val="20"/>
          <w:szCs w:val="20"/>
        </w:rPr>
      </w:pPr>
      <w:r w:rsidRPr="00920145">
        <w:rPr>
          <w:rFonts w:ascii="Verdana" w:hAnsi="Verdana"/>
          <w:sz w:val="20"/>
          <w:szCs w:val="20"/>
        </w:rPr>
        <w:t xml:space="preserve">b) </w:t>
      </w:r>
      <w:r w:rsidR="002A34B7" w:rsidRPr="00920145">
        <w:rPr>
          <w:rFonts w:ascii="Verdana" w:hAnsi="Verdana"/>
          <w:sz w:val="20"/>
          <w:szCs w:val="20"/>
        </w:rPr>
        <w:t>uchyla się ust. 3;</w:t>
      </w:r>
    </w:p>
    <w:p w14:paraId="2EBFE497" w14:textId="25F3A6B4" w:rsidR="00BB197D" w:rsidRPr="00920145" w:rsidRDefault="00BB197D" w:rsidP="000D59A2">
      <w:pPr>
        <w:pStyle w:val="Akapitzlist"/>
        <w:numPr>
          <w:ilvl w:val="1"/>
          <w:numId w:val="13"/>
        </w:numPr>
        <w:spacing w:after="120" w:line="360" w:lineRule="auto"/>
        <w:ind w:left="709" w:hanging="425"/>
        <w:contextualSpacing w:val="0"/>
        <w:jc w:val="both"/>
        <w:rPr>
          <w:rFonts w:ascii="Verdana" w:hAnsi="Verdana"/>
          <w:sz w:val="20"/>
          <w:szCs w:val="20"/>
        </w:rPr>
      </w:pPr>
      <w:r w:rsidRPr="00920145">
        <w:rPr>
          <w:rFonts w:ascii="Verdana" w:hAnsi="Verdana"/>
          <w:sz w:val="20"/>
          <w:szCs w:val="20"/>
        </w:rPr>
        <w:t xml:space="preserve">w Rozdziale </w:t>
      </w:r>
      <w:r w:rsidR="00E64CCE" w:rsidRPr="00920145">
        <w:rPr>
          <w:rFonts w:ascii="Verdana" w:hAnsi="Verdana"/>
          <w:sz w:val="20"/>
          <w:szCs w:val="20"/>
        </w:rPr>
        <w:t>4</w:t>
      </w:r>
      <w:r w:rsidRPr="00920145">
        <w:rPr>
          <w:rFonts w:ascii="Verdana" w:hAnsi="Verdana"/>
          <w:sz w:val="20"/>
          <w:szCs w:val="20"/>
        </w:rPr>
        <w:t xml:space="preserve"> tytuł Oddziału 2 otrzymuje brzmienie:</w:t>
      </w:r>
    </w:p>
    <w:p w14:paraId="6571F8A9" w14:textId="03C5E008" w:rsidR="002A34B7" w:rsidRPr="00920145" w:rsidRDefault="00BB197D" w:rsidP="00B60A17">
      <w:pPr>
        <w:pStyle w:val="Akapitzlist"/>
        <w:spacing w:after="240" w:line="360" w:lineRule="auto"/>
        <w:ind w:left="709"/>
        <w:contextualSpacing w:val="0"/>
        <w:jc w:val="both"/>
        <w:rPr>
          <w:rFonts w:ascii="Verdana" w:hAnsi="Verdana"/>
          <w:sz w:val="20"/>
          <w:szCs w:val="20"/>
        </w:rPr>
      </w:pPr>
      <w:r w:rsidRPr="00920145">
        <w:rPr>
          <w:rFonts w:ascii="Verdana" w:hAnsi="Verdana"/>
          <w:sz w:val="20"/>
          <w:szCs w:val="20"/>
        </w:rPr>
        <w:t>„Stan Podstawowy”;</w:t>
      </w:r>
    </w:p>
    <w:p w14:paraId="0DB03CAF" w14:textId="25355173" w:rsidR="00BB197D" w:rsidRPr="00920145" w:rsidRDefault="00532554" w:rsidP="000D59A2">
      <w:pPr>
        <w:pStyle w:val="Akapitzlist"/>
        <w:numPr>
          <w:ilvl w:val="1"/>
          <w:numId w:val="13"/>
        </w:numPr>
        <w:spacing w:after="120" w:line="360" w:lineRule="auto"/>
        <w:ind w:left="709" w:hanging="425"/>
        <w:contextualSpacing w:val="0"/>
        <w:jc w:val="both"/>
        <w:rPr>
          <w:rFonts w:ascii="Verdana" w:hAnsi="Verdana"/>
          <w:sz w:val="20"/>
          <w:szCs w:val="20"/>
        </w:rPr>
      </w:pPr>
      <w:r w:rsidRPr="00920145">
        <w:rPr>
          <w:rFonts w:ascii="Verdana" w:hAnsi="Verdana"/>
          <w:sz w:val="20"/>
          <w:szCs w:val="20"/>
        </w:rPr>
        <w:t>§ 12 otrzymuje brzmienie:</w:t>
      </w:r>
    </w:p>
    <w:p w14:paraId="09826ED7" w14:textId="44EED1D0" w:rsidR="00532554" w:rsidRPr="00920145" w:rsidRDefault="00532554" w:rsidP="00A23201">
      <w:pPr>
        <w:pStyle w:val="Akapitzlist"/>
        <w:spacing w:after="120" w:line="360" w:lineRule="auto"/>
        <w:ind w:left="709"/>
        <w:contextualSpacing w:val="0"/>
        <w:jc w:val="both"/>
        <w:rPr>
          <w:rFonts w:ascii="Verdana" w:hAnsi="Verdana"/>
          <w:sz w:val="20"/>
          <w:szCs w:val="20"/>
        </w:rPr>
      </w:pPr>
      <w:r w:rsidRPr="00920145">
        <w:rPr>
          <w:rFonts w:ascii="Verdana" w:hAnsi="Verdana"/>
          <w:sz w:val="20"/>
          <w:szCs w:val="20"/>
        </w:rPr>
        <w:t>„§ 12</w:t>
      </w:r>
    </w:p>
    <w:p w14:paraId="1E8C5728" w14:textId="50850609" w:rsidR="00532554" w:rsidRPr="00920145" w:rsidRDefault="00532554" w:rsidP="00F8716B">
      <w:pPr>
        <w:numPr>
          <w:ilvl w:val="0"/>
          <w:numId w:val="69"/>
        </w:numPr>
        <w:tabs>
          <w:tab w:val="left" w:pos="993"/>
        </w:tabs>
        <w:spacing w:after="120" w:line="360" w:lineRule="auto"/>
        <w:ind w:left="709" w:firstLine="0"/>
        <w:jc w:val="both"/>
        <w:rPr>
          <w:rFonts w:ascii="Verdana" w:hAnsi="Verdana"/>
          <w:sz w:val="20"/>
          <w:szCs w:val="18"/>
        </w:rPr>
      </w:pPr>
      <w:r w:rsidRPr="00920145">
        <w:rPr>
          <w:rFonts w:ascii="Verdana" w:hAnsi="Verdana"/>
          <w:sz w:val="20"/>
          <w:szCs w:val="18"/>
        </w:rPr>
        <w:t xml:space="preserve">Z zastrzeżeniem ust. 3, dla danego instrumentu strukturyzowanego obowiązuje Stan Podstawowy w przypadku, gdy animator rynku obowiązany jest utrzymywać w arkuszu zleceń, zgodnie z postanowieniami niniejszego Działu, jednocześnie zlecenie kupna i zlecenie sprzedaży tego instrumentu strukturyzowanego (brak komunikatu animatora „Tylko Zlecenie Kupna”). </w:t>
      </w:r>
    </w:p>
    <w:p w14:paraId="08F85733" w14:textId="3345E30D" w:rsidR="00532554" w:rsidRPr="00920145" w:rsidRDefault="00532554" w:rsidP="00F8716B">
      <w:pPr>
        <w:numPr>
          <w:ilvl w:val="0"/>
          <w:numId w:val="69"/>
        </w:numPr>
        <w:tabs>
          <w:tab w:val="left" w:pos="993"/>
        </w:tabs>
        <w:spacing w:after="120" w:line="360" w:lineRule="auto"/>
        <w:ind w:left="709" w:firstLine="0"/>
        <w:jc w:val="both"/>
        <w:rPr>
          <w:rFonts w:ascii="Verdana" w:hAnsi="Verdana"/>
          <w:sz w:val="20"/>
          <w:szCs w:val="18"/>
        </w:rPr>
      </w:pPr>
      <w:r w:rsidRPr="00920145">
        <w:rPr>
          <w:rFonts w:ascii="Verdana" w:hAnsi="Verdana"/>
          <w:sz w:val="20"/>
          <w:szCs w:val="18"/>
        </w:rPr>
        <w:t xml:space="preserve">Stan Podstawowy może dotyczyć instrumentów z obu Segmentów.  </w:t>
      </w:r>
    </w:p>
    <w:p w14:paraId="3A3605D0" w14:textId="09A6C11B" w:rsidR="00532554" w:rsidRPr="00920145" w:rsidRDefault="00532554" w:rsidP="00F8716B">
      <w:pPr>
        <w:numPr>
          <w:ilvl w:val="0"/>
          <w:numId w:val="69"/>
        </w:numPr>
        <w:tabs>
          <w:tab w:val="left" w:pos="993"/>
        </w:tabs>
        <w:spacing w:after="240" w:line="360" w:lineRule="auto"/>
        <w:ind w:left="709" w:firstLine="0"/>
        <w:jc w:val="both"/>
        <w:rPr>
          <w:rFonts w:ascii="Verdana" w:hAnsi="Verdana"/>
          <w:sz w:val="20"/>
          <w:szCs w:val="18"/>
        </w:rPr>
      </w:pPr>
      <w:r w:rsidRPr="00920145">
        <w:rPr>
          <w:rFonts w:ascii="Verdana" w:hAnsi="Verdana"/>
          <w:sz w:val="20"/>
          <w:szCs w:val="18"/>
        </w:rPr>
        <w:t xml:space="preserve">W przypadku gdy dla instrumentu, dla którego obowiązuje stan Tylko Zlecenie Kupna, animator złoży do arkusza zlecenie sprzedaży </w:t>
      </w:r>
      <w:r w:rsidR="00DF62CB" w:rsidRPr="00920145">
        <w:rPr>
          <w:rFonts w:ascii="Verdana" w:hAnsi="Verdana"/>
          <w:sz w:val="20"/>
          <w:szCs w:val="18"/>
        </w:rPr>
        <w:t xml:space="preserve">- </w:t>
      </w:r>
      <w:r w:rsidRPr="00920145">
        <w:rPr>
          <w:rFonts w:ascii="Verdana" w:hAnsi="Verdana"/>
          <w:sz w:val="20"/>
          <w:szCs w:val="18"/>
        </w:rPr>
        <w:t xml:space="preserve">instrument ten przechodzi automatycznie do Stanu Podstawowego.”;  </w:t>
      </w:r>
    </w:p>
    <w:p w14:paraId="24DC3D68" w14:textId="7536E005" w:rsidR="00532554" w:rsidRPr="00920145" w:rsidRDefault="00470DEF" w:rsidP="0063029D">
      <w:pPr>
        <w:pStyle w:val="Akapitzlist"/>
        <w:numPr>
          <w:ilvl w:val="1"/>
          <w:numId w:val="13"/>
        </w:numPr>
        <w:spacing w:after="120" w:line="360" w:lineRule="auto"/>
        <w:ind w:left="709" w:hanging="425"/>
        <w:contextualSpacing w:val="0"/>
        <w:jc w:val="both"/>
        <w:rPr>
          <w:rFonts w:ascii="Verdana" w:hAnsi="Verdana"/>
          <w:sz w:val="20"/>
          <w:szCs w:val="18"/>
        </w:rPr>
      </w:pPr>
      <w:r w:rsidRPr="00920145">
        <w:rPr>
          <w:rFonts w:ascii="Verdana" w:hAnsi="Verdana"/>
          <w:sz w:val="20"/>
          <w:szCs w:val="18"/>
        </w:rPr>
        <w:t xml:space="preserve">w Rozdziale </w:t>
      </w:r>
      <w:r w:rsidR="00E64CCE" w:rsidRPr="00920145">
        <w:rPr>
          <w:rFonts w:ascii="Verdana" w:hAnsi="Verdana"/>
          <w:sz w:val="20"/>
          <w:szCs w:val="18"/>
        </w:rPr>
        <w:t>4</w:t>
      </w:r>
      <w:r w:rsidRPr="00920145">
        <w:rPr>
          <w:rFonts w:ascii="Verdana" w:hAnsi="Verdana"/>
          <w:sz w:val="20"/>
          <w:szCs w:val="18"/>
        </w:rPr>
        <w:t xml:space="preserve"> tytuł Oddziału 3 otrzymuje brzmienie:</w:t>
      </w:r>
    </w:p>
    <w:p w14:paraId="1F3F0B75" w14:textId="10DD386B" w:rsidR="00470DEF" w:rsidRPr="00920145" w:rsidRDefault="00470DEF" w:rsidP="00B60A17">
      <w:pPr>
        <w:pStyle w:val="Akapitzlist"/>
        <w:spacing w:after="240" w:line="360" w:lineRule="auto"/>
        <w:ind w:left="709"/>
        <w:contextualSpacing w:val="0"/>
        <w:jc w:val="both"/>
        <w:rPr>
          <w:rFonts w:ascii="Verdana" w:hAnsi="Verdana"/>
          <w:sz w:val="20"/>
          <w:szCs w:val="18"/>
        </w:rPr>
      </w:pPr>
      <w:r w:rsidRPr="00920145">
        <w:rPr>
          <w:rFonts w:ascii="Verdana" w:hAnsi="Verdana"/>
          <w:sz w:val="20"/>
          <w:szCs w:val="18"/>
        </w:rPr>
        <w:t>„Stan Tylko Zlecenie Kupna”;</w:t>
      </w:r>
    </w:p>
    <w:p w14:paraId="517D9B4C" w14:textId="08879F6F" w:rsidR="00470DEF" w:rsidRPr="00920145" w:rsidRDefault="00470DEF" w:rsidP="00831BEC">
      <w:pPr>
        <w:pStyle w:val="Akapitzlist"/>
        <w:numPr>
          <w:ilvl w:val="1"/>
          <w:numId w:val="13"/>
        </w:numPr>
        <w:spacing w:after="120" w:line="360" w:lineRule="auto"/>
        <w:ind w:left="709" w:hanging="425"/>
        <w:contextualSpacing w:val="0"/>
        <w:jc w:val="both"/>
        <w:rPr>
          <w:rFonts w:ascii="Verdana" w:hAnsi="Verdana"/>
          <w:sz w:val="20"/>
          <w:szCs w:val="18"/>
        </w:rPr>
      </w:pPr>
      <w:r w:rsidRPr="00920145">
        <w:rPr>
          <w:rFonts w:ascii="Verdana" w:hAnsi="Verdana"/>
          <w:sz w:val="20"/>
          <w:szCs w:val="18"/>
        </w:rPr>
        <w:t>w § 13</w:t>
      </w:r>
      <w:r w:rsidR="00831BEC" w:rsidRPr="00920145">
        <w:rPr>
          <w:rFonts w:ascii="Verdana" w:hAnsi="Verdana"/>
          <w:sz w:val="20"/>
          <w:szCs w:val="18"/>
        </w:rPr>
        <w:t xml:space="preserve"> </w:t>
      </w:r>
      <w:r w:rsidRPr="00920145">
        <w:rPr>
          <w:rFonts w:ascii="Verdana" w:hAnsi="Verdana"/>
          <w:sz w:val="20"/>
          <w:szCs w:val="18"/>
        </w:rPr>
        <w:t>otrzymuj</w:t>
      </w:r>
      <w:r w:rsidR="00831BEC" w:rsidRPr="00920145">
        <w:rPr>
          <w:rFonts w:ascii="Verdana" w:hAnsi="Verdana"/>
          <w:sz w:val="20"/>
          <w:szCs w:val="18"/>
        </w:rPr>
        <w:t>e</w:t>
      </w:r>
      <w:r w:rsidRPr="00920145">
        <w:rPr>
          <w:rFonts w:ascii="Verdana" w:hAnsi="Verdana"/>
          <w:sz w:val="20"/>
          <w:szCs w:val="18"/>
        </w:rPr>
        <w:t xml:space="preserve"> brzmienie:</w:t>
      </w:r>
    </w:p>
    <w:p w14:paraId="404A0E97" w14:textId="741E8740" w:rsidR="00831BEC" w:rsidRPr="00920145" w:rsidRDefault="00470DEF" w:rsidP="0063029D">
      <w:pPr>
        <w:pStyle w:val="Akapitzlist"/>
        <w:spacing w:after="120" w:line="360" w:lineRule="auto"/>
        <w:ind w:left="567"/>
        <w:contextualSpacing w:val="0"/>
        <w:jc w:val="both"/>
        <w:rPr>
          <w:rFonts w:ascii="Verdana" w:hAnsi="Verdana"/>
          <w:sz w:val="20"/>
          <w:szCs w:val="18"/>
        </w:rPr>
      </w:pPr>
      <w:r w:rsidRPr="00920145">
        <w:rPr>
          <w:rFonts w:ascii="Verdana" w:hAnsi="Verdana"/>
          <w:sz w:val="20"/>
          <w:szCs w:val="18"/>
        </w:rPr>
        <w:t>„</w:t>
      </w:r>
      <w:r w:rsidR="00831BEC" w:rsidRPr="00920145">
        <w:rPr>
          <w:rFonts w:ascii="Verdana" w:hAnsi="Verdana"/>
          <w:sz w:val="20"/>
          <w:szCs w:val="18"/>
        </w:rPr>
        <w:t>§ 13</w:t>
      </w:r>
    </w:p>
    <w:p w14:paraId="75C06D7A" w14:textId="41143BE1" w:rsidR="00470DEF" w:rsidRPr="00920145" w:rsidRDefault="00470DEF" w:rsidP="0063029D">
      <w:pPr>
        <w:pStyle w:val="Akapitzlist"/>
        <w:spacing w:after="120" w:line="360" w:lineRule="auto"/>
        <w:ind w:left="567"/>
        <w:contextualSpacing w:val="0"/>
        <w:jc w:val="both"/>
        <w:rPr>
          <w:rFonts w:ascii="Verdana" w:hAnsi="Verdana"/>
          <w:sz w:val="20"/>
          <w:szCs w:val="20"/>
        </w:rPr>
      </w:pPr>
      <w:r w:rsidRPr="00920145">
        <w:rPr>
          <w:rFonts w:ascii="Verdana" w:hAnsi="Verdana"/>
          <w:sz w:val="20"/>
          <w:szCs w:val="20"/>
        </w:rPr>
        <w:t xml:space="preserve">1. Dla danego instrumentu strukturyzowanego obowiązuje stan Tylko Zlecenie Kupna w przypadku, gdy animator deklaruje (komunikat animatora „Tylko Zlecenie Kupna”) utrzymywanie w arkuszu zleceń, zgodnie z przepisami niniejszego Działu, wyłącznie zlecenia kupna danego instrumentu strukturyzowanego. </w:t>
      </w:r>
    </w:p>
    <w:p w14:paraId="7234E4D1" w14:textId="45DA99B5" w:rsidR="00470DEF" w:rsidRPr="00920145" w:rsidRDefault="00470DEF" w:rsidP="0063029D">
      <w:pPr>
        <w:pStyle w:val="Akapitzlist"/>
        <w:spacing w:after="120" w:line="360" w:lineRule="auto"/>
        <w:ind w:left="567"/>
        <w:contextualSpacing w:val="0"/>
        <w:jc w:val="both"/>
        <w:rPr>
          <w:rFonts w:ascii="Verdana" w:hAnsi="Verdana"/>
          <w:sz w:val="20"/>
          <w:szCs w:val="20"/>
        </w:rPr>
      </w:pPr>
      <w:r w:rsidRPr="00920145">
        <w:rPr>
          <w:rFonts w:ascii="Verdana" w:hAnsi="Verdana"/>
          <w:sz w:val="20"/>
          <w:szCs w:val="20"/>
        </w:rPr>
        <w:t xml:space="preserve">2. Stan Tylko Zlecenie Kupna może dotyczyć instrumentów z obu Segmentów.  </w:t>
      </w:r>
    </w:p>
    <w:p w14:paraId="723B1DBC" w14:textId="6E479F86" w:rsidR="00470DEF" w:rsidRPr="00920145" w:rsidRDefault="00470DEF" w:rsidP="0063029D">
      <w:pPr>
        <w:pStyle w:val="Akapitzlist"/>
        <w:spacing w:after="120" w:line="360" w:lineRule="auto"/>
        <w:ind w:left="567"/>
        <w:contextualSpacing w:val="0"/>
        <w:jc w:val="both"/>
        <w:rPr>
          <w:rFonts w:ascii="Verdana" w:hAnsi="Verdana"/>
          <w:sz w:val="20"/>
          <w:szCs w:val="20"/>
        </w:rPr>
      </w:pPr>
      <w:r w:rsidRPr="00920145">
        <w:rPr>
          <w:rFonts w:ascii="Verdana" w:hAnsi="Verdana"/>
          <w:sz w:val="20"/>
          <w:szCs w:val="20"/>
        </w:rPr>
        <w:t>3. W stanie Tylko Zlecenie Kupna możliwe jest składanie przez członków giełdy niebędących animatorami tylko zleceń sprzedaży.</w:t>
      </w:r>
    </w:p>
    <w:p w14:paraId="60F0A038" w14:textId="4CBFD1AA" w:rsidR="00470DEF" w:rsidRPr="00920145" w:rsidRDefault="00E64CCE" w:rsidP="0063029D">
      <w:pPr>
        <w:pStyle w:val="Akapitzlist"/>
        <w:spacing w:after="120" w:line="360" w:lineRule="auto"/>
        <w:ind w:left="567"/>
        <w:contextualSpacing w:val="0"/>
        <w:jc w:val="both"/>
        <w:rPr>
          <w:rFonts w:ascii="Verdana" w:hAnsi="Verdana"/>
          <w:sz w:val="20"/>
          <w:szCs w:val="20"/>
        </w:rPr>
      </w:pPr>
      <w:r w:rsidRPr="00920145">
        <w:rPr>
          <w:rFonts w:ascii="Verdana" w:hAnsi="Verdana"/>
          <w:sz w:val="20"/>
          <w:szCs w:val="20"/>
        </w:rPr>
        <w:t xml:space="preserve">4. </w:t>
      </w:r>
      <w:r w:rsidR="00470DEF" w:rsidRPr="00920145">
        <w:rPr>
          <w:rFonts w:ascii="Verdana" w:hAnsi="Verdana"/>
          <w:sz w:val="20"/>
          <w:szCs w:val="20"/>
        </w:rPr>
        <w:t xml:space="preserve">W przypadku przejścia ze Stanu Podstawowego do stanu Tylko Zlecenie Kupna wszystkie zlecenia kupna niebędące zleceniami animatora tracą </w:t>
      </w:r>
      <w:r w:rsidR="00470DEF" w:rsidRPr="00920145">
        <w:rPr>
          <w:rFonts w:ascii="Verdana" w:hAnsi="Verdana"/>
          <w:sz w:val="20"/>
          <w:szCs w:val="20"/>
        </w:rPr>
        <w:lastRenderedPageBreak/>
        <w:t>ważność, a nowe zlecenia kupna niebędące zleceniami animatora nie są przyjmowane.</w:t>
      </w:r>
    </w:p>
    <w:p w14:paraId="0A3F65FB" w14:textId="75A09264" w:rsidR="00470DEF" w:rsidRPr="00920145" w:rsidRDefault="00E64CCE" w:rsidP="00831BEC">
      <w:pPr>
        <w:pStyle w:val="Akapitzlist"/>
        <w:spacing w:after="240" w:line="360" w:lineRule="auto"/>
        <w:ind w:left="567"/>
        <w:contextualSpacing w:val="0"/>
        <w:jc w:val="both"/>
        <w:rPr>
          <w:rFonts w:ascii="Verdana" w:hAnsi="Verdana"/>
          <w:sz w:val="20"/>
          <w:szCs w:val="20"/>
        </w:rPr>
      </w:pPr>
      <w:r w:rsidRPr="00920145">
        <w:rPr>
          <w:rFonts w:ascii="Verdana" w:hAnsi="Verdana"/>
          <w:sz w:val="20"/>
          <w:szCs w:val="20"/>
        </w:rPr>
        <w:t xml:space="preserve">5. </w:t>
      </w:r>
      <w:r w:rsidR="00470DEF" w:rsidRPr="00920145">
        <w:rPr>
          <w:rFonts w:ascii="Verdana" w:hAnsi="Verdana"/>
          <w:sz w:val="20"/>
          <w:szCs w:val="20"/>
        </w:rPr>
        <w:t>W przypadku gdy dla instrumentu, dla którego obowiązuje stan Tylko Zlecenie Kupna, animator złoży do arkusza zlecenie sprzedaży - instrument ten przechodzi automatycznie do Stanu Podstawowego.</w:t>
      </w:r>
      <w:r w:rsidRPr="00920145">
        <w:rPr>
          <w:rFonts w:ascii="Verdana" w:hAnsi="Verdana"/>
          <w:sz w:val="20"/>
          <w:szCs w:val="20"/>
        </w:rPr>
        <w:t>”;</w:t>
      </w:r>
    </w:p>
    <w:p w14:paraId="6731BD31" w14:textId="4D76C092" w:rsidR="00793AB4" w:rsidRPr="00920145" w:rsidRDefault="00E64CCE" w:rsidP="00F8716B">
      <w:pPr>
        <w:pStyle w:val="Akapitzlist"/>
        <w:numPr>
          <w:ilvl w:val="1"/>
          <w:numId w:val="13"/>
        </w:numPr>
        <w:spacing w:after="240" w:line="360" w:lineRule="auto"/>
        <w:ind w:left="709" w:hanging="425"/>
        <w:contextualSpacing w:val="0"/>
        <w:jc w:val="both"/>
        <w:rPr>
          <w:rFonts w:ascii="Verdana" w:hAnsi="Verdana"/>
          <w:sz w:val="20"/>
          <w:szCs w:val="20"/>
        </w:rPr>
      </w:pPr>
      <w:r w:rsidRPr="00920145">
        <w:rPr>
          <w:rFonts w:ascii="Verdana" w:hAnsi="Verdana"/>
          <w:sz w:val="20"/>
          <w:szCs w:val="20"/>
        </w:rPr>
        <w:t>w Rozdziale 4 uchyla się Oddział 4</w:t>
      </w:r>
      <w:r w:rsidR="00B60A17" w:rsidRPr="00920145">
        <w:rPr>
          <w:rFonts w:ascii="Verdana" w:hAnsi="Verdana"/>
          <w:sz w:val="20"/>
          <w:szCs w:val="20"/>
        </w:rPr>
        <w:t xml:space="preserve"> (§ 14)</w:t>
      </w:r>
      <w:r w:rsidRPr="00920145">
        <w:rPr>
          <w:rFonts w:ascii="Verdana" w:hAnsi="Verdana"/>
          <w:sz w:val="20"/>
          <w:szCs w:val="20"/>
        </w:rPr>
        <w:t>;</w:t>
      </w:r>
    </w:p>
    <w:p w14:paraId="6074E2C7" w14:textId="2431F31B" w:rsidR="00E64CCE" w:rsidRPr="00920145" w:rsidRDefault="00E64CCE" w:rsidP="0063029D">
      <w:pPr>
        <w:pStyle w:val="Akapitzlist"/>
        <w:numPr>
          <w:ilvl w:val="1"/>
          <w:numId w:val="13"/>
        </w:numPr>
        <w:spacing w:after="120" w:line="360" w:lineRule="auto"/>
        <w:ind w:left="709" w:hanging="425"/>
        <w:contextualSpacing w:val="0"/>
        <w:jc w:val="both"/>
        <w:rPr>
          <w:rFonts w:ascii="Verdana" w:hAnsi="Verdana"/>
          <w:sz w:val="20"/>
          <w:szCs w:val="20"/>
        </w:rPr>
      </w:pPr>
      <w:bookmarkStart w:id="20" w:name="_Hlk198921184"/>
      <w:r w:rsidRPr="00920145">
        <w:rPr>
          <w:rFonts w:ascii="Verdana" w:hAnsi="Verdana"/>
          <w:sz w:val="20"/>
          <w:szCs w:val="20"/>
        </w:rPr>
        <w:t>w § 15</w:t>
      </w:r>
      <w:bookmarkEnd w:id="20"/>
      <w:r w:rsidRPr="00920145">
        <w:rPr>
          <w:rFonts w:ascii="Verdana" w:hAnsi="Verdana"/>
          <w:sz w:val="20"/>
          <w:szCs w:val="20"/>
        </w:rPr>
        <w:t>:</w:t>
      </w:r>
    </w:p>
    <w:p w14:paraId="19C0B87C" w14:textId="77777777" w:rsidR="0063029D" w:rsidRPr="00920145" w:rsidRDefault="00951067" w:rsidP="00136519">
      <w:pPr>
        <w:pStyle w:val="Akapitzlist"/>
        <w:spacing w:after="120" w:line="360" w:lineRule="auto"/>
        <w:ind w:left="284" w:firstLine="283"/>
        <w:contextualSpacing w:val="0"/>
        <w:jc w:val="both"/>
        <w:rPr>
          <w:rFonts w:ascii="Verdana" w:hAnsi="Verdana"/>
          <w:sz w:val="20"/>
          <w:szCs w:val="20"/>
        </w:rPr>
      </w:pPr>
      <w:r w:rsidRPr="00920145">
        <w:rPr>
          <w:rFonts w:ascii="Verdana" w:hAnsi="Verdana"/>
          <w:sz w:val="20"/>
          <w:szCs w:val="20"/>
        </w:rPr>
        <w:t xml:space="preserve">a) </w:t>
      </w:r>
      <w:r w:rsidR="009A265B" w:rsidRPr="00920145">
        <w:rPr>
          <w:rFonts w:ascii="Verdana" w:hAnsi="Verdana"/>
          <w:sz w:val="20"/>
          <w:szCs w:val="20"/>
        </w:rPr>
        <w:t>w ust. 1</w:t>
      </w:r>
      <w:r w:rsidR="0063029D" w:rsidRPr="00920145">
        <w:rPr>
          <w:rFonts w:ascii="Verdana" w:hAnsi="Verdana"/>
          <w:sz w:val="20"/>
          <w:szCs w:val="20"/>
        </w:rPr>
        <w:t>:</w:t>
      </w:r>
    </w:p>
    <w:p w14:paraId="2B481DAA" w14:textId="38165596" w:rsidR="00E64CCE" w:rsidRPr="00920145" w:rsidRDefault="0063029D" w:rsidP="00136519">
      <w:pPr>
        <w:pStyle w:val="Akapitzlist"/>
        <w:spacing w:after="120" w:line="360" w:lineRule="auto"/>
        <w:ind w:left="284" w:firstLine="424"/>
        <w:contextualSpacing w:val="0"/>
        <w:jc w:val="both"/>
        <w:rPr>
          <w:rFonts w:ascii="Verdana" w:hAnsi="Verdana"/>
          <w:sz w:val="20"/>
          <w:szCs w:val="20"/>
        </w:rPr>
      </w:pPr>
      <w:r w:rsidRPr="00920145">
        <w:rPr>
          <w:rFonts w:ascii="Verdana" w:hAnsi="Verdana"/>
          <w:sz w:val="20"/>
          <w:szCs w:val="20"/>
        </w:rPr>
        <w:t xml:space="preserve">- </w:t>
      </w:r>
      <w:r w:rsidR="009A265B" w:rsidRPr="00920145">
        <w:rPr>
          <w:rFonts w:ascii="Verdana" w:hAnsi="Verdana"/>
          <w:sz w:val="20"/>
          <w:szCs w:val="20"/>
        </w:rPr>
        <w:t>pkt 4) otrzymuje brzmienie:</w:t>
      </w:r>
    </w:p>
    <w:p w14:paraId="19A05E9A" w14:textId="46D47030" w:rsidR="008B3FBA" w:rsidRPr="00920145" w:rsidRDefault="009A265B" w:rsidP="00136519">
      <w:pPr>
        <w:pStyle w:val="Akapitzlist"/>
        <w:spacing w:after="120" w:line="360" w:lineRule="auto"/>
        <w:ind w:left="709" w:firstLine="707"/>
        <w:contextualSpacing w:val="0"/>
        <w:jc w:val="both"/>
        <w:rPr>
          <w:rFonts w:ascii="Verdana" w:hAnsi="Verdana"/>
          <w:sz w:val="20"/>
          <w:szCs w:val="20"/>
        </w:rPr>
      </w:pPr>
      <w:r w:rsidRPr="00920145">
        <w:rPr>
          <w:rFonts w:ascii="Verdana" w:hAnsi="Verdana"/>
          <w:sz w:val="20"/>
          <w:szCs w:val="20"/>
        </w:rPr>
        <w:t>„4) limit ceny,”;</w:t>
      </w:r>
    </w:p>
    <w:p w14:paraId="275421B9" w14:textId="6C570554" w:rsidR="009A265B" w:rsidRPr="00920145" w:rsidRDefault="0063029D" w:rsidP="006F0280">
      <w:pPr>
        <w:pStyle w:val="Akapitzlist"/>
        <w:spacing w:after="120" w:line="360" w:lineRule="auto"/>
        <w:ind w:left="284" w:firstLine="424"/>
        <w:contextualSpacing w:val="0"/>
        <w:jc w:val="both"/>
        <w:rPr>
          <w:rFonts w:ascii="Verdana" w:hAnsi="Verdana"/>
          <w:sz w:val="20"/>
          <w:szCs w:val="20"/>
        </w:rPr>
      </w:pPr>
      <w:r w:rsidRPr="00920145">
        <w:rPr>
          <w:rFonts w:ascii="Verdana" w:hAnsi="Verdana"/>
          <w:sz w:val="20"/>
          <w:szCs w:val="20"/>
        </w:rPr>
        <w:t xml:space="preserve">- </w:t>
      </w:r>
      <w:r w:rsidR="008B3FBA" w:rsidRPr="00920145">
        <w:rPr>
          <w:rFonts w:ascii="Verdana" w:hAnsi="Verdana"/>
          <w:sz w:val="20"/>
          <w:szCs w:val="20"/>
        </w:rPr>
        <w:t>pkt 9</w:t>
      </w:r>
      <w:r w:rsidR="00EF60F6" w:rsidRPr="00920145">
        <w:rPr>
          <w:rFonts w:ascii="Verdana" w:hAnsi="Verdana"/>
          <w:sz w:val="20"/>
          <w:szCs w:val="20"/>
        </w:rPr>
        <w:t>) otrzymuje</w:t>
      </w:r>
      <w:r w:rsidR="008B3FBA" w:rsidRPr="00920145">
        <w:rPr>
          <w:rFonts w:ascii="Verdana" w:hAnsi="Verdana"/>
          <w:sz w:val="20"/>
          <w:szCs w:val="20"/>
        </w:rPr>
        <w:t xml:space="preserve"> brzmieni</w:t>
      </w:r>
      <w:r w:rsidR="00EF60F6" w:rsidRPr="00920145">
        <w:rPr>
          <w:rFonts w:ascii="Verdana" w:hAnsi="Verdana"/>
          <w:sz w:val="20"/>
          <w:szCs w:val="20"/>
        </w:rPr>
        <w:t>e</w:t>
      </w:r>
      <w:r w:rsidR="009A265B" w:rsidRPr="00920145">
        <w:rPr>
          <w:rFonts w:ascii="Verdana" w:hAnsi="Verdana"/>
          <w:sz w:val="20"/>
          <w:szCs w:val="20"/>
        </w:rPr>
        <w:t>:</w:t>
      </w:r>
    </w:p>
    <w:p w14:paraId="6F903AF8" w14:textId="61746ACA" w:rsidR="009A265B" w:rsidRPr="00920145" w:rsidRDefault="009A265B" w:rsidP="00136519">
      <w:pPr>
        <w:pStyle w:val="Akapitzlist"/>
        <w:spacing w:after="120" w:line="360" w:lineRule="auto"/>
        <w:ind w:left="1416"/>
        <w:contextualSpacing w:val="0"/>
        <w:jc w:val="both"/>
        <w:rPr>
          <w:rFonts w:ascii="Verdana" w:hAnsi="Verdana" w:cs="Arial"/>
          <w:bCs/>
          <w:sz w:val="20"/>
          <w:szCs w:val="18"/>
        </w:rPr>
      </w:pPr>
      <w:r w:rsidRPr="00920145">
        <w:rPr>
          <w:rFonts w:ascii="Verdana" w:hAnsi="Verdana"/>
          <w:sz w:val="20"/>
          <w:szCs w:val="20"/>
        </w:rPr>
        <w:t xml:space="preserve">„9) </w:t>
      </w:r>
      <w:r w:rsidRPr="00920145">
        <w:rPr>
          <w:rFonts w:ascii="Verdana" w:hAnsi="Verdana" w:cs="Arial"/>
          <w:bCs/>
          <w:sz w:val="20"/>
          <w:szCs w:val="18"/>
        </w:rPr>
        <w:t xml:space="preserve">informację </w:t>
      </w:r>
      <w:r w:rsidRPr="00920145">
        <w:rPr>
          <w:rStyle w:val="ui-provider"/>
          <w:rFonts w:ascii="Verdana" w:hAnsi="Verdana"/>
          <w:sz w:val="20"/>
          <w:szCs w:val="20"/>
        </w:rPr>
        <w:t>czy dane zlecenie związane jest z działalnością z zakresu zapewniania płynności</w:t>
      </w:r>
      <w:r w:rsidRPr="00920145">
        <w:rPr>
          <w:rFonts w:ascii="Verdana" w:hAnsi="Verdana" w:cs="Arial"/>
          <w:bCs/>
          <w:sz w:val="20"/>
          <w:szCs w:val="18"/>
        </w:rPr>
        <w:t>,”;</w:t>
      </w:r>
    </w:p>
    <w:p w14:paraId="57AFCFB3" w14:textId="41205361" w:rsidR="00265838" w:rsidRPr="00920145" w:rsidRDefault="00136519" w:rsidP="00136519">
      <w:pPr>
        <w:spacing w:after="120" w:line="360" w:lineRule="auto"/>
        <w:ind w:firstLine="708"/>
        <w:jc w:val="both"/>
        <w:rPr>
          <w:rFonts w:ascii="Verdana" w:hAnsi="Verdana" w:cs="Arial"/>
          <w:bCs/>
          <w:sz w:val="20"/>
          <w:szCs w:val="18"/>
        </w:rPr>
      </w:pPr>
      <w:r w:rsidRPr="00920145">
        <w:rPr>
          <w:rFonts w:ascii="Verdana" w:hAnsi="Verdana" w:cs="Arial"/>
          <w:bCs/>
          <w:sz w:val="20"/>
          <w:szCs w:val="18"/>
        </w:rPr>
        <w:t>b)</w:t>
      </w:r>
      <w:r w:rsidR="0063029D" w:rsidRPr="00920145">
        <w:rPr>
          <w:rFonts w:ascii="Verdana" w:hAnsi="Verdana" w:cs="Arial"/>
          <w:bCs/>
          <w:sz w:val="20"/>
          <w:szCs w:val="18"/>
        </w:rPr>
        <w:t xml:space="preserve"> </w:t>
      </w:r>
      <w:r w:rsidR="00265838" w:rsidRPr="00920145">
        <w:rPr>
          <w:rFonts w:ascii="Verdana" w:hAnsi="Verdana" w:cs="Arial"/>
          <w:bCs/>
          <w:sz w:val="20"/>
          <w:szCs w:val="18"/>
        </w:rPr>
        <w:t>ust. 2 otrzymuje brzmienie:</w:t>
      </w:r>
    </w:p>
    <w:p w14:paraId="1A0B118D" w14:textId="1296EB7E" w:rsidR="00265838" w:rsidRPr="00920145" w:rsidRDefault="00265838" w:rsidP="006F0280">
      <w:pPr>
        <w:pStyle w:val="Akapitzlist"/>
        <w:spacing w:after="240" w:line="360" w:lineRule="auto"/>
        <w:ind w:left="708"/>
        <w:contextualSpacing w:val="0"/>
        <w:jc w:val="both"/>
        <w:rPr>
          <w:rFonts w:ascii="Verdana" w:hAnsi="Verdana" w:cs="Arial"/>
          <w:bCs/>
          <w:sz w:val="20"/>
          <w:szCs w:val="20"/>
        </w:rPr>
      </w:pPr>
      <w:r w:rsidRPr="00920145">
        <w:rPr>
          <w:rFonts w:ascii="Verdana" w:hAnsi="Verdana" w:cs="Arial"/>
          <w:bCs/>
          <w:sz w:val="20"/>
          <w:szCs w:val="20"/>
        </w:rPr>
        <w:t xml:space="preserve">„2. Oznaczenia wskaźnika typu działania, o którym mowa w ust. 1 </w:t>
      </w:r>
      <w:r w:rsidR="00951067" w:rsidRPr="00920145">
        <w:rPr>
          <w:rFonts w:ascii="Verdana" w:hAnsi="Verdana" w:cs="Arial"/>
          <w:bCs/>
          <w:sz w:val="20"/>
          <w:szCs w:val="20"/>
        </w:rPr>
        <w:br/>
      </w:r>
      <w:r w:rsidRPr="00920145">
        <w:rPr>
          <w:rFonts w:ascii="Verdana" w:hAnsi="Verdana" w:cs="Arial"/>
          <w:bCs/>
          <w:sz w:val="20"/>
          <w:szCs w:val="20"/>
        </w:rPr>
        <w:t>pkt 5), stosuje się zgodnie ze specyfikacją systemu transakcyjnego.”;</w:t>
      </w:r>
    </w:p>
    <w:p w14:paraId="743915E1" w14:textId="1689C2CB" w:rsidR="00265838" w:rsidRPr="00920145" w:rsidRDefault="00CF0805" w:rsidP="00CF0805">
      <w:pPr>
        <w:pStyle w:val="Akapitzlist"/>
        <w:numPr>
          <w:ilvl w:val="0"/>
          <w:numId w:val="109"/>
        </w:numPr>
        <w:spacing w:after="240" w:line="360" w:lineRule="auto"/>
        <w:ind w:hanging="218"/>
        <w:jc w:val="both"/>
        <w:rPr>
          <w:rFonts w:ascii="Verdana" w:hAnsi="Verdana" w:cs="Arial"/>
          <w:bCs/>
          <w:sz w:val="20"/>
          <w:szCs w:val="20"/>
        </w:rPr>
      </w:pPr>
      <w:r w:rsidRPr="00920145">
        <w:rPr>
          <w:rFonts w:ascii="Verdana" w:hAnsi="Verdana" w:cs="Arial"/>
          <w:bCs/>
          <w:sz w:val="20"/>
          <w:szCs w:val="20"/>
        </w:rPr>
        <w:t xml:space="preserve"> </w:t>
      </w:r>
      <w:r w:rsidR="00265838" w:rsidRPr="00920145">
        <w:rPr>
          <w:rFonts w:ascii="Verdana" w:hAnsi="Verdana" w:cs="Arial"/>
          <w:bCs/>
          <w:sz w:val="20"/>
          <w:szCs w:val="20"/>
        </w:rPr>
        <w:t>uchyla się ust. 3;</w:t>
      </w:r>
    </w:p>
    <w:p w14:paraId="4FDB66BF" w14:textId="1B4C6FAE" w:rsidR="007727AB" w:rsidRPr="00920145" w:rsidRDefault="007727AB" w:rsidP="007727AB">
      <w:pPr>
        <w:pStyle w:val="Akapitzlist"/>
        <w:spacing w:after="240" w:line="360" w:lineRule="auto"/>
        <w:ind w:left="644"/>
        <w:jc w:val="both"/>
        <w:rPr>
          <w:rFonts w:ascii="Verdana" w:hAnsi="Verdana" w:cs="Arial"/>
          <w:bCs/>
          <w:sz w:val="20"/>
          <w:szCs w:val="20"/>
        </w:rPr>
      </w:pPr>
    </w:p>
    <w:p w14:paraId="6FA04CBE" w14:textId="331F3A14" w:rsidR="00265838" w:rsidRPr="00920145" w:rsidRDefault="00265838" w:rsidP="009762AD">
      <w:pPr>
        <w:pStyle w:val="Akapitzlist"/>
        <w:numPr>
          <w:ilvl w:val="1"/>
          <w:numId w:val="109"/>
        </w:numPr>
        <w:spacing w:after="120" w:line="360" w:lineRule="auto"/>
        <w:ind w:left="709" w:hanging="425"/>
        <w:contextualSpacing w:val="0"/>
        <w:jc w:val="both"/>
        <w:rPr>
          <w:rFonts w:ascii="Verdana" w:hAnsi="Verdana"/>
          <w:sz w:val="20"/>
          <w:szCs w:val="20"/>
        </w:rPr>
      </w:pPr>
      <w:r w:rsidRPr="00920145">
        <w:rPr>
          <w:rFonts w:ascii="Verdana" w:hAnsi="Verdana" w:cs="Arial"/>
          <w:bCs/>
          <w:sz w:val="20"/>
          <w:szCs w:val="20"/>
        </w:rPr>
        <w:t>w § 15a:</w:t>
      </w:r>
    </w:p>
    <w:p w14:paraId="248E65F8" w14:textId="3C73614A" w:rsidR="00265838" w:rsidRPr="00920145" w:rsidRDefault="00951067" w:rsidP="008E0752">
      <w:pPr>
        <w:pStyle w:val="Akapitzlist"/>
        <w:spacing w:after="240" w:line="360" w:lineRule="auto"/>
        <w:ind w:left="708"/>
        <w:contextualSpacing w:val="0"/>
        <w:jc w:val="both"/>
        <w:rPr>
          <w:rFonts w:ascii="Verdana" w:hAnsi="Verdana" w:cs="Arial"/>
          <w:bCs/>
          <w:sz w:val="20"/>
          <w:szCs w:val="20"/>
        </w:rPr>
      </w:pPr>
      <w:r w:rsidRPr="00920145">
        <w:rPr>
          <w:rFonts w:ascii="Verdana" w:hAnsi="Verdana" w:cs="Arial"/>
          <w:bCs/>
          <w:sz w:val="20"/>
          <w:szCs w:val="20"/>
        </w:rPr>
        <w:t xml:space="preserve">a) </w:t>
      </w:r>
      <w:r w:rsidR="00265838" w:rsidRPr="00920145">
        <w:rPr>
          <w:rFonts w:ascii="Verdana" w:hAnsi="Verdana" w:cs="Arial"/>
          <w:bCs/>
          <w:sz w:val="20"/>
          <w:szCs w:val="20"/>
        </w:rPr>
        <w:t>w ust. 1 w pkt 1) wyrazy „1.000.000 jednostek” zastępuje się wyrazami „30.000.000 jednostek”</w:t>
      </w:r>
    </w:p>
    <w:p w14:paraId="36C7049D" w14:textId="1ACF10BF" w:rsidR="00265838" w:rsidRPr="00920145" w:rsidRDefault="00951067" w:rsidP="008E0752">
      <w:pPr>
        <w:pStyle w:val="Akapitzlist"/>
        <w:spacing w:after="240" w:line="360" w:lineRule="auto"/>
        <w:ind w:left="708"/>
        <w:contextualSpacing w:val="0"/>
        <w:jc w:val="both"/>
        <w:rPr>
          <w:rFonts w:ascii="Verdana" w:hAnsi="Verdana" w:cs="Arial"/>
          <w:bCs/>
          <w:sz w:val="20"/>
          <w:szCs w:val="20"/>
        </w:rPr>
      </w:pPr>
      <w:r w:rsidRPr="00920145">
        <w:rPr>
          <w:rFonts w:ascii="Verdana" w:hAnsi="Verdana" w:cs="Arial"/>
          <w:bCs/>
          <w:sz w:val="20"/>
          <w:szCs w:val="20"/>
        </w:rPr>
        <w:t xml:space="preserve">b) </w:t>
      </w:r>
      <w:r w:rsidR="00265838" w:rsidRPr="00920145">
        <w:rPr>
          <w:rFonts w:ascii="Verdana" w:hAnsi="Verdana" w:cs="Arial"/>
          <w:bCs/>
          <w:sz w:val="20"/>
          <w:szCs w:val="20"/>
        </w:rPr>
        <w:t>w ust. 1 w pkt 2) wyrazy „100.000 instrumentów” zastępuje się wyrazami „1.000.000 instrumentów”;</w:t>
      </w:r>
    </w:p>
    <w:p w14:paraId="719BF4FA" w14:textId="4D7A0D9F" w:rsidR="00265838" w:rsidRPr="00920145" w:rsidRDefault="00951067" w:rsidP="00136519">
      <w:pPr>
        <w:pStyle w:val="Akapitzlist"/>
        <w:spacing w:after="120" w:line="360" w:lineRule="auto"/>
        <w:ind w:left="284" w:firstLine="424"/>
        <w:contextualSpacing w:val="0"/>
        <w:jc w:val="both"/>
        <w:rPr>
          <w:rFonts w:ascii="Verdana" w:hAnsi="Verdana" w:cs="Arial"/>
          <w:bCs/>
          <w:sz w:val="20"/>
          <w:szCs w:val="20"/>
        </w:rPr>
      </w:pPr>
      <w:r w:rsidRPr="00920145">
        <w:rPr>
          <w:rFonts w:ascii="Verdana" w:hAnsi="Verdana" w:cs="Arial"/>
          <w:bCs/>
          <w:sz w:val="20"/>
          <w:szCs w:val="20"/>
        </w:rPr>
        <w:t>c)</w:t>
      </w:r>
      <w:r w:rsidR="00265838" w:rsidRPr="00920145">
        <w:rPr>
          <w:rFonts w:ascii="Verdana" w:hAnsi="Verdana" w:cs="Arial"/>
          <w:bCs/>
          <w:sz w:val="20"/>
          <w:szCs w:val="20"/>
        </w:rPr>
        <w:t xml:space="preserve"> ust. 2 otrzymuje brzmienie:</w:t>
      </w:r>
    </w:p>
    <w:p w14:paraId="0480F9D4" w14:textId="261DE64F" w:rsidR="00265838" w:rsidRPr="00920145" w:rsidRDefault="00265838" w:rsidP="00136519">
      <w:pPr>
        <w:pStyle w:val="Akapitzlist"/>
        <w:spacing w:after="120" w:line="360" w:lineRule="auto"/>
        <w:ind w:left="708"/>
        <w:contextualSpacing w:val="0"/>
        <w:jc w:val="both"/>
        <w:rPr>
          <w:rFonts w:ascii="Verdana" w:hAnsi="Verdana" w:cs="Arial"/>
          <w:bCs/>
          <w:sz w:val="20"/>
          <w:szCs w:val="20"/>
        </w:rPr>
      </w:pPr>
      <w:r w:rsidRPr="00920145">
        <w:rPr>
          <w:rFonts w:ascii="Verdana" w:hAnsi="Verdana" w:cs="Arial"/>
          <w:bCs/>
          <w:sz w:val="20"/>
          <w:szCs w:val="20"/>
        </w:rPr>
        <w:t xml:space="preserve">„2. </w:t>
      </w:r>
      <w:r w:rsidRPr="00920145">
        <w:rPr>
          <w:rFonts w:ascii="Verdana" w:hAnsi="Verdana"/>
          <w:sz w:val="20"/>
          <w:szCs w:val="20"/>
        </w:rPr>
        <w:t xml:space="preserve">Jeżeli wartość danego zlecenia maklerskiego przekracza określoną dla instrumentu strukturyzowanego maksymalną wielkość, o której  mowa w </w:t>
      </w:r>
      <w:r w:rsidR="00B7738D" w:rsidRPr="00920145">
        <w:rPr>
          <w:rFonts w:ascii="Verdana" w:hAnsi="Verdana"/>
          <w:sz w:val="20"/>
          <w:szCs w:val="20"/>
        </w:rPr>
        <w:br/>
      </w:r>
      <w:r w:rsidRPr="00920145">
        <w:rPr>
          <w:rFonts w:ascii="Verdana" w:hAnsi="Verdana"/>
          <w:sz w:val="20"/>
          <w:szCs w:val="20"/>
        </w:rPr>
        <w:t>ust. 1 pkt 1 lub 2, zlecenie jest odrzucane</w:t>
      </w:r>
      <w:r w:rsidRPr="00920145">
        <w:rPr>
          <w:rFonts w:ascii="Verdana" w:hAnsi="Verdana" w:cs="Arial"/>
          <w:bCs/>
          <w:sz w:val="20"/>
          <w:szCs w:val="20"/>
        </w:rPr>
        <w:t>.”;</w:t>
      </w:r>
    </w:p>
    <w:p w14:paraId="6DD54F1F" w14:textId="29B2E715" w:rsidR="00265838" w:rsidRPr="00920145" w:rsidRDefault="00951067" w:rsidP="00136519">
      <w:pPr>
        <w:pStyle w:val="Akapitzlist"/>
        <w:spacing w:after="120" w:line="360" w:lineRule="auto"/>
        <w:ind w:left="284" w:firstLine="424"/>
        <w:contextualSpacing w:val="0"/>
        <w:jc w:val="both"/>
        <w:rPr>
          <w:rFonts w:ascii="Verdana" w:hAnsi="Verdana" w:cs="Arial"/>
          <w:bCs/>
          <w:sz w:val="20"/>
          <w:szCs w:val="20"/>
        </w:rPr>
      </w:pPr>
      <w:r w:rsidRPr="00920145">
        <w:rPr>
          <w:rFonts w:ascii="Verdana" w:hAnsi="Verdana" w:cs="Arial"/>
          <w:bCs/>
          <w:sz w:val="20"/>
          <w:szCs w:val="20"/>
        </w:rPr>
        <w:t xml:space="preserve">d) </w:t>
      </w:r>
      <w:r w:rsidR="00265838" w:rsidRPr="00920145">
        <w:rPr>
          <w:rFonts w:ascii="Verdana" w:hAnsi="Verdana" w:cs="Arial"/>
          <w:bCs/>
          <w:sz w:val="20"/>
          <w:szCs w:val="20"/>
        </w:rPr>
        <w:t>uchyla się ust. 3;</w:t>
      </w:r>
    </w:p>
    <w:p w14:paraId="71D023A7" w14:textId="2072671C" w:rsidR="00265838" w:rsidRPr="00920145" w:rsidRDefault="00951067" w:rsidP="00136519">
      <w:pPr>
        <w:pStyle w:val="Akapitzlist"/>
        <w:spacing w:after="240" w:line="360" w:lineRule="auto"/>
        <w:ind w:left="284" w:firstLine="424"/>
        <w:contextualSpacing w:val="0"/>
        <w:jc w:val="both"/>
        <w:rPr>
          <w:rFonts w:ascii="Verdana" w:hAnsi="Verdana" w:cs="Arial"/>
          <w:bCs/>
          <w:sz w:val="20"/>
          <w:szCs w:val="20"/>
        </w:rPr>
      </w:pPr>
      <w:r w:rsidRPr="00920145">
        <w:rPr>
          <w:rFonts w:ascii="Verdana" w:hAnsi="Verdana" w:cs="Arial"/>
          <w:bCs/>
          <w:sz w:val="20"/>
          <w:szCs w:val="20"/>
        </w:rPr>
        <w:t xml:space="preserve">e) </w:t>
      </w:r>
      <w:r w:rsidR="00265838" w:rsidRPr="00920145">
        <w:rPr>
          <w:rFonts w:ascii="Verdana" w:hAnsi="Verdana" w:cs="Arial"/>
          <w:bCs/>
          <w:sz w:val="20"/>
          <w:szCs w:val="20"/>
        </w:rPr>
        <w:t>w ust. 5 uchyla się pkt 2);</w:t>
      </w:r>
    </w:p>
    <w:p w14:paraId="276FDF55" w14:textId="47CD1358" w:rsidR="00275051" w:rsidRPr="00920145" w:rsidRDefault="00265838" w:rsidP="007727AB">
      <w:pPr>
        <w:pStyle w:val="Akapitzlist"/>
        <w:numPr>
          <w:ilvl w:val="3"/>
          <w:numId w:val="17"/>
        </w:numPr>
        <w:spacing w:after="240" w:line="360" w:lineRule="auto"/>
        <w:ind w:left="738" w:hanging="454"/>
        <w:contextualSpacing w:val="0"/>
        <w:jc w:val="both"/>
        <w:rPr>
          <w:rFonts w:ascii="Verdana" w:hAnsi="Verdana" w:cs="Arial"/>
          <w:bCs/>
          <w:sz w:val="20"/>
          <w:szCs w:val="20"/>
        </w:rPr>
      </w:pPr>
      <w:r w:rsidRPr="00920145">
        <w:rPr>
          <w:rFonts w:ascii="Verdana" w:hAnsi="Verdana" w:cs="Arial"/>
          <w:bCs/>
          <w:sz w:val="20"/>
          <w:szCs w:val="20"/>
        </w:rPr>
        <w:t>uchyla się § 18;</w:t>
      </w:r>
    </w:p>
    <w:p w14:paraId="5B19AE6F" w14:textId="04400797" w:rsidR="00265838" w:rsidRPr="00920145" w:rsidRDefault="00265838" w:rsidP="00BA63DC">
      <w:pPr>
        <w:pStyle w:val="Akapitzlist"/>
        <w:numPr>
          <w:ilvl w:val="3"/>
          <w:numId w:val="17"/>
        </w:numPr>
        <w:tabs>
          <w:tab w:val="num" w:pos="709"/>
        </w:tabs>
        <w:spacing w:after="120" w:line="360" w:lineRule="auto"/>
        <w:ind w:left="709" w:hanging="425"/>
        <w:contextualSpacing w:val="0"/>
        <w:jc w:val="both"/>
        <w:rPr>
          <w:rFonts w:ascii="Verdana" w:hAnsi="Verdana" w:cs="Arial"/>
          <w:bCs/>
          <w:sz w:val="20"/>
          <w:szCs w:val="20"/>
        </w:rPr>
      </w:pPr>
      <w:r w:rsidRPr="00920145">
        <w:rPr>
          <w:rFonts w:ascii="Verdana" w:hAnsi="Verdana" w:cs="Arial"/>
          <w:bCs/>
          <w:sz w:val="20"/>
          <w:szCs w:val="20"/>
        </w:rPr>
        <w:lastRenderedPageBreak/>
        <w:t>§ 19 otrzymuje brzmienie:</w:t>
      </w:r>
    </w:p>
    <w:p w14:paraId="74A343FE" w14:textId="13663891" w:rsidR="00265838" w:rsidRPr="00920145" w:rsidRDefault="00265838" w:rsidP="00951067">
      <w:pPr>
        <w:pStyle w:val="Akapitzlist"/>
        <w:spacing w:after="120" w:line="360" w:lineRule="auto"/>
        <w:ind w:left="709"/>
        <w:contextualSpacing w:val="0"/>
        <w:jc w:val="both"/>
        <w:rPr>
          <w:rFonts w:ascii="Verdana" w:hAnsi="Verdana" w:cs="Arial"/>
          <w:bCs/>
          <w:sz w:val="20"/>
          <w:szCs w:val="20"/>
        </w:rPr>
      </w:pPr>
      <w:r w:rsidRPr="00920145">
        <w:rPr>
          <w:rFonts w:ascii="Verdana" w:hAnsi="Verdana" w:cs="Arial"/>
          <w:bCs/>
          <w:sz w:val="20"/>
          <w:szCs w:val="20"/>
        </w:rPr>
        <w:t>„§ 19</w:t>
      </w:r>
    </w:p>
    <w:p w14:paraId="4A6EF9F4" w14:textId="77777777" w:rsidR="00265838" w:rsidRPr="00920145" w:rsidRDefault="00265838" w:rsidP="00A23201">
      <w:pPr>
        <w:spacing w:after="120" w:line="360" w:lineRule="auto"/>
        <w:ind w:left="360" w:firstLine="348"/>
        <w:jc w:val="both"/>
        <w:rPr>
          <w:rFonts w:ascii="Verdana" w:hAnsi="Verdana"/>
          <w:b/>
          <w:sz w:val="20"/>
          <w:szCs w:val="20"/>
        </w:rPr>
      </w:pPr>
      <w:r w:rsidRPr="00920145">
        <w:rPr>
          <w:rFonts w:ascii="Verdana" w:hAnsi="Verdana"/>
          <w:b/>
          <w:sz w:val="20"/>
          <w:szCs w:val="20"/>
        </w:rPr>
        <w:t xml:space="preserve">Zlecenia STOP z limitem aktywacji (zlecenia STOP Limit) </w:t>
      </w:r>
    </w:p>
    <w:p w14:paraId="4A7869C6" w14:textId="35AFFC30" w:rsidR="00265838" w:rsidRPr="00920145" w:rsidRDefault="00265838" w:rsidP="00F8716B">
      <w:pPr>
        <w:numPr>
          <w:ilvl w:val="0"/>
          <w:numId w:val="70"/>
        </w:numPr>
        <w:tabs>
          <w:tab w:val="left" w:pos="993"/>
        </w:tabs>
        <w:spacing w:after="120" w:line="360" w:lineRule="auto"/>
        <w:ind w:left="709" w:firstLine="0"/>
        <w:jc w:val="both"/>
        <w:rPr>
          <w:rFonts w:ascii="Verdana" w:hAnsi="Verdana" w:cs="Arial"/>
          <w:sz w:val="20"/>
          <w:szCs w:val="20"/>
        </w:rPr>
      </w:pPr>
      <w:r w:rsidRPr="00920145">
        <w:rPr>
          <w:rFonts w:ascii="Verdana" w:hAnsi="Verdana" w:cs="Arial"/>
          <w:sz w:val="20"/>
          <w:szCs w:val="20"/>
        </w:rPr>
        <w:t xml:space="preserve">Zlecenie STOP Limit zawiera limit aktywacji zlecenia oraz limit ceny, </w:t>
      </w:r>
      <w:r w:rsidR="00366ACF" w:rsidRPr="00920145">
        <w:rPr>
          <w:rFonts w:ascii="Verdana" w:hAnsi="Verdana" w:cs="Arial"/>
          <w:sz w:val="20"/>
          <w:szCs w:val="20"/>
        </w:rPr>
        <w:br/>
      </w:r>
      <w:r w:rsidRPr="00920145">
        <w:rPr>
          <w:rFonts w:ascii="Verdana" w:hAnsi="Verdana" w:cs="Arial"/>
          <w:sz w:val="20"/>
          <w:szCs w:val="20"/>
        </w:rPr>
        <w:t>po której zlecenie to może podlegać realizacji (zlecenie STOP Limit).</w:t>
      </w:r>
    </w:p>
    <w:p w14:paraId="087E9FAF" w14:textId="04F2B30D" w:rsidR="00265838" w:rsidRPr="00920145" w:rsidRDefault="00265838" w:rsidP="00A23201">
      <w:pPr>
        <w:tabs>
          <w:tab w:val="left" w:pos="993"/>
        </w:tabs>
        <w:spacing w:after="120" w:line="360" w:lineRule="auto"/>
        <w:ind w:left="709"/>
        <w:jc w:val="both"/>
        <w:rPr>
          <w:rFonts w:ascii="Verdana" w:hAnsi="Verdana" w:cs="Arial"/>
          <w:sz w:val="20"/>
          <w:szCs w:val="20"/>
        </w:rPr>
      </w:pPr>
      <w:r w:rsidRPr="00920145">
        <w:rPr>
          <w:rFonts w:ascii="Verdana" w:hAnsi="Verdana" w:cs="Arial"/>
          <w:sz w:val="20"/>
          <w:szCs w:val="20"/>
        </w:rPr>
        <w:t>1a. Minimalna wartość zlecenia STOP Limit jest równa jednej jednostce transakcyjnej wyrażonej w walucie notowania.</w:t>
      </w:r>
    </w:p>
    <w:p w14:paraId="7CC0AC60" w14:textId="37BAE67B" w:rsidR="00265838" w:rsidRPr="00920145" w:rsidRDefault="00265838" w:rsidP="00F8716B">
      <w:pPr>
        <w:numPr>
          <w:ilvl w:val="0"/>
          <w:numId w:val="70"/>
        </w:numPr>
        <w:tabs>
          <w:tab w:val="left" w:pos="993"/>
        </w:tabs>
        <w:spacing w:after="120" w:line="360" w:lineRule="auto"/>
        <w:ind w:left="709" w:firstLine="0"/>
        <w:jc w:val="both"/>
        <w:rPr>
          <w:rFonts w:ascii="Verdana" w:hAnsi="Verdana" w:cs="Arial"/>
          <w:sz w:val="20"/>
          <w:szCs w:val="20"/>
        </w:rPr>
      </w:pPr>
      <w:r w:rsidRPr="00920145">
        <w:rPr>
          <w:rFonts w:ascii="Verdana" w:hAnsi="Verdana" w:cs="Arial"/>
          <w:sz w:val="20"/>
          <w:szCs w:val="20"/>
        </w:rPr>
        <w:t xml:space="preserve">Zlecenia  STOP Limit mogą być składane na giełdę we wszystkich fazach notowań. </w:t>
      </w:r>
    </w:p>
    <w:p w14:paraId="72C48D63" w14:textId="5F4239D6" w:rsidR="00265838" w:rsidRPr="00920145" w:rsidRDefault="00265838" w:rsidP="00F8716B">
      <w:pPr>
        <w:numPr>
          <w:ilvl w:val="0"/>
          <w:numId w:val="70"/>
        </w:numPr>
        <w:tabs>
          <w:tab w:val="left" w:pos="993"/>
        </w:tabs>
        <w:spacing w:after="240" w:line="360" w:lineRule="auto"/>
        <w:ind w:left="709" w:firstLine="0"/>
        <w:jc w:val="both"/>
        <w:rPr>
          <w:rFonts w:ascii="Verdana" w:hAnsi="Verdana" w:cs="Arial"/>
          <w:sz w:val="20"/>
          <w:szCs w:val="20"/>
        </w:rPr>
      </w:pPr>
      <w:r w:rsidRPr="00920145">
        <w:rPr>
          <w:rFonts w:ascii="Verdana" w:hAnsi="Verdana" w:cs="Arial"/>
          <w:sz w:val="20"/>
          <w:szCs w:val="20"/>
        </w:rPr>
        <w:t>W chwili złożenia zlecenia STOP Limit w arkuszu zleceń musi oczekiwać przeciwstawne zlecenie animatora rynku,  w przeciwnym razie zlecenie STOP jest odrzucane.”;</w:t>
      </w:r>
    </w:p>
    <w:p w14:paraId="06A1DABC" w14:textId="5A25B04A" w:rsidR="00265838" w:rsidRPr="00920145" w:rsidRDefault="00265838" w:rsidP="008E0752">
      <w:pPr>
        <w:pStyle w:val="Akapitzlist"/>
        <w:numPr>
          <w:ilvl w:val="3"/>
          <w:numId w:val="17"/>
        </w:numPr>
        <w:tabs>
          <w:tab w:val="num" w:pos="709"/>
        </w:tabs>
        <w:spacing w:after="120" w:line="360" w:lineRule="auto"/>
        <w:ind w:left="709" w:hanging="425"/>
        <w:contextualSpacing w:val="0"/>
        <w:jc w:val="both"/>
        <w:rPr>
          <w:rFonts w:ascii="Verdana" w:hAnsi="Verdana" w:cs="Arial"/>
          <w:sz w:val="20"/>
          <w:szCs w:val="20"/>
        </w:rPr>
      </w:pPr>
      <w:r w:rsidRPr="00920145">
        <w:rPr>
          <w:rFonts w:ascii="Verdana" w:hAnsi="Verdana" w:cs="Arial"/>
          <w:sz w:val="20"/>
          <w:szCs w:val="20"/>
        </w:rPr>
        <w:t>§ 20 otrzymuje brzmienie:</w:t>
      </w:r>
    </w:p>
    <w:p w14:paraId="092C079F" w14:textId="24E33E30" w:rsidR="00265838" w:rsidRPr="00920145" w:rsidRDefault="00265838" w:rsidP="00A23201">
      <w:pPr>
        <w:pStyle w:val="Akapitzlist"/>
        <w:spacing w:after="120" w:line="360" w:lineRule="auto"/>
        <w:ind w:left="709"/>
        <w:contextualSpacing w:val="0"/>
        <w:jc w:val="both"/>
        <w:rPr>
          <w:rFonts w:ascii="Verdana" w:hAnsi="Verdana" w:cs="Arial"/>
          <w:sz w:val="20"/>
          <w:szCs w:val="20"/>
        </w:rPr>
      </w:pPr>
      <w:r w:rsidRPr="00920145">
        <w:rPr>
          <w:rFonts w:ascii="Verdana" w:hAnsi="Verdana" w:cs="Arial"/>
          <w:sz w:val="20"/>
          <w:szCs w:val="20"/>
        </w:rPr>
        <w:t>„§ 20</w:t>
      </w:r>
    </w:p>
    <w:p w14:paraId="195E8413" w14:textId="52F77F6B" w:rsidR="00265838" w:rsidRPr="00920145" w:rsidRDefault="00265838" w:rsidP="00A23201">
      <w:pPr>
        <w:spacing w:after="240" w:line="360" w:lineRule="auto"/>
        <w:ind w:firstLine="708"/>
        <w:rPr>
          <w:rFonts w:ascii="Verdana" w:hAnsi="Verdana"/>
          <w:b/>
          <w:sz w:val="20"/>
          <w:szCs w:val="18"/>
        </w:rPr>
      </w:pPr>
      <w:r w:rsidRPr="00920145">
        <w:rPr>
          <w:rFonts w:ascii="Verdana" w:hAnsi="Verdana"/>
          <w:b/>
          <w:sz w:val="20"/>
          <w:szCs w:val="18"/>
        </w:rPr>
        <w:t>Składanie zleceń STOP Limit</w:t>
      </w:r>
    </w:p>
    <w:p w14:paraId="4120EA14" w14:textId="77777777" w:rsidR="00D03F7B" w:rsidRPr="00920145" w:rsidRDefault="00265838" w:rsidP="00F8716B">
      <w:pPr>
        <w:numPr>
          <w:ilvl w:val="0"/>
          <w:numId w:val="71"/>
        </w:numPr>
        <w:tabs>
          <w:tab w:val="left" w:pos="993"/>
        </w:tabs>
        <w:spacing w:after="120" w:line="360" w:lineRule="auto"/>
        <w:ind w:left="709" w:firstLine="0"/>
        <w:jc w:val="both"/>
        <w:rPr>
          <w:rFonts w:ascii="Verdana" w:hAnsi="Verdana"/>
          <w:sz w:val="20"/>
          <w:szCs w:val="18"/>
        </w:rPr>
      </w:pPr>
      <w:bookmarkStart w:id="21" w:name="_Hlk199754510"/>
      <w:r w:rsidRPr="00920145">
        <w:rPr>
          <w:rFonts w:ascii="Verdana" w:hAnsi="Verdana"/>
          <w:sz w:val="20"/>
          <w:szCs w:val="18"/>
        </w:rPr>
        <w:t>Jeżeli w chwili złożenia zlecenia kupna STOP Limit dla danego instrumentu strukturyzowanego obowiązuje Stan Podstawowy - limit aktywacji w tym zleceniu musi być wyższy od limitu ceny w zleceniu sprzedaży animatora, chyba że w arkuszu zleceń nie ma zlecenia sprzedaży animatora.</w:t>
      </w:r>
    </w:p>
    <w:bookmarkEnd w:id="21"/>
    <w:p w14:paraId="11E7FB62" w14:textId="277D6CB6" w:rsidR="00265838" w:rsidRPr="00920145" w:rsidRDefault="00265838" w:rsidP="00F8716B">
      <w:pPr>
        <w:numPr>
          <w:ilvl w:val="0"/>
          <w:numId w:val="71"/>
        </w:numPr>
        <w:tabs>
          <w:tab w:val="left" w:pos="993"/>
        </w:tabs>
        <w:spacing w:after="120" w:line="360" w:lineRule="auto"/>
        <w:ind w:left="709" w:firstLine="0"/>
        <w:jc w:val="both"/>
        <w:rPr>
          <w:rFonts w:ascii="Verdana" w:hAnsi="Verdana"/>
          <w:sz w:val="20"/>
          <w:szCs w:val="18"/>
        </w:rPr>
      </w:pPr>
      <w:r w:rsidRPr="00920145">
        <w:rPr>
          <w:rFonts w:ascii="Verdana" w:hAnsi="Verdana"/>
          <w:sz w:val="20"/>
          <w:szCs w:val="18"/>
        </w:rPr>
        <w:t xml:space="preserve"> W przypadku określenia w zleceniu kupna STOP Limit limitu ceny wykonania (limitu realizacji) limit ten w chwili złożenia zlecenia musi być równy lub wyższy od limitu aktywacji tego zlecenia. </w:t>
      </w:r>
    </w:p>
    <w:p w14:paraId="0BA3880A" w14:textId="628F4C34" w:rsidR="00265838" w:rsidRPr="00920145" w:rsidRDefault="00265838" w:rsidP="00F8716B">
      <w:pPr>
        <w:numPr>
          <w:ilvl w:val="0"/>
          <w:numId w:val="71"/>
        </w:numPr>
        <w:tabs>
          <w:tab w:val="left" w:pos="993"/>
        </w:tabs>
        <w:spacing w:after="120" w:line="360" w:lineRule="auto"/>
        <w:ind w:left="709" w:firstLine="0"/>
        <w:jc w:val="both"/>
        <w:rPr>
          <w:rFonts w:ascii="Verdana" w:hAnsi="Verdana"/>
          <w:sz w:val="20"/>
          <w:szCs w:val="18"/>
        </w:rPr>
      </w:pPr>
      <w:r w:rsidRPr="00920145">
        <w:rPr>
          <w:rFonts w:ascii="Verdana" w:hAnsi="Verdana"/>
          <w:sz w:val="20"/>
          <w:szCs w:val="18"/>
        </w:rPr>
        <w:t xml:space="preserve">Zlecenia kupna STOP </w:t>
      </w:r>
      <w:r w:rsidR="00EE74DB" w:rsidRPr="00920145">
        <w:rPr>
          <w:rFonts w:ascii="Verdana" w:hAnsi="Verdana"/>
          <w:sz w:val="20"/>
          <w:szCs w:val="18"/>
        </w:rPr>
        <w:t xml:space="preserve">Limit </w:t>
      </w:r>
      <w:r w:rsidRPr="00920145">
        <w:rPr>
          <w:rFonts w:ascii="Verdana" w:hAnsi="Verdana"/>
          <w:sz w:val="20"/>
          <w:szCs w:val="18"/>
        </w:rPr>
        <w:t xml:space="preserve">niespełniające w chwili ich złożenia warunków określonych w ust. 1 lub 2 podlegają odrzuceniu.  </w:t>
      </w:r>
    </w:p>
    <w:p w14:paraId="1BA6AC45" w14:textId="6B6CC8EF" w:rsidR="00265838" w:rsidRPr="00920145" w:rsidRDefault="00265838" w:rsidP="00F8716B">
      <w:pPr>
        <w:numPr>
          <w:ilvl w:val="0"/>
          <w:numId w:val="71"/>
        </w:numPr>
        <w:tabs>
          <w:tab w:val="left" w:pos="993"/>
        </w:tabs>
        <w:spacing w:after="120" w:line="360" w:lineRule="auto"/>
        <w:ind w:left="709" w:firstLine="0"/>
        <w:jc w:val="both"/>
        <w:rPr>
          <w:rFonts w:ascii="Verdana" w:hAnsi="Verdana"/>
          <w:sz w:val="20"/>
          <w:szCs w:val="18"/>
        </w:rPr>
      </w:pPr>
      <w:r w:rsidRPr="00920145">
        <w:rPr>
          <w:rFonts w:ascii="Verdana" w:hAnsi="Verdana"/>
          <w:sz w:val="20"/>
          <w:szCs w:val="18"/>
        </w:rPr>
        <w:t xml:space="preserve">Jeżeli w chwili złożenia zlecenia sprzedaży STOP Limit dla danego instrumentu strukturyzowanego obowiązuje Stan Podstawowy - </w:t>
      </w:r>
      <w:bookmarkStart w:id="22" w:name="_Hlk199756353"/>
      <w:r w:rsidRPr="00920145">
        <w:rPr>
          <w:rFonts w:ascii="Verdana" w:hAnsi="Verdana"/>
          <w:sz w:val="20"/>
          <w:szCs w:val="18"/>
        </w:rPr>
        <w:t>limit aktywacji w tym zleceniu musi być niższy od limitu ceny w zleceniu kupna animatora, chyba że w arkuszu zleceń nie ma zlecenia kupna animatora</w:t>
      </w:r>
      <w:bookmarkEnd w:id="22"/>
      <w:r w:rsidRPr="00920145">
        <w:rPr>
          <w:rFonts w:ascii="Verdana" w:hAnsi="Verdana"/>
          <w:sz w:val="20"/>
          <w:szCs w:val="18"/>
        </w:rPr>
        <w:t xml:space="preserve">. </w:t>
      </w:r>
    </w:p>
    <w:p w14:paraId="642B953A" w14:textId="73082119" w:rsidR="00265838" w:rsidRPr="00920145" w:rsidRDefault="00265838" w:rsidP="00F8716B">
      <w:pPr>
        <w:numPr>
          <w:ilvl w:val="0"/>
          <w:numId w:val="71"/>
        </w:numPr>
        <w:tabs>
          <w:tab w:val="left" w:pos="993"/>
        </w:tabs>
        <w:spacing w:after="120" w:line="360" w:lineRule="auto"/>
        <w:ind w:left="709" w:firstLine="0"/>
        <w:jc w:val="both"/>
        <w:rPr>
          <w:rFonts w:ascii="Verdana" w:hAnsi="Verdana"/>
          <w:sz w:val="20"/>
          <w:szCs w:val="18"/>
        </w:rPr>
      </w:pPr>
      <w:r w:rsidRPr="00920145">
        <w:rPr>
          <w:rFonts w:ascii="Verdana" w:hAnsi="Verdana"/>
          <w:sz w:val="20"/>
          <w:szCs w:val="18"/>
        </w:rPr>
        <w:t xml:space="preserve">W przypadku określenia w zleceniu sprzedaży STOP Limit limitu ceny wykonania (limitu realizacji) limit ten w momencie złożenia zlecenia musi być równy lub niższy od limitu aktywacji tego zlecenia. </w:t>
      </w:r>
    </w:p>
    <w:p w14:paraId="7708BAD1" w14:textId="6E830C7D" w:rsidR="00265838" w:rsidRPr="00920145" w:rsidRDefault="00265838" w:rsidP="00F8716B">
      <w:pPr>
        <w:numPr>
          <w:ilvl w:val="0"/>
          <w:numId w:val="71"/>
        </w:numPr>
        <w:tabs>
          <w:tab w:val="left" w:pos="993"/>
        </w:tabs>
        <w:spacing w:after="120" w:line="360" w:lineRule="auto"/>
        <w:ind w:left="709" w:firstLine="0"/>
        <w:jc w:val="both"/>
        <w:rPr>
          <w:rFonts w:ascii="Verdana" w:hAnsi="Verdana"/>
          <w:sz w:val="20"/>
          <w:szCs w:val="18"/>
        </w:rPr>
      </w:pPr>
      <w:r w:rsidRPr="00920145">
        <w:rPr>
          <w:rFonts w:ascii="Verdana" w:hAnsi="Verdana"/>
          <w:sz w:val="20"/>
          <w:szCs w:val="18"/>
        </w:rPr>
        <w:t xml:space="preserve">Zlecenia sprzedaży STOP Limit niespełniające w chwili ich złożenia warunków określonych w ust. 4 lub 5 podlegają odrzuceniu. </w:t>
      </w:r>
    </w:p>
    <w:p w14:paraId="24F3E195" w14:textId="793AB706" w:rsidR="00793AB4" w:rsidRPr="00920145" w:rsidRDefault="00265838" w:rsidP="00F8716B">
      <w:pPr>
        <w:numPr>
          <w:ilvl w:val="0"/>
          <w:numId w:val="71"/>
        </w:numPr>
        <w:tabs>
          <w:tab w:val="left" w:pos="993"/>
        </w:tabs>
        <w:spacing w:after="240" w:line="360" w:lineRule="auto"/>
        <w:ind w:left="709" w:firstLine="0"/>
        <w:jc w:val="both"/>
        <w:rPr>
          <w:rFonts w:ascii="Verdana" w:hAnsi="Verdana"/>
          <w:sz w:val="20"/>
          <w:szCs w:val="18"/>
        </w:rPr>
      </w:pPr>
      <w:r w:rsidRPr="00920145">
        <w:rPr>
          <w:rFonts w:ascii="Verdana" w:hAnsi="Verdana"/>
          <w:sz w:val="20"/>
          <w:szCs w:val="18"/>
        </w:rPr>
        <w:lastRenderedPageBreak/>
        <w:t>Modyfikacja złożonych a nieujawnionych zleceń STOP Limit jest możliwa wyłącznie pod warunkiem podania nowego limitu aktywacji spełniającego zasady określone powyżej.</w:t>
      </w:r>
      <w:r w:rsidR="00D03F7B" w:rsidRPr="00920145">
        <w:rPr>
          <w:rFonts w:ascii="Verdana" w:hAnsi="Verdana"/>
          <w:sz w:val="20"/>
          <w:szCs w:val="18"/>
        </w:rPr>
        <w:t>”;</w:t>
      </w:r>
    </w:p>
    <w:p w14:paraId="7BE0052F" w14:textId="7996FB7E" w:rsidR="00265838" w:rsidRPr="00920145" w:rsidRDefault="00EE6304" w:rsidP="00136519">
      <w:pPr>
        <w:pStyle w:val="Akapitzlist"/>
        <w:numPr>
          <w:ilvl w:val="3"/>
          <w:numId w:val="17"/>
        </w:numPr>
        <w:tabs>
          <w:tab w:val="left" w:pos="851"/>
        </w:tabs>
        <w:spacing w:after="120" w:line="360" w:lineRule="auto"/>
        <w:ind w:left="738" w:hanging="284"/>
        <w:contextualSpacing w:val="0"/>
        <w:jc w:val="both"/>
        <w:rPr>
          <w:rFonts w:ascii="Verdana" w:hAnsi="Verdana"/>
          <w:bCs/>
          <w:sz w:val="20"/>
          <w:szCs w:val="18"/>
        </w:rPr>
      </w:pPr>
      <w:r w:rsidRPr="00920145">
        <w:rPr>
          <w:rFonts w:ascii="Verdana" w:hAnsi="Verdana"/>
          <w:bCs/>
          <w:sz w:val="20"/>
          <w:szCs w:val="18"/>
        </w:rPr>
        <w:t>§ 21 otrzymuje brzmienie:</w:t>
      </w:r>
    </w:p>
    <w:p w14:paraId="1DADCC6B" w14:textId="2E9C9454" w:rsidR="00EE6304" w:rsidRPr="00920145" w:rsidRDefault="00EE6304" w:rsidP="00A23201">
      <w:pPr>
        <w:pStyle w:val="Akapitzlist"/>
        <w:spacing w:after="120" w:line="360" w:lineRule="auto"/>
        <w:ind w:left="709"/>
        <w:contextualSpacing w:val="0"/>
        <w:jc w:val="both"/>
        <w:rPr>
          <w:rFonts w:ascii="Verdana" w:hAnsi="Verdana"/>
          <w:bCs/>
          <w:sz w:val="20"/>
          <w:szCs w:val="18"/>
        </w:rPr>
      </w:pPr>
      <w:r w:rsidRPr="00920145">
        <w:rPr>
          <w:rFonts w:ascii="Verdana" w:hAnsi="Verdana"/>
          <w:bCs/>
          <w:sz w:val="20"/>
          <w:szCs w:val="18"/>
        </w:rPr>
        <w:t>„§ 21</w:t>
      </w:r>
    </w:p>
    <w:p w14:paraId="54A06D9E" w14:textId="77777777" w:rsidR="00EE6304" w:rsidRPr="00920145" w:rsidRDefault="00EE6304" w:rsidP="00A23201">
      <w:pPr>
        <w:spacing w:line="360" w:lineRule="auto"/>
        <w:ind w:firstLine="708"/>
        <w:rPr>
          <w:rFonts w:ascii="Verdana" w:hAnsi="Verdana"/>
          <w:b/>
          <w:sz w:val="20"/>
          <w:szCs w:val="18"/>
        </w:rPr>
      </w:pPr>
      <w:r w:rsidRPr="00920145">
        <w:rPr>
          <w:rFonts w:ascii="Verdana" w:hAnsi="Verdana"/>
          <w:b/>
          <w:sz w:val="20"/>
          <w:szCs w:val="18"/>
        </w:rPr>
        <w:t xml:space="preserve">Aktywowanie zleceń STOP </w:t>
      </w:r>
      <w:r w:rsidRPr="00920145">
        <w:rPr>
          <w:rFonts w:ascii="Verdana" w:hAnsi="Verdana"/>
          <w:b/>
          <w:bCs/>
          <w:sz w:val="20"/>
          <w:szCs w:val="18"/>
        </w:rPr>
        <w:t>Limit</w:t>
      </w:r>
    </w:p>
    <w:p w14:paraId="299A3598" w14:textId="13B40A51" w:rsidR="00EE6304" w:rsidRPr="00920145" w:rsidRDefault="00EE6304" w:rsidP="00F8716B">
      <w:pPr>
        <w:numPr>
          <w:ilvl w:val="0"/>
          <w:numId w:val="72"/>
        </w:numPr>
        <w:tabs>
          <w:tab w:val="left" w:pos="993"/>
        </w:tabs>
        <w:spacing w:after="120" w:line="360" w:lineRule="auto"/>
        <w:ind w:left="709" w:firstLine="0"/>
        <w:jc w:val="both"/>
        <w:rPr>
          <w:rFonts w:ascii="Verdana" w:hAnsi="Verdana"/>
          <w:sz w:val="20"/>
          <w:szCs w:val="18"/>
        </w:rPr>
      </w:pPr>
      <w:r w:rsidRPr="00920145">
        <w:rPr>
          <w:rFonts w:ascii="Verdana" w:hAnsi="Verdana"/>
          <w:sz w:val="20"/>
          <w:szCs w:val="18"/>
        </w:rPr>
        <w:t>Zlecenia STOP Limit podlegają ujawnianiu w arkuszu zleceń (aktywacji) wyłącznie w fazie notowań ciągłych.</w:t>
      </w:r>
    </w:p>
    <w:p w14:paraId="1C06D0FA" w14:textId="15E4F6D9" w:rsidR="00EE6304" w:rsidRPr="00920145" w:rsidRDefault="00EE6304" w:rsidP="00F8716B">
      <w:pPr>
        <w:numPr>
          <w:ilvl w:val="0"/>
          <w:numId w:val="72"/>
        </w:numPr>
        <w:tabs>
          <w:tab w:val="left" w:pos="993"/>
        </w:tabs>
        <w:spacing w:after="120" w:line="360" w:lineRule="auto"/>
        <w:ind w:left="709" w:firstLine="0"/>
        <w:jc w:val="both"/>
        <w:rPr>
          <w:rFonts w:ascii="Verdana" w:hAnsi="Verdana"/>
          <w:sz w:val="20"/>
          <w:szCs w:val="18"/>
        </w:rPr>
      </w:pPr>
      <w:r w:rsidRPr="00920145">
        <w:rPr>
          <w:rFonts w:ascii="Verdana" w:hAnsi="Verdana"/>
          <w:sz w:val="20"/>
          <w:szCs w:val="18"/>
        </w:rPr>
        <w:t>Zlecenie kupna STOP Limit zostaje aktywowane gdy jego limit aktywacji jest niższy lub równy limitowi ceny w zleceniu sprzedaży animatora.</w:t>
      </w:r>
    </w:p>
    <w:p w14:paraId="4C8BC89B" w14:textId="64CF44FD" w:rsidR="00EE6304" w:rsidRPr="00920145" w:rsidRDefault="00EE6304" w:rsidP="00F8716B">
      <w:pPr>
        <w:numPr>
          <w:ilvl w:val="0"/>
          <w:numId w:val="72"/>
        </w:numPr>
        <w:tabs>
          <w:tab w:val="left" w:pos="993"/>
        </w:tabs>
        <w:spacing w:after="120" w:line="360" w:lineRule="auto"/>
        <w:ind w:left="709" w:firstLine="0"/>
        <w:jc w:val="both"/>
        <w:rPr>
          <w:rFonts w:ascii="Verdana" w:hAnsi="Verdana"/>
          <w:sz w:val="20"/>
          <w:szCs w:val="18"/>
        </w:rPr>
      </w:pPr>
      <w:r w:rsidRPr="00920145">
        <w:rPr>
          <w:rFonts w:ascii="Verdana" w:hAnsi="Verdana" w:cs="Arial"/>
          <w:sz w:val="20"/>
          <w:szCs w:val="18"/>
        </w:rPr>
        <w:t xml:space="preserve">Zlecenie sprzedaży STOP </w:t>
      </w:r>
      <w:r w:rsidRPr="00920145">
        <w:rPr>
          <w:rFonts w:ascii="Verdana" w:hAnsi="Verdana"/>
          <w:sz w:val="20"/>
          <w:szCs w:val="18"/>
        </w:rPr>
        <w:t xml:space="preserve">Limit zostaje aktywowane gdy jego limit aktywacji jest wyższy lub równy limitowi ceny w zleceniu kupna animatora. </w:t>
      </w:r>
    </w:p>
    <w:p w14:paraId="299BCE95" w14:textId="0EFE7352" w:rsidR="00EE6304" w:rsidRPr="00920145" w:rsidRDefault="00EE6304" w:rsidP="00F8716B">
      <w:pPr>
        <w:numPr>
          <w:ilvl w:val="0"/>
          <w:numId w:val="72"/>
        </w:numPr>
        <w:tabs>
          <w:tab w:val="left" w:pos="993"/>
        </w:tabs>
        <w:spacing w:after="120" w:line="360" w:lineRule="auto"/>
        <w:ind w:left="709" w:firstLine="0"/>
        <w:jc w:val="both"/>
        <w:rPr>
          <w:rFonts w:ascii="Verdana" w:hAnsi="Verdana"/>
          <w:sz w:val="20"/>
          <w:szCs w:val="18"/>
        </w:rPr>
      </w:pPr>
      <w:r w:rsidRPr="00920145">
        <w:rPr>
          <w:rFonts w:ascii="Verdana" w:hAnsi="Verdana" w:cs="Arial"/>
          <w:sz w:val="20"/>
          <w:szCs w:val="18"/>
        </w:rPr>
        <w:t xml:space="preserve">W przypadku aktywowania zlecenia STOP Limit zlecenie to jest ujawniane w arkuszu zleceń  jako zlecenie LIMIT i podlega realizacji zgodnie z zasadami  właściwymi dla zleceń LIMIT.  </w:t>
      </w:r>
    </w:p>
    <w:p w14:paraId="5950EFA9" w14:textId="576C6E5E" w:rsidR="00EE6304" w:rsidRPr="00920145" w:rsidRDefault="00EE6304" w:rsidP="00F8716B">
      <w:pPr>
        <w:numPr>
          <w:ilvl w:val="0"/>
          <w:numId w:val="72"/>
        </w:numPr>
        <w:tabs>
          <w:tab w:val="left" w:pos="993"/>
        </w:tabs>
        <w:spacing w:after="240" w:line="360" w:lineRule="auto"/>
        <w:ind w:left="709" w:firstLine="0"/>
        <w:jc w:val="both"/>
        <w:rPr>
          <w:rFonts w:ascii="Verdana" w:hAnsi="Verdana"/>
          <w:sz w:val="20"/>
          <w:szCs w:val="18"/>
        </w:rPr>
      </w:pPr>
      <w:r w:rsidRPr="00920145">
        <w:rPr>
          <w:rFonts w:ascii="Verdana" w:hAnsi="Verdana" w:cs="Arial"/>
          <w:sz w:val="20"/>
          <w:szCs w:val="18"/>
        </w:rPr>
        <w:t xml:space="preserve">O kolejności aktywacji zleceń STOP Limit decyduje limit aktywacji zlecenia, a w przypadku zleceń z tym samym limitem aktywacji czas przyjęcia zlecenia na giełdę.”; </w:t>
      </w:r>
    </w:p>
    <w:p w14:paraId="75D300E2" w14:textId="5DDD84F6" w:rsidR="002C6304" w:rsidRPr="00920145" w:rsidRDefault="002C6304" w:rsidP="008D368E">
      <w:pPr>
        <w:pStyle w:val="Akapitzlist"/>
        <w:numPr>
          <w:ilvl w:val="3"/>
          <w:numId w:val="17"/>
        </w:numPr>
        <w:tabs>
          <w:tab w:val="left" w:pos="851"/>
        </w:tabs>
        <w:spacing w:after="120" w:line="360" w:lineRule="auto"/>
        <w:ind w:left="738" w:hanging="284"/>
        <w:contextualSpacing w:val="0"/>
        <w:jc w:val="both"/>
        <w:rPr>
          <w:rFonts w:ascii="Verdana" w:hAnsi="Verdana"/>
          <w:sz w:val="20"/>
          <w:szCs w:val="18"/>
        </w:rPr>
      </w:pPr>
      <w:r w:rsidRPr="00920145">
        <w:rPr>
          <w:rFonts w:ascii="Verdana" w:hAnsi="Verdana"/>
          <w:sz w:val="20"/>
          <w:szCs w:val="18"/>
        </w:rPr>
        <w:t>w Rozdziale 5 tytuł Oddziału 3 otrzymuje brzmienie:</w:t>
      </w:r>
    </w:p>
    <w:p w14:paraId="545B6817" w14:textId="0FF9C494" w:rsidR="002C6304" w:rsidRPr="00920145" w:rsidRDefault="002C6304" w:rsidP="008D368E">
      <w:pPr>
        <w:pStyle w:val="Akapitzlist"/>
        <w:tabs>
          <w:tab w:val="left" w:pos="851"/>
        </w:tabs>
        <w:spacing w:after="240" w:line="360" w:lineRule="auto"/>
        <w:ind w:left="737"/>
        <w:contextualSpacing w:val="0"/>
        <w:jc w:val="both"/>
        <w:rPr>
          <w:rFonts w:ascii="Verdana" w:hAnsi="Verdana"/>
          <w:sz w:val="20"/>
          <w:szCs w:val="18"/>
        </w:rPr>
      </w:pPr>
      <w:r w:rsidRPr="00920145">
        <w:rPr>
          <w:rFonts w:ascii="Verdana" w:hAnsi="Verdana"/>
          <w:sz w:val="20"/>
          <w:szCs w:val="18"/>
        </w:rPr>
        <w:t>„Oznaczenia ważności zleceń maklerskich”;</w:t>
      </w:r>
    </w:p>
    <w:p w14:paraId="3BBACA36" w14:textId="4DE939BA" w:rsidR="00132419" w:rsidRPr="00920145" w:rsidRDefault="00C71C3B" w:rsidP="008E0752">
      <w:pPr>
        <w:pStyle w:val="Akapitzlist"/>
        <w:numPr>
          <w:ilvl w:val="3"/>
          <w:numId w:val="17"/>
        </w:numPr>
        <w:tabs>
          <w:tab w:val="left" w:pos="851"/>
        </w:tabs>
        <w:spacing w:after="120" w:line="360" w:lineRule="auto"/>
        <w:ind w:hanging="283"/>
        <w:jc w:val="both"/>
        <w:rPr>
          <w:rFonts w:ascii="Verdana" w:hAnsi="Verdana"/>
          <w:sz w:val="20"/>
          <w:szCs w:val="18"/>
        </w:rPr>
      </w:pPr>
      <w:r w:rsidRPr="00920145">
        <w:rPr>
          <w:rFonts w:ascii="Verdana" w:hAnsi="Verdana"/>
          <w:sz w:val="20"/>
          <w:szCs w:val="18"/>
        </w:rPr>
        <w:t>w § 2</w:t>
      </w:r>
      <w:r w:rsidR="00366ACF" w:rsidRPr="00920145">
        <w:rPr>
          <w:rFonts w:ascii="Verdana" w:hAnsi="Verdana"/>
          <w:sz w:val="20"/>
          <w:szCs w:val="18"/>
        </w:rPr>
        <w:t>2</w:t>
      </w:r>
      <w:r w:rsidRPr="00920145">
        <w:rPr>
          <w:rFonts w:ascii="Verdana" w:hAnsi="Verdana"/>
          <w:sz w:val="20"/>
          <w:szCs w:val="18"/>
        </w:rPr>
        <w:t xml:space="preserve"> w ust. 1:</w:t>
      </w:r>
    </w:p>
    <w:p w14:paraId="521AE800" w14:textId="697A20DE" w:rsidR="00366ACF" w:rsidRPr="00920145" w:rsidRDefault="00366ACF" w:rsidP="00BA63DC">
      <w:pPr>
        <w:spacing w:after="120" w:line="360" w:lineRule="auto"/>
        <w:ind w:left="708"/>
        <w:jc w:val="both"/>
        <w:rPr>
          <w:rFonts w:ascii="Verdana" w:hAnsi="Verdana" w:cs="Arial"/>
          <w:sz w:val="20"/>
          <w:szCs w:val="20"/>
        </w:rPr>
      </w:pPr>
      <w:r w:rsidRPr="00920145">
        <w:rPr>
          <w:rFonts w:ascii="Verdana" w:hAnsi="Verdana" w:cs="Arial"/>
          <w:sz w:val="20"/>
          <w:szCs w:val="20"/>
        </w:rPr>
        <w:t>„1. W systemie animatora rynku zlecenia maklerskie niebędące zleceniami animatora mogą  zawierać następujące oznaczenia maksymalnego okresu ich ważności:</w:t>
      </w:r>
    </w:p>
    <w:p w14:paraId="6D432835" w14:textId="77777777" w:rsidR="00366ACF" w:rsidRPr="00920145" w:rsidRDefault="00366ACF" w:rsidP="00BA63DC">
      <w:pPr>
        <w:spacing w:after="120" w:line="360" w:lineRule="auto"/>
        <w:ind w:left="567" w:firstLine="141"/>
        <w:rPr>
          <w:rFonts w:ascii="Verdana" w:hAnsi="Verdana" w:cs="Arial"/>
          <w:sz w:val="20"/>
          <w:szCs w:val="20"/>
        </w:rPr>
      </w:pPr>
      <w:r w:rsidRPr="00920145">
        <w:rPr>
          <w:rFonts w:ascii="Verdana" w:hAnsi="Verdana" w:cs="Arial"/>
          <w:sz w:val="20"/>
          <w:szCs w:val="20"/>
        </w:rPr>
        <w:t xml:space="preserve">a) „Ważne na dzień bieżący” (D), </w:t>
      </w:r>
    </w:p>
    <w:p w14:paraId="446A5BC9" w14:textId="77777777" w:rsidR="00366ACF" w:rsidRPr="00920145" w:rsidRDefault="00366ACF" w:rsidP="00BA63DC">
      <w:pPr>
        <w:spacing w:after="120" w:line="360" w:lineRule="auto"/>
        <w:ind w:left="567" w:firstLine="141"/>
        <w:rPr>
          <w:rFonts w:ascii="Verdana" w:hAnsi="Verdana" w:cs="Arial"/>
          <w:sz w:val="20"/>
          <w:szCs w:val="20"/>
        </w:rPr>
      </w:pPr>
      <w:r w:rsidRPr="00920145">
        <w:rPr>
          <w:rFonts w:ascii="Verdana" w:hAnsi="Verdana" w:cs="Arial"/>
          <w:sz w:val="20"/>
          <w:szCs w:val="20"/>
        </w:rPr>
        <w:t xml:space="preserve">b) „Ważne do oznaczonego dnia” (WDD), </w:t>
      </w:r>
    </w:p>
    <w:p w14:paraId="7B7B5DE7" w14:textId="27370918" w:rsidR="00366ACF" w:rsidRPr="00920145" w:rsidRDefault="00366ACF" w:rsidP="00BA63DC">
      <w:pPr>
        <w:spacing w:after="120" w:line="360" w:lineRule="auto"/>
        <w:ind w:left="567" w:firstLine="141"/>
        <w:rPr>
          <w:rFonts w:ascii="Verdana" w:hAnsi="Verdana" w:cs="Arial"/>
          <w:sz w:val="20"/>
          <w:szCs w:val="20"/>
        </w:rPr>
      </w:pPr>
      <w:r w:rsidRPr="00920145">
        <w:rPr>
          <w:rFonts w:ascii="Verdana" w:hAnsi="Verdana" w:cs="Arial"/>
          <w:sz w:val="20"/>
          <w:szCs w:val="20"/>
        </w:rPr>
        <w:t>c) „Ważne na czas nieoznaczony” (WDA),</w:t>
      </w:r>
    </w:p>
    <w:p w14:paraId="7EE9393A" w14:textId="3F172760" w:rsidR="00C71C3B" w:rsidRPr="00920145" w:rsidRDefault="00366ACF" w:rsidP="009C4CBB">
      <w:pPr>
        <w:spacing w:after="240" w:line="360" w:lineRule="auto"/>
        <w:ind w:left="567" w:firstLine="141"/>
        <w:rPr>
          <w:rFonts w:ascii="Verdana" w:hAnsi="Verdana" w:cs="Arial"/>
          <w:sz w:val="20"/>
          <w:szCs w:val="20"/>
        </w:rPr>
      </w:pPr>
      <w:r w:rsidRPr="00920145">
        <w:rPr>
          <w:rFonts w:ascii="Verdana" w:hAnsi="Verdana" w:cs="Arial"/>
          <w:sz w:val="20"/>
          <w:szCs w:val="20"/>
        </w:rPr>
        <w:t>d) „Ważne do określonego czasu” (WDC)</w:t>
      </w:r>
      <w:r w:rsidR="00C71C3B" w:rsidRPr="00920145">
        <w:rPr>
          <w:rFonts w:ascii="Verdana" w:hAnsi="Verdana" w:cs="Arial"/>
          <w:sz w:val="20"/>
          <w:szCs w:val="20"/>
        </w:rPr>
        <w:t>.”;</w:t>
      </w:r>
    </w:p>
    <w:p w14:paraId="51C8563D" w14:textId="19A630E1" w:rsidR="00C71C3B" w:rsidRPr="00920145" w:rsidRDefault="00C352E4" w:rsidP="008E0752">
      <w:pPr>
        <w:pStyle w:val="Akapitzlist"/>
        <w:numPr>
          <w:ilvl w:val="3"/>
          <w:numId w:val="17"/>
        </w:numPr>
        <w:tabs>
          <w:tab w:val="left" w:pos="851"/>
        </w:tabs>
        <w:spacing w:after="240" w:line="360" w:lineRule="auto"/>
        <w:ind w:hanging="283"/>
        <w:contextualSpacing w:val="0"/>
        <w:jc w:val="both"/>
        <w:rPr>
          <w:rFonts w:ascii="Verdana" w:hAnsi="Verdana"/>
          <w:sz w:val="20"/>
          <w:szCs w:val="20"/>
        </w:rPr>
      </w:pPr>
      <w:r w:rsidRPr="00920145">
        <w:rPr>
          <w:rFonts w:ascii="Verdana" w:hAnsi="Verdana"/>
          <w:sz w:val="20"/>
          <w:szCs w:val="20"/>
        </w:rPr>
        <w:t>uchyla się § 25;</w:t>
      </w:r>
    </w:p>
    <w:p w14:paraId="17ADF691" w14:textId="77777777" w:rsidR="009C4CBB" w:rsidRPr="00920145" w:rsidRDefault="009C4CBB" w:rsidP="009C4CBB">
      <w:pPr>
        <w:pStyle w:val="Akapitzlist"/>
        <w:tabs>
          <w:tab w:val="left" w:pos="851"/>
        </w:tabs>
        <w:spacing w:after="240" w:line="360" w:lineRule="auto"/>
        <w:ind w:left="2160"/>
        <w:contextualSpacing w:val="0"/>
        <w:jc w:val="both"/>
        <w:rPr>
          <w:rFonts w:ascii="Verdana" w:hAnsi="Verdana"/>
          <w:sz w:val="20"/>
          <w:szCs w:val="20"/>
        </w:rPr>
      </w:pPr>
    </w:p>
    <w:p w14:paraId="06A2DF9A" w14:textId="0E10616A" w:rsidR="00C352E4" w:rsidRPr="00920145" w:rsidRDefault="00C352E4" w:rsidP="00136519">
      <w:pPr>
        <w:pStyle w:val="Akapitzlist"/>
        <w:numPr>
          <w:ilvl w:val="3"/>
          <w:numId w:val="17"/>
        </w:numPr>
        <w:tabs>
          <w:tab w:val="left" w:pos="851"/>
        </w:tabs>
        <w:spacing w:after="120" w:line="360" w:lineRule="auto"/>
        <w:ind w:hanging="283"/>
        <w:contextualSpacing w:val="0"/>
        <w:jc w:val="both"/>
        <w:rPr>
          <w:rFonts w:ascii="Verdana" w:hAnsi="Verdana"/>
          <w:sz w:val="20"/>
          <w:szCs w:val="20"/>
        </w:rPr>
      </w:pPr>
      <w:r w:rsidRPr="00920145">
        <w:rPr>
          <w:rFonts w:ascii="Verdana" w:hAnsi="Verdana"/>
          <w:sz w:val="20"/>
          <w:szCs w:val="20"/>
        </w:rPr>
        <w:lastRenderedPageBreak/>
        <w:t>dodaje się § 25a i § 25b, w brzmieniu:</w:t>
      </w:r>
    </w:p>
    <w:p w14:paraId="400640E4" w14:textId="1BE4EDD5" w:rsidR="00C352E4" w:rsidRPr="00920145" w:rsidRDefault="00C352E4" w:rsidP="000D4B24">
      <w:pPr>
        <w:pStyle w:val="Akapitzlist"/>
        <w:spacing w:after="120" w:line="360" w:lineRule="auto"/>
        <w:ind w:left="709"/>
        <w:contextualSpacing w:val="0"/>
        <w:jc w:val="both"/>
        <w:rPr>
          <w:rFonts w:ascii="Verdana" w:hAnsi="Verdana"/>
          <w:sz w:val="20"/>
          <w:szCs w:val="20"/>
        </w:rPr>
      </w:pPr>
      <w:r w:rsidRPr="00920145">
        <w:rPr>
          <w:rFonts w:ascii="Verdana" w:hAnsi="Verdana"/>
          <w:sz w:val="20"/>
          <w:szCs w:val="20"/>
        </w:rPr>
        <w:t>„§ 25a</w:t>
      </w:r>
    </w:p>
    <w:p w14:paraId="22836800" w14:textId="77777777" w:rsidR="00C352E4" w:rsidRPr="00920145" w:rsidRDefault="00C352E4" w:rsidP="00A23201">
      <w:pPr>
        <w:spacing w:after="0" w:line="360" w:lineRule="auto"/>
        <w:ind w:firstLine="709"/>
        <w:jc w:val="both"/>
        <w:rPr>
          <w:rFonts w:ascii="Verdana" w:hAnsi="Verdana"/>
          <w:b/>
          <w:sz w:val="20"/>
          <w:szCs w:val="18"/>
        </w:rPr>
      </w:pPr>
      <w:r w:rsidRPr="00920145">
        <w:rPr>
          <w:rFonts w:ascii="Verdana" w:hAnsi="Verdana"/>
          <w:b/>
          <w:sz w:val="20"/>
          <w:szCs w:val="20"/>
        </w:rPr>
        <w:t xml:space="preserve">Zlecenia z oznaczeniem </w:t>
      </w:r>
      <w:r w:rsidRPr="00920145">
        <w:rPr>
          <w:rFonts w:ascii="Verdana" w:hAnsi="Verdana"/>
          <w:b/>
          <w:sz w:val="20"/>
          <w:szCs w:val="18"/>
        </w:rPr>
        <w:t>„Ważne na czas nieoznaczony” (WDA)</w:t>
      </w:r>
    </w:p>
    <w:p w14:paraId="263993AE" w14:textId="6E149FCA" w:rsidR="00C352E4" w:rsidRPr="00920145" w:rsidRDefault="00C352E4" w:rsidP="00BA63DC">
      <w:pPr>
        <w:spacing w:after="240" w:line="360" w:lineRule="auto"/>
        <w:ind w:left="709"/>
        <w:jc w:val="both"/>
        <w:rPr>
          <w:rFonts w:ascii="Verdana" w:hAnsi="Verdana"/>
          <w:sz w:val="20"/>
          <w:szCs w:val="18"/>
        </w:rPr>
      </w:pPr>
      <w:r w:rsidRPr="00920145">
        <w:rPr>
          <w:rFonts w:ascii="Verdana" w:hAnsi="Verdana"/>
          <w:sz w:val="20"/>
          <w:szCs w:val="18"/>
        </w:rPr>
        <w:t>Zlecenie z oznaczeniem WDA jest ważne nie dłużej niż 365 dni od dnia złożenia na giełdę.</w:t>
      </w:r>
    </w:p>
    <w:p w14:paraId="09E33F39" w14:textId="08DA46E8" w:rsidR="00C352E4" w:rsidRPr="00920145" w:rsidRDefault="00C352E4" w:rsidP="000D4B24">
      <w:pPr>
        <w:spacing w:after="0" w:line="360" w:lineRule="auto"/>
        <w:ind w:firstLine="708"/>
        <w:jc w:val="both"/>
        <w:rPr>
          <w:rFonts w:ascii="Verdana" w:hAnsi="Verdana" w:cs="Arial"/>
          <w:sz w:val="20"/>
          <w:szCs w:val="18"/>
        </w:rPr>
      </w:pPr>
      <w:r w:rsidRPr="00920145">
        <w:rPr>
          <w:rFonts w:ascii="Verdana" w:hAnsi="Verdana"/>
          <w:sz w:val="20"/>
          <w:szCs w:val="18"/>
        </w:rPr>
        <w:t>§ 25b</w:t>
      </w:r>
    </w:p>
    <w:p w14:paraId="6DFD2C58" w14:textId="77777777" w:rsidR="00C352E4" w:rsidRPr="00920145" w:rsidRDefault="00C352E4" w:rsidP="00A23201">
      <w:pPr>
        <w:spacing w:after="0" w:line="360" w:lineRule="auto"/>
        <w:ind w:firstLine="708"/>
        <w:jc w:val="both"/>
        <w:rPr>
          <w:rFonts w:ascii="Verdana" w:hAnsi="Verdana"/>
          <w:b/>
          <w:bCs/>
          <w:sz w:val="20"/>
          <w:szCs w:val="18"/>
        </w:rPr>
      </w:pPr>
      <w:r w:rsidRPr="00920145">
        <w:rPr>
          <w:rFonts w:ascii="Verdana" w:hAnsi="Verdana"/>
          <w:b/>
          <w:bCs/>
          <w:sz w:val="20"/>
          <w:szCs w:val="18"/>
        </w:rPr>
        <w:t>Zlecenia z oznaczeniem „Ważne do określonego czasu” (WDC)</w:t>
      </w:r>
    </w:p>
    <w:p w14:paraId="249B267A" w14:textId="08BEF138" w:rsidR="00C352E4" w:rsidRPr="00920145" w:rsidRDefault="00C352E4" w:rsidP="000D4B24">
      <w:pPr>
        <w:spacing w:after="240" w:line="360" w:lineRule="auto"/>
        <w:ind w:left="709"/>
        <w:jc w:val="both"/>
        <w:rPr>
          <w:rFonts w:ascii="Verdana" w:hAnsi="Verdana"/>
          <w:sz w:val="20"/>
          <w:szCs w:val="18"/>
        </w:rPr>
      </w:pPr>
      <w:r w:rsidRPr="00920145">
        <w:rPr>
          <w:rFonts w:ascii="Verdana" w:hAnsi="Verdana"/>
          <w:sz w:val="20"/>
          <w:szCs w:val="18"/>
        </w:rPr>
        <w:t>Zlecenie z oznaczeniem WDC jest ważne nie dłużej niż do godziny określonej w tym zleceniu, w dniu jego złożenia na giełdę, jednak nie dłużej niż do końca sesji giełdowej w tym dniu. Czas ważności zlecenia jest podawany z dokładnością do jednej sekundy.</w:t>
      </w:r>
      <w:r w:rsidR="003E4211" w:rsidRPr="00920145">
        <w:rPr>
          <w:rFonts w:ascii="Verdana" w:hAnsi="Verdana"/>
          <w:sz w:val="20"/>
          <w:szCs w:val="18"/>
        </w:rPr>
        <w:t>”;</w:t>
      </w:r>
    </w:p>
    <w:p w14:paraId="3884B59C" w14:textId="28FDFDAA" w:rsidR="00C352E4" w:rsidRPr="00920145" w:rsidRDefault="00D436FC" w:rsidP="009762AD">
      <w:pPr>
        <w:pStyle w:val="Akapitzlist"/>
        <w:numPr>
          <w:ilvl w:val="0"/>
          <w:numId w:val="110"/>
        </w:numPr>
        <w:spacing w:after="240" w:line="360" w:lineRule="auto"/>
        <w:ind w:hanging="169"/>
        <w:contextualSpacing w:val="0"/>
        <w:jc w:val="both"/>
        <w:rPr>
          <w:rFonts w:ascii="Verdana" w:hAnsi="Verdana"/>
          <w:sz w:val="20"/>
          <w:szCs w:val="20"/>
        </w:rPr>
      </w:pPr>
      <w:r w:rsidRPr="00920145">
        <w:rPr>
          <w:rFonts w:ascii="Verdana" w:hAnsi="Verdana"/>
          <w:sz w:val="20"/>
          <w:szCs w:val="20"/>
        </w:rPr>
        <w:t xml:space="preserve">w Rozdziale 5 uchyla </w:t>
      </w:r>
      <w:r w:rsidR="00EF14E8" w:rsidRPr="00920145">
        <w:rPr>
          <w:rFonts w:ascii="Verdana" w:hAnsi="Verdana"/>
          <w:sz w:val="20"/>
          <w:szCs w:val="20"/>
        </w:rPr>
        <w:t xml:space="preserve">się </w:t>
      </w:r>
      <w:r w:rsidRPr="00920145">
        <w:rPr>
          <w:rFonts w:ascii="Verdana" w:hAnsi="Verdana"/>
          <w:sz w:val="20"/>
          <w:szCs w:val="20"/>
        </w:rPr>
        <w:t>Oddział 4 (</w:t>
      </w:r>
      <w:r w:rsidR="00EF14E8" w:rsidRPr="00920145">
        <w:rPr>
          <w:rFonts w:ascii="Verdana" w:hAnsi="Verdana"/>
          <w:sz w:val="20"/>
          <w:szCs w:val="20"/>
        </w:rPr>
        <w:t>§ 26</w:t>
      </w:r>
      <w:r w:rsidRPr="00920145">
        <w:rPr>
          <w:rFonts w:ascii="Verdana" w:hAnsi="Verdana"/>
          <w:sz w:val="20"/>
          <w:szCs w:val="20"/>
        </w:rPr>
        <w:t>)</w:t>
      </w:r>
      <w:r w:rsidR="00EF14E8" w:rsidRPr="00920145">
        <w:rPr>
          <w:rFonts w:ascii="Verdana" w:hAnsi="Verdana"/>
          <w:sz w:val="20"/>
          <w:szCs w:val="20"/>
        </w:rPr>
        <w:t>;</w:t>
      </w:r>
    </w:p>
    <w:p w14:paraId="3E59C05D" w14:textId="32B58AD6" w:rsidR="00EF14E8" w:rsidRPr="00920145" w:rsidRDefault="00EF14E8" w:rsidP="009762AD">
      <w:pPr>
        <w:pStyle w:val="Akapitzlist"/>
        <w:numPr>
          <w:ilvl w:val="0"/>
          <w:numId w:val="110"/>
        </w:numPr>
        <w:spacing w:after="120" w:line="360" w:lineRule="auto"/>
        <w:ind w:hanging="169"/>
        <w:contextualSpacing w:val="0"/>
        <w:jc w:val="both"/>
        <w:rPr>
          <w:rFonts w:ascii="Verdana" w:hAnsi="Verdana"/>
          <w:sz w:val="20"/>
          <w:szCs w:val="20"/>
        </w:rPr>
      </w:pPr>
      <w:r w:rsidRPr="00920145">
        <w:rPr>
          <w:rFonts w:ascii="Verdana" w:hAnsi="Verdana"/>
          <w:sz w:val="20"/>
          <w:szCs w:val="20"/>
        </w:rPr>
        <w:t>w § 27</w:t>
      </w:r>
      <w:r w:rsidR="005D21A8" w:rsidRPr="00920145">
        <w:rPr>
          <w:rFonts w:ascii="Verdana" w:hAnsi="Verdana"/>
          <w:sz w:val="20"/>
          <w:szCs w:val="20"/>
        </w:rPr>
        <w:t xml:space="preserve"> </w:t>
      </w:r>
      <w:r w:rsidRPr="00920145">
        <w:rPr>
          <w:rFonts w:ascii="Verdana" w:hAnsi="Verdana"/>
          <w:sz w:val="20"/>
          <w:szCs w:val="20"/>
        </w:rPr>
        <w:t xml:space="preserve">ust. 2 – </w:t>
      </w:r>
      <w:r w:rsidR="005D21A8" w:rsidRPr="00920145">
        <w:rPr>
          <w:rFonts w:ascii="Verdana" w:hAnsi="Verdana"/>
          <w:sz w:val="20"/>
          <w:szCs w:val="20"/>
        </w:rPr>
        <w:t>9</w:t>
      </w:r>
      <w:r w:rsidRPr="00920145">
        <w:rPr>
          <w:rFonts w:ascii="Verdana" w:hAnsi="Verdana"/>
          <w:sz w:val="20"/>
          <w:szCs w:val="20"/>
        </w:rPr>
        <w:t xml:space="preserve"> otrzymują brzmienie:</w:t>
      </w:r>
    </w:p>
    <w:p w14:paraId="63D00843" w14:textId="5B3C0524" w:rsidR="000F6507" w:rsidRPr="00920145" w:rsidRDefault="00EF14E8" w:rsidP="00C41D20">
      <w:pPr>
        <w:pStyle w:val="Akapitzlist"/>
        <w:spacing w:after="120" w:line="360" w:lineRule="auto"/>
        <w:ind w:left="993" w:hanging="426"/>
        <w:contextualSpacing w:val="0"/>
        <w:jc w:val="both"/>
        <w:rPr>
          <w:rFonts w:ascii="Verdana" w:hAnsi="Verdana"/>
          <w:sz w:val="20"/>
          <w:szCs w:val="20"/>
        </w:rPr>
      </w:pPr>
      <w:r w:rsidRPr="00920145">
        <w:rPr>
          <w:rFonts w:ascii="Verdana" w:hAnsi="Verdana"/>
          <w:sz w:val="20"/>
          <w:szCs w:val="20"/>
        </w:rPr>
        <w:t xml:space="preserve">„2. </w:t>
      </w:r>
      <w:r w:rsidR="000F6507" w:rsidRPr="00920145">
        <w:rPr>
          <w:rFonts w:ascii="Verdana" w:hAnsi="Verdana" w:cs="Arial"/>
          <w:sz w:val="20"/>
          <w:szCs w:val="18"/>
        </w:rPr>
        <w:t>W przypadku modyfikacji zlecenia maklerskiego polegającej na:</w:t>
      </w:r>
    </w:p>
    <w:p w14:paraId="3ED9D685" w14:textId="77777777" w:rsidR="000F6507" w:rsidRPr="00920145" w:rsidRDefault="000F6507" w:rsidP="00C41D20">
      <w:pPr>
        <w:numPr>
          <w:ilvl w:val="1"/>
          <w:numId w:val="73"/>
        </w:numPr>
        <w:tabs>
          <w:tab w:val="clear" w:pos="720"/>
          <w:tab w:val="num" w:pos="1004"/>
          <w:tab w:val="num" w:pos="1031"/>
        </w:tabs>
        <w:spacing w:after="120" w:line="360" w:lineRule="auto"/>
        <w:ind w:left="993" w:hanging="426"/>
        <w:jc w:val="both"/>
        <w:rPr>
          <w:rFonts w:ascii="Verdana" w:hAnsi="Verdana" w:cs="Arial"/>
          <w:sz w:val="20"/>
          <w:szCs w:val="18"/>
        </w:rPr>
      </w:pPr>
      <w:r w:rsidRPr="00920145">
        <w:rPr>
          <w:rFonts w:ascii="Verdana" w:hAnsi="Verdana" w:cs="Arial"/>
          <w:sz w:val="20"/>
          <w:szCs w:val="18"/>
        </w:rPr>
        <w:t>zwiększeniu wolumenu zlecenia,</w:t>
      </w:r>
    </w:p>
    <w:p w14:paraId="46078089" w14:textId="77777777" w:rsidR="000F6507" w:rsidRPr="00920145" w:rsidRDefault="000F6507" w:rsidP="00C41D20">
      <w:pPr>
        <w:numPr>
          <w:ilvl w:val="1"/>
          <w:numId w:val="73"/>
        </w:numPr>
        <w:tabs>
          <w:tab w:val="clear" w:pos="720"/>
          <w:tab w:val="num" w:pos="1004"/>
          <w:tab w:val="num" w:pos="1031"/>
        </w:tabs>
        <w:spacing w:after="120" w:line="360" w:lineRule="auto"/>
        <w:ind w:left="993" w:hanging="426"/>
        <w:jc w:val="both"/>
        <w:rPr>
          <w:rFonts w:ascii="Verdana" w:hAnsi="Verdana" w:cs="Arial"/>
          <w:sz w:val="20"/>
          <w:szCs w:val="18"/>
        </w:rPr>
      </w:pPr>
      <w:r w:rsidRPr="00920145">
        <w:rPr>
          <w:rFonts w:ascii="Verdana" w:hAnsi="Verdana" w:cs="Arial"/>
          <w:sz w:val="20"/>
          <w:szCs w:val="18"/>
        </w:rPr>
        <w:t xml:space="preserve">zmianie limitu ceny, </w:t>
      </w:r>
    </w:p>
    <w:p w14:paraId="28DAE7E7" w14:textId="77777777" w:rsidR="000F6507" w:rsidRPr="00920145" w:rsidRDefault="000F6507" w:rsidP="00C41D20">
      <w:pPr>
        <w:numPr>
          <w:ilvl w:val="1"/>
          <w:numId w:val="73"/>
        </w:numPr>
        <w:tabs>
          <w:tab w:val="clear" w:pos="720"/>
          <w:tab w:val="num" w:pos="1004"/>
          <w:tab w:val="num" w:pos="1031"/>
        </w:tabs>
        <w:spacing w:after="120" w:line="360" w:lineRule="auto"/>
        <w:ind w:left="993" w:hanging="426"/>
        <w:jc w:val="both"/>
        <w:rPr>
          <w:rFonts w:ascii="Verdana" w:hAnsi="Verdana" w:cs="Arial"/>
          <w:sz w:val="20"/>
          <w:szCs w:val="18"/>
        </w:rPr>
      </w:pPr>
      <w:r w:rsidRPr="00920145">
        <w:rPr>
          <w:rFonts w:ascii="Verdana" w:hAnsi="Verdana" w:cs="Arial"/>
          <w:sz w:val="20"/>
          <w:szCs w:val="18"/>
        </w:rPr>
        <w:t>zmianie limitu aktywacji zlecenia</w:t>
      </w:r>
    </w:p>
    <w:p w14:paraId="70FF647A" w14:textId="46E18BF9" w:rsidR="000F6507" w:rsidRPr="00920145" w:rsidRDefault="000F6507" w:rsidP="00C41D20">
      <w:pPr>
        <w:tabs>
          <w:tab w:val="num" w:pos="709"/>
        </w:tabs>
        <w:spacing w:after="120" w:line="360" w:lineRule="auto"/>
        <w:ind w:left="567"/>
        <w:jc w:val="both"/>
        <w:rPr>
          <w:rFonts w:ascii="Verdana" w:hAnsi="Verdana" w:cs="Arial"/>
          <w:sz w:val="20"/>
          <w:szCs w:val="18"/>
        </w:rPr>
      </w:pPr>
      <w:r w:rsidRPr="00920145">
        <w:rPr>
          <w:rFonts w:ascii="Verdana" w:hAnsi="Verdana" w:cs="Arial"/>
          <w:sz w:val="20"/>
          <w:szCs w:val="18"/>
        </w:rPr>
        <w:t xml:space="preserve">- zlecenie maklerskie traci priorytet czasu przyjęcia do arkusza zleceń, </w:t>
      </w:r>
      <w:r w:rsidRPr="00920145">
        <w:rPr>
          <w:rFonts w:ascii="Verdana" w:hAnsi="Verdana" w:cs="Arial"/>
          <w:sz w:val="20"/>
          <w:szCs w:val="18"/>
        </w:rPr>
        <w:br/>
      </w:r>
      <w:r w:rsidR="000D4B24" w:rsidRPr="00920145">
        <w:rPr>
          <w:rFonts w:ascii="Verdana" w:hAnsi="Verdana" w:cs="Arial"/>
          <w:sz w:val="20"/>
          <w:szCs w:val="18"/>
        </w:rPr>
        <w:t>z zastrzeżeniem ust. 5</w:t>
      </w:r>
      <w:r w:rsidRPr="00920145">
        <w:rPr>
          <w:rFonts w:ascii="Verdana" w:hAnsi="Verdana" w:cs="Arial"/>
          <w:sz w:val="20"/>
          <w:szCs w:val="18"/>
        </w:rPr>
        <w:t>.</w:t>
      </w:r>
    </w:p>
    <w:p w14:paraId="2B0CC5DC" w14:textId="010761F0" w:rsidR="005D21A8" w:rsidRPr="00920145" w:rsidRDefault="000F6507" w:rsidP="005D028C">
      <w:pPr>
        <w:tabs>
          <w:tab w:val="left" w:pos="567"/>
          <w:tab w:val="num" w:pos="709"/>
        </w:tabs>
        <w:spacing w:after="120" w:line="360" w:lineRule="auto"/>
        <w:ind w:left="567"/>
        <w:jc w:val="both"/>
        <w:rPr>
          <w:rFonts w:ascii="Verdana" w:hAnsi="Verdana" w:cs="Arial"/>
          <w:sz w:val="20"/>
          <w:szCs w:val="18"/>
        </w:rPr>
      </w:pPr>
      <w:r w:rsidRPr="00920145">
        <w:rPr>
          <w:rFonts w:ascii="Verdana" w:hAnsi="Verdana" w:cs="Arial"/>
          <w:sz w:val="20"/>
          <w:szCs w:val="18"/>
        </w:rPr>
        <w:t>3. W przypadku modyfikacji innych niż określone w ust. 2 zlecenie maklerskie zachowuje po modyfikacji priorytet czasu przyjęcia do arkusza zleceń</w:t>
      </w:r>
      <w:r w:rsidR="005D21A8" w:rsidRPr="00920145">
        <w:rPr>
          <w:rFonts w:ascii="Verdana" w:hAnsi="Verdana" w:cs="Arial"/>
          <w:sz w:val="20"/>
          <w:szCs w:val="18"/>
        </w:rPr>
        <w:t xml:space="preserve">, </w:t>
      </w:r>
      <w:r w:rsidR="005D028C" w:rsidRPr="00920145">
        <w:rPr>
          <w:rFonts w:ascii="Verdana" w:hAnsi="Verdana" w:cs="Arial"/>
          <w:sz w:val="20"/>
          <w:szCs w:val="18"/>
        </w:rPr>
        <w:br/>
      </w:r>
      <w:r w:rsidR="005D21A8" w:rsidRPr="00920145">
        <w:rPr>
          <w:rFonts w:ascii="Verdana" w:hAnsi="Verdana" w:cs="Arial"/>
          <w:sz w:val="20"/>
          <w:szCs w:val="18"/>
        </w:rPr>
        <w:t>z zastrzeżeniem ust. 5.</w:t>
      </w:r>
      <w:r w:rsidRPr="00920145">
        <w:rPr>
          <w:rFonts w:ascii="Verdana" w:hAnsi="Verdana" w:cs="Arial"/>
          <w:sz w:val="20"/>
          <w:szCs w:val="18"/>
        </w:rPr>
        <w:t xml:space="preserve">  </w:t>
      </w:r>
    </w:p>
    <w:p w14:paraId="65DDC9BB" w14:textId="77777777" w:rsidR="005D21A8" w:rsidRPr="00920145" w:rsidRDefault="000F6507" w:rsidP="005D028C">
      <w:pPr>
        <w:tabs>
          <w:tab w:val="left" w:pos="567"/>
          <w:tab w:val="num" w:pos="709"/>
        </w:tabs>
        <w:spacing w:after="120" w:line="360" w:lineRule="auto"/>
        <w:ind w:left="567"/>
        <w:jc w:val="both"/>
        <w:rPr>
          <w:rFonts w:ascii="Verdana" w:hAnsi="Verdana" w:cs="Arial"/>
          <w:sz w:val="20"/>
          <w:szCs w:val="18"/>
        </w:rPr>
      </w:pPr>
      <w:r w:rsidRPr="00920145">
        <w:rPr>
          <w:rFonts w:ascii="Verdana" w:hAnsi="Verdana" w:cs="Arial"/>
          <w:sz w:val="20"/>
          <w:szCs w:val="18"/>
        </w:rPr>
        <w:t>4. W przypadku modyfikacji zlecenia oczekującego na ujawnienie, każda modyfikacja powoduje utratę priorytetu czasu przyjęcia tego zlecenia na giełdę.</w:t>
      </w:r>
    </w:p>
    <w:p w14:paraId="25109970" w14:textId="49BB8445" w:rsidR="005D21A8" w:rsidRPr="00920145" w:rsidRDefault="000F6507" w:rsidP="005D028C">
      <w:pPr>
        <w:tabs>
          <w:tab w:val="left" w:pos="567"/>
          <w:tab w:val="num" w:pos="709"/>
        </w:tabs>
        <w:spacing w:after="120" w:line="360" w:lineRule="auto"/>
        <w:ind w:left="567"/>
        <w:jc w:val="both"/>
        <w:rPr>
          <w:rFonts w:ascii="Verdana" w:hAnsi="Verdana" w:cs="Arial"/>
          <w:sz w:val="20"/>
          <w:szCs w:val="18"/>
        </w:rPr>
      </w:pPr>
      <w:r w:rsidRPr="00920145">
        <w:rPr>
          <w:rFonts w:ascii="Verdana" w:hAnsi="Verdana" w:cs="Arial"/>
          <w:sz w:val="20"/>
          <w:szCs w:val="18"/>
        </w:rPr>
        <w:t>5. W przypadku</w:t>
      </w:r>
      <w:r w:rsidR="005D21A8" w:rsidRPr="00920145">
        <w:rPr>
          <w:rFonts w:ascii="Verdana" w:hAnsi="Verdana" w:cs="Arial"/>
          <w:sz w:val="20"/>
          <w:szCs w:val="18"/>
        </w:rPr>
        <w:t xml:space="preserve"> każdej </w:t>
      </w:r>
      <w:r w:rsidRPr="00920145">
        <w:rPr>
          <w:rFonts w:ascii="Verdana" w:hAnsi="Verdana" w:cs="Arial"/>
          <w:sz w:val="20"/>
          <w:szCs w:val="18"/>
        </w:rPr>
        <w:t xml:space="preserve">modyfikacji zlecenia znajdującego się w arkuszu zleceń podczas okresu Zawieszenia – Brak Animatora lub w trakcie okresu Czas Opóźnienia Odpowiedzi Animatora, modyfikacja powoduje utratę priorytetu czasu przyjęcia tego zlecenia do arkusza. </w:t>
      </w:r>
    </w:p>
    <w:p w14:paraId="682FC39E" w14:textId="77777777" w:rsidR="005D21A8" w:rsidRPr="00920145" w:rsidRDefault="000F6507" w:rsidP="005D028C">
      <w:pPr>
        <w:tabs>
          <w:tab w:val="left" w:pos="567"/>
          <w:tab w:val="num" w:pos="709"/>
        </w:tabs>
        <w:spacing w:after="120" w:line="360" w:lineRule="auto"/>
        <w:ind w:left="567"/>
        <w:jc w:val="both"/>
        <w:rPr>
          <w:rFonts w:ascii="Verdana" w:hAnsi="Verdana" w:cs="Arial"/>
          <w:sz w:val="20"/>
          <w:szCs w:val="18"/>
        </w:rPr>
      </w:pPr>
      <w:r w:rsidRPr="00920145">
        <w:rPr>
          <w:rFonts w:ascii="Verdana" w:hAnsi="Verdana" w:cs="Arial"/>
          <w:sz w:val="20"/>
          <w:szCs w:val="18"/>
        </w:rPr>
        <w:t xml:space="preserve">6. Modyfikacja limitu ceny w zleceniu maklerskim powinna być zgodna z krokiem  notowania obowiązującym dla danego instrumentu. </w:t>
      </w:r>
    </w:p>
    <w:p w14:paraId="2AF1FA23" w14:textId="77777777" w:rsidR="005D21A8" w:rsidRPr="00920145" w:rsidRDefault="000F6507" w:rsidP="005D028C">
      <w:pPr>
        <w:tabs>
          <w:tab w:val="left" w:pos="567"/>
          <w:tab w:val="num" w:pos="709"/>
        </w:tabs>
        <w:spacing w:after="120" w:line="360" w:lineRule="auto"/>
        <w:ind w:left="567"/>
        <w:jc w:val="both"/>
        <w:rPr>
          <w:rFonts w:ascii="Verdana" w:hAnsi="Verdana" w:cs="Arial"/>
          <w:sz w:val="20"/>
          <w:szCs w:val="18"/>
        </w:rPr>
      </w:pPr>
      <w:r w:rsidRPr="00920145">
        <w:rPr>
          <w:rFonts w:ascii="Verdana" w:hAnsi="Verdana" w:cs="Arial"/>
          <w:sz w:val="20"/>
          <w:szCs w:val="18"/>
        </w:rPr>
        <w:lastRenderedPageBreak/>
        <w:t xml:space="preserve">7. Anulowanie i modyfikacja zlecenia jest dozwolona w fazie przed otwarciem i w fazie notowań ciągłych, w tym w trakcie okresów Zawieszenia - Brak Animatora lub Czasu Opóźnienia Odpowiedzi Animatora.   </w:t>
      </w:r>
    </w:p>
    <w:p w14:paraId="59CFAAC2" w14:textId="77777777" w:rsidR="005D21A8" w:rsidRPr="00920145" w:rsidRDefault="000F6507" w:rsidP="005D028C">
      <w:pPr>
        <w:tabs>
          <w:tab w:val="num" w:pos="709"/>
        </w:tabs>
        <w:spacing w:after="120" w:line="360" w:lineRule="auto"/>
        <w:ind w:left="567"/>
        <w:jc w:val="both"/>
        <w:rPr>
          <w:rFonts w:ascii="Verdana" w:hAnsi="Verdana" w:cs="Arial"/>
          <w:sz w:val="20"/>
          <w:szCs w:val="18"/>
        </w:rPr>
      </w:pPr>
      <w:r w:rsidRPr="00920145">
        <w:rPr>
          <w:rFonts w:ascii="Verdana" w:hAnsi="Verdana" w:cs="Arial"/>
          <w:sz w:val="20"/>
          <w:szCs w:val="18"/>
        </w:rPr>
        <w:t xml:space="preserve">8. </w:t>
      </w:r>
      <w:r w:rsidRPr="00920145">
        <w:rPr>
          <w:rFonts w:ascii="Verdana" w:hAnsi="Verdana"/>
          <w:sz w:val="20"/>
          <w:szCs w:val="20"/>
        </w:rPr>
        <w:t>Nie dopuszcza się modyfikacji rodzajów zleceń maklerskich (z jednego rodzaju na inny).</w:t>
      </w:r>
    </w:p>
    <w:p w14:paraId="33F22B90" w14:textId="301202B8" w:rsidR="00793AB4" w:rsidRPr="00920145" w:rsidRDefault="000F6507" w:rsidP="005D028C">
      <w:pPr>
        <w:tabs>
          <w:tab w:val="num" w:pos="709"/>
        </w:tabs>
        <w:spacing w:after="240" w:line="360" w:lineRule="auto"/>
        <w:ind w:left="567"/>
        <w:jc w:val="both"/>
        <w:rPr>
          <w:rFonts w:ascii="Verdana" w:hAnsi="Verdana"/>
          <w:sz w:val="20"/>
          <w:szCs w:val="20"/>
        </w:rPr>
      </w:pPr>
      <w:r w:rsidRPr="00920145">
        <w:rPr>
          <w:rFonts w:ascii="Verdana" w:hAnsi="Verdana"/>
          <w:sz w:val="20"/>
          <w:szCs w:val="20"/>
        </w:rPr>
        <w:t>9. Jedyną dopuszczalną modyfikacją ważności zlecenia jest modyfikacja daty ważności zlecenia z oznaczeniem WDD z jednej daty na inną datę.”;</w:t>
      </w:r>
    </w:p>
    <w:p w14:paraId="04BBCE9E" w14:textId="38B07973" w:rsidR="000F6507" w:rsidRPr="00920145" w:rsidRDefault="005C6936" w:rsidP="00997AF2">
      <w:pPr>
        <w:pStyle w:val="Akapitzlist"/>
        <w:numPr>
          <w:ilvl w:val="0"/>
          <w:numId w:val="110"/>
        </w:numPr>
        <w:spacing w:after="120" w:line="360" w:lineRule="auto"/>
        <w:ind w:left="454" w:hanging="170"/>
        <w:contextualSpacing w:val="0"/>
        <w:jc w:val="both"/>
        <w:rPr>
          <w:rFonts w:ascii="Verdana" w:hAnsi="Verdana" w:cs="Arial"/>
          <w:sz w:val="20"/>
          <w:szCs w:val="18"/>
        </w:rPr>
      </w:pPr>
      <w:r w:rsidRPr="00920145">
        <w:rPr>
          <w:rFonts w:ascii="Verdana" w:hAnsi="Verdana" w:cs="Arial"/>
          <w:sz w:val="20"/>
          <w:szCs w:val="18"/>
        </w:rPr>
        <w:t>w Rozdziale 6 przed § 28 dodaje się § 27a, w brzmieniu:</w:t>
      </w:r>
    </w:p>
    <w:p w14:paraId="052F3359" w14:textId="4F7C1F8B" w:rsidR="005C6936" w:rsidRPr="00920145" w:rsidRDefault="005C6936" w:rsidP="00A23201">
      <w:pPr>
        <w:pStyle w:val="Akapitzlist"/>
        <w:spacing w:after="120" w:line="360" w:lineRule="auto"/>
        <w:ind w:left="709"/>
        <w:contextualSpacing w:val="0"/>
        <w:jc w:val="both"/>
        <w:rPr>
          <w:rFonts w:ascii="Verdana" w:hAnsi="Verdana" w:cs="Arial"/>
          <w:sz w:val="20"/>
          <w:szCs w:val="18"/>
        </w:rPr>
      </w:pPr>
      <w:r w:rsidRPr="00920145">
        <w:rPr>
          <w:rFonts w:ascii="Verdana" w:hAnsi="Verdana" w:cs="Arial"/>
          <w:sz w:val="20"/>
          <w:szCs w:val="18"/>
        </w:rPr>
        <w:t>„§ 27a</w:t>
      </w:r>
    </w:p>
    <w:p w14:paraId="3C3C82A0" w14:textId="6D2E2910" w:rsidR="005C6936" w:rsidRPr="00920145" w:rsidRDefault="005C6936" w:rsidP="005D21A8">
      <w:pPr>
        <w:spacing w:after="240" w:line="360" w:lineRule="auto"/>
        <w:ind w:left="709"/>
        <w:jc w:val="both"/>
        <w:rPr>
          <w:rFonts w:ascii="Verdana" w:hAnsi="Verdana"/>
          <w:sz w:val="20"/>
          <w:szCs w:val="18"/>
        </w:rPr>
      </w:pPr>
      <w:r w:rsidRPr="00920145">
        <w:rPr>
          <w:rFonts w:ascii="Verdana" w:hAnsi="Verdana" w:cs="Arial"/>
          <w:sz w:val="20"/>
          <w:szCs w:val="18"/>
        </w:rPr>
        <w:t xml:space="preserve">Warunkiem koniecznym realizacji zleceń i zawarcia transakcji jest obecność </w:t>
      </w:r>
      <w:r w:rsidRPr="00920145">
        <w:rPr>
          <w:rFonts w:ascii="Verdana" w:hAnsi="Verdana" w:cs="Arial"/>
          <w:sz w:val="20"/>
          <w:szCs w:val="18"/>
        </w:rPr>
        <w:br/>
        <w:t xml:space="preserve">w arkuszu zlecenia/zleceń animatora, </w:t>
      </w:r>
      <w:r w:rsidRPr="00920145">
        <w:rPr>
          <w:rFonts w:ascii="Verdana" w:hAnsi="Verdana"/>
          <w:sz w:val="20"/>
          <w:szCs w:val="18"/>
        </w:rPr>
        <w:t xml:space="preserve">do utrzymywania którego/których w danym czasie animator jest zobowiązany, w zależności od </w:t>
      </w:r>
      <w:r w:rsidRPr="00920145">
        <w:rPr>
          <w:rFonts w:ascii="Verdana" w:hAnsi="Verdana" w:cs="Arial"/>
          <w:sz w:val="20"/>
          <w:szCs w:val="18"/>
        </w:rPr>
        <w:t>stanu, jaki obowiązuje dla danego instrumentu (określanego na bieżąco przez animatora),</w:t>
      </w:r>
      <w:r w:rsidRPr="00920145">
        <w:rPr>
          <w:rFonts w:ascii="Verdana" w:hAnsi="Verdana"/>
          <w:sz w:val="20"/>
          <w:szCs w:val="18"/>
        </w:rPr>
        <w:t xml:space="preserve"> zgodnie z przepisami niniejszego Działu.”;</w:t>
      </w:r>
    </w:p>
    <w:p w14:paraId="1EEA37E9" w14:textId="1A99FAF9" w:rsidR="005C6936" w:rsidRPr="00920145" w:rsidRDefault="005C6936" w:rsidP="009762AD">
      <w:pPr>
        <w:pStyle w:val="Akapitzlist"/>
        <w:numPr>
          <w:ilvl w:val="0"/>
          <w:numId w:val="110"/>
        </w:numPr>
        <w:spacing w:after="240" w:line="360" w:lineRule="auto"/>
        <w:ind w:hanging="169"/>
        <w:contextualSpacing w:val="0"/>
        <w:jc w:val="both"/>
        <w:rPr>
          <w:rFonts w:ascii="Verdana" w:hAnsi="Verdana" w:cs="Arial"/>
          <w:sz w:val="20"/>
          <w:szCs w:val="18"/>
        </w:rPr>
      </w:pPr>
      <w:r w:rsidRPr="00920145">
        <w:rPr>
          <w:rFonts w:ascii="Verdana" w:hAnsi="Verdana" w:cs="Arial"/>
          <w:sz w:val="20"/>
          <w:szCs w:val="18"/>
        </w:rPr>
        <w:t>w § 28 uchyla się pkt 1);</w:t>
      </w:r>
    </w:p>
    <w:p w14:paraId="46ABF2A8" w14:textId="0B298B51" w:rsidR="005C6936" w:rsidRPr="00920145" w:rsidRDefault="005C6936" w:rsidP="009762AD">
      <w:pPr>
        <w:pStyle w:val="Akapitzlist"/>
        <w:numPr>
          <w:ilvl w:val="0"/>
          <w:numId w:val="110"/>
        </w:numPr>
        <w:spacing w:after="120" w:line="360" w:lineRule="auto"/>
        <w:ind w:hanging="169"/>
        <w:contextualSpacing w:val="0"/>
        <w:jc w:val="both"/>
        <w:rPr>
          <w:rFonts w:ascii="Verdana" w:hAnsi="Verdana" w:cs="Arial"/>
          <w:sz w:val="20"/>
          <w:szCs w:val="18"/>
        </w:rPr>
      </w:pPr>
      <w:r w:rsidRPr="00920145">
        <w:rPr>
          <w:rFonts w:ascii="Verdana" w:hAnsi="Verdana" w:cs="Arial"/>
          <w:sz w:val="20"/>
          <w:szCs w:val="18"/>
        </w:rPr>
        <w:t>§ 29 otrzymuje brzmienie:</w:t>
      </w:r>
    </w:p>
    <w:p w14:paraId="1D2F860D" w14:textId="38005EFA" w:rsidR="005C6936" w:rsidRPr="00920145" w:rsidRDefault="005C6936" w:rsidP="00A23201">
      <w:pPr>
        <w:pStyle w:val="Akapitzlist"/>
        <w:spacing w:after="120" w:line="360" w:lineRule="auto"/>
        <w:ind w:left="709"/>
        <w:contextualSpacing w:val="0"/>
        <w:jc w:val="both"/>
        <w:rPr>
          <w:rFonts w:ascii="Verdana" w:hAnsi="Verdana" w:cs="Arial"/>
          <w:sz w:val="20"/>
          <w:szCs w:val="18"/>
        </w:rPr>
      </w:pPr>
      <w:r w:rsidRPr="00920145">
        <w:rPr>
          <w:rFonts w:ascii="Verdana" w:hAnsi="Verdana" w:cs="Arial"/>
          <w:sz w:val="20"/>
          <w:szCs w:val="18"/>
        </w:rPr>
        <w:t>„§ 29</w:t>
      </w:r>
    </w:p>
    <w:p w14:paraId="03F53E49" w14:textId="044CF75E" w:rsidR="005C6936" w:rsidRPr="00920145" w:rsidRDefault="005C6936" w:rsidP="00F8716B">
      <w:pPr>
        <w:numPr>
          <w:ilvl w:val="3"/>
          <w:numId w:val="74"/>
        </w:numPr>
        <w:tabs>
          <w:tab w:val="left" w:pos="709"/>
          <w:tab w:val="left" w:pos="993"/>
        </w:tabs>
        <w:spacing w:after="120" w:line="360" w:lineRule="auto"/>
        <w:ind w:left="709" w:firstLine="0"/>
        <w:jc w:val="both"/>
        <w:rPr>
          <w:rFonts w:ascii="Verdana" w:hAnsi="Verdana" w:cs="Arial"/>
          <w:b/>
          <w:bCs/>
          <w:color w:val="FF0000"/>
          <w:sz w:val="20"/>
          <w:szCs w:val="18"/>
        </w:rPr>
      </w:pPr>
      <w:r w:rsidRPr="00920145">
        <w:rPr>
          <w:rFonts w:ascii="Verdana" w:hAnsi="Verdana"/>
          <w:sz w:val="20"/>
          <w:szCs w:val="20"/>
        </w:rPr>
        <w:t xml:space="preserve">W przypadku, gdy wolumen znajdujących się w arkuszu zleceń maklerskich niebędących zleceniami animatora z limitem ceny mieszczącym się </w:t>
      </w:r>
      <w:r w:rsidR="00202E46" w:rsidRPr="00920145">
        <w:rPr>
          <w:rFonts w:ascii="Verdana" w:hAnsi="Verdana"/>
          <w:sz w:val="20"/>
          <w:szCs w:val="20"/>
        </w:rPr>
        <w:br/>
      </w:r>
      <w:r w:rsidRPr="00920145">
        <w:rPr>
          <w:rFonts w:ascii="Verdana" w:hAnsi="Verdana"/>
          <w:sz w:val="20"/>
          <w:szCs w:val="20"/>
        </w:rPr>
        <w:t>w granicach spreadu animatora i spełniających warunki realizacji, jest większy od  składanego na giełdę zlecenia niebędącego zleceniem animatora, to zlecenie takie jest realizowane w całości.</w:t>
      </w:r>
    </w:p>
    <w:p w14:paraId="72632DBD" w14:textId="17BA91F7" w:rsidR="005C6936" w:rsidRPr="00920145" w:rsidRDefault="005C6936" w:rsidP="00F8716B">
      <w:pPr>
        <w:pStyle w:val="Akapitzlist"/>
        <w:numPr>
          <w:ilvl w:val="3"/>
          <w:numId w:val="74"/>
        </w:numPr>
        <w:tabs>
          <w:tab w:val="left" w:pos="426"/>
          <w:tab w:val="left" w:pos="993"/>
        </w:tabs>
        <w:spacing w:after="240" w:line="360" w:lineRule="auto"/>
        <w:ind w:left="709" w:firstLine="0"/>
        <w:contextualSpacing w:val="0"/>
        <w:jc w:val="both"/>
        <w:rPr>
          <w:rFonts w:ascii="Verdana" w:hAnsi="Verdana" w:cs="Arial"/>
          <w:b/>
          <w:bCs/>
          <w:color w:val="FF0000"/>
          <w:sz w:val="20"/>
          <w:szCs w:val="18"/>
        </w:rPr>
      </w:pPr>
      <w:r w:rsidRPr="00920145">
        <w:rPr>
          <w:rFonts w:ascii="Verdana" w:hAnsi="Verdana"/>
          <w:sz w:val="20"/>
          <w:szCs w:val="20"/>
        </w:rPr>
        <w:t xml:space="preserve">W przypadku, gdy wolumen znajdujących się w arkuszu zleceń maklerskich niebędących zleceniami animatora z limitem ceny mieszczącym się </w:t>
      </w:r>
      <w:r w:rsidR="00202E46" w:rsidRPr="00920145">
        <w:rPr>
          <w:rFonts w:ascii="Verdana" w:hAnsi="Verdana"/>
          <w:sz w:val="20"/>
          <w:szCs w:val="20"/>
        </w:rPr>
        <w:br/>
      </w:r>
      <w:r w:rsidRPr="00920145">
        <w:rPr>
          <w:rFonts w:ascii="Verdana" w:hAnsi="Verdana"/>
          <w:sz w:val="20"/>
          <w:szCs w:val="20"/>
        </w:rPr>
        <w:t xml:space="preserve">w granicach spreadu animatora i spełniających warunki realizacji jest mniejszy od składanego na giełdę zlecenia niebędącego zleceniem animatora, to zlecenie takie jest realizowane częściowo, a niezrealizowana część tego zlecenia </w:t>
      </w:r>
      <w:r w:rsidRPr="00920145">
        <w:rPr>
          <w:rFonts w:ascii="Verdana" w:hAnsi="Verdana"/>
          <w:sz w:val="20"/>
          <w:szCs w:val="18"/>
        </w:rPr>
        <w:t>oczekuje poza arkuszem zleceń na rozkrosowanie,  zaś do animatora rynku zostaje wysłany komunikat ZOR.”;</w:t>
      </w:r>
    </w:p>
    <w:p w14:paraId="5F3C81E3" w14:textId="07AAFBCF" w:rsidR="00236CBB" w:rsidRPr="00920145" w:rsidRDefault="005C6936" w:rsidP="009762AD">
      <w:pPr>
        <w:pStyle w:val="Akapitzlist"/>
        <w:numPr>
          <w:ilvl w:val="0"/>
          <w:numId w:val="110"/>
        </w:numPr>
        <w:spacing w:after="240" w:line="360" w:lineRule="auto"/>
        <w:ind w:hanging="169"/>
        <w:contextualSpacing w:val="0"/>
        <w:jc w:val="both"/>
        <w:rPr>
          <w:rFonts w:ascii="Verdana" w:hAnsi="Verdana" w:cs="Arial"/>
          <w:sz w:val="20"/>
          <w:szCs w:val="18"/>
        </w:rPr>
      </w:pPr>
      <w:r w:rsidRPr="00920145">
        <w:rPr>
          <w:rFonts w:ascii="Verdana" w:hAnsi="Verdana" w:cs="Arial"/>
          <w:sz w:val="20"/>
          <w:szCs w:val="18"/>
        </w:rPr>
        <w:t xml:space="preserve">w Rozdziale 6 uchyla się </w:t>
      </w:r>
      <w:r w:rsidR="000A208B" w:rsidRPr="00920145">
        <w:rPr>
          <w:rFonts w:ascii="Verdana" w:hAnsi="Verdana" w:cs="Arial"/>
          <w:sz w:val="20"/>
          <w:szCs w:val="18"/>
        </w:rPr>
        <w:t xml:space="preserve">Oddział </w:t>
      </w:r>
      <w:r w:rsidRPr="00920145">
        <w:rPr>
          <w:rFonts w:ascii="Verdana" w:hAnsi="Verdana" w:cs="Arial"/>
          <w:sz w:val="20"/>
          <w:szCs w:val="18"/>
        </w:rPr>
        <w:t>2</w:t>
      </w:r>
      <w:r w:rsidR="00DF6B1B" w:rsidRPr="00920145">
        <w:rPr>
          <w:rFonts w:ascii="Verdana" w:hAnsi="Verdana" w:cs="Arial"/>
          <w:sz w:val="20"/>
          <w:szCs w:val="18"/>
        </w:rPr>
        <w:t xml:space="preserve"> </w:t>
      </w:r>
      <w:r w:rsidR="00B60A17" w:rsidRPr="00920145">
        <w:rPr>
          <w:rFonts w:ascii="Verdana" w:hAnsi="Verdana" w:cs="Arial"/>
          <w:sz w:val="20"/>
          <w:szCs w:val="18"/>
        </w:rPr>
        <w:t>(</w:t>
      </w:r>
      <w:r w:rsidR="00236CBB" w:rsidRPr="00920145">
        <w:rPr>
          <w:rFonts w:ascii="Verdana" w:hAnsi="Verdana" w:cs="Arial"/>
          <w:sz w:val="20"/>
          <w:szCs w:val="18"/>
        </w:rPr>
        <w:t>§ 30 i 31</w:t>
      </w:r>
      <w:r w:rsidR="00B60A17" w:rsidRPr="00920145">
        <w:rPr>
          <w:rFonts w:ascii="Verdana" w:hAnsi="Verdana" w:cs="Arial"/>
          <w:sz w:val="20"/>
          <w:szCs w:val="18"/>
        </w:rPr>
        <w:t>)</w:t>
      </w:r>
      <w:r w:rsidR="00236CBB" w:rsidRPr="00920145">
        <w:rPr>
          <w:rFonts w:ascii="Verdana" w:hAnsi="Verdana" w:cs="Arial"/>
          <w:sz w:val="20"/>
          <w:szCs w:val="18"/>
        </w:rPr>
        <w:t>;</w:t>
      </w:r>
    </w:p>
    <w:p w14:paraId="458AE487" w14:textId="5D6601DB" w:rsidR="00F909B2" w:rsidRPr="00920145" w:rsidRDefault="00F909B2" w:rsidP="00F909B2">
      <w:pPr>
        <w:spacing w:after="240" w:line="360" w:lineRule="auto"/>
        <w:jc w:val="both"/>
        <w:rPr>
          <w:rFonts w:ascii="Verdana" w:hAnsi="Verdana" w:cs="Arial"/>
          <w:sz w:val="20"/>
          <w:szCs w:val="18"/>
        </w:rPr>
      </w:pPr>
    </w:p>
    <w:p w14:paraId="2D620A33" w14:textId="77777777" w:rsidR="00F909B2" w:rsidRPr="00920145" w:rsidRDefault="00F909B2" w:rsidP="00F909B2">
      <w:pPr>
        <w:spacing w:after="240" w:line="360" w:lineRule="auto"/>
        <w:jc w:val="both"/>
        <w:rPr>
          <w:rFonts w:ascii="Verdana" w:hAnsi="Verdana" w:cs="Arial"/>
          <w:sz w:val="20"/>
          <w:szCs w:val="18"/>
        </w:rPr>
      </w:pPr>
    </w:p>
    <w:p w14:paraId="714FF7B2" w14:textId="0E844459" w:rsidR="005C6936" w:rsidRPr="00920145" w:rsidRDefault="005C6936" w:rsidP="009762AD">
      <w:pPr>
        <w:pStyle w:val="Akapitzlist"/>
        <w:numPr>
          <w:ilvl w:val="0"/>
          <w:numId w:val="110"/>
        </w:numPr>
        <w:spacing w:after="120" w:line="360" w:lineRule="auto"/>
        <w:ind w:hanging="169"/>
        <w:contextualSpacing w:val="0"/>
        <w:jc w:val="both"/>
        <w:rPr>
          <w:rFonts w:ascii="Verdana" w:hAnsi="Verdana" w:cs="Arial"/>
          <w:sz w:val="20"/>
          <w:szCs w:val="18"/>
        </w:rPr>
      </w:pPr>
      <w:r w:rsidRPr="00920145">
        <w:rPr>
          <w:rFonts w:ascii="Verdana" w:hAnsi="Verdana" w:cs="Arial"/>
          <w:sz w:val="20"/>
          <w:szCs w:val="18"/>
        </w:rPr>
        <w:lastRenderedPageBreak/>
        <w:t>w Rozdziale 6 w Oddziale 3 nazwa Tytułu 1 otrzymuje brzmienie:</w:t>
      </w:r>
    </w:p>
    <w:p w14:paraId="72EB1C13" w14:textId="162AA31F" w:rsidR="005C6936" w:rsidRPr="00920145" w:rsidRDefault="005C6936" w:rsidP="007F3581">
      <w:pPr>
        <w:pStyle w:val="Akapitzlist"/>
        <w:spacing w:after="240" w:line="360" w:lineRule="auto"/>
        <w:ind w:left="567"/>
        <w:contextualSpacing w:val="0"/>
        <w:jc w:val="both"/>
        <w:rPr>
          <w:rFonts w:ascii="Verdana" w:hAnsi="Verdana" w:cs="Arial"/>
          <w:sz w:val="20"/>
          <w:szCs w:val="18"/>
        </w:rPr>
      </w:pPr>
      <w:r w:rsidRPr="00920145">
        <w:rPr>
          <w:rFonts w:ascii="Verdana" w:hAnsi="Verdana" w:cs="Arial"/>
          <w:sz w:val="20"/>
          <w:szCs w:val="18"/>
        </w:rPr>
        <w:t>„Zasady ogólne”;</w:t>
      </w:r>
    </w:p>
    <w:p w14:paraId="7C79A004" w14:textId="27373A68" w:rsidR="005C6936" w:rsidRPr="00920145" w:rsidRDefault="005C6936" w:rsidP="006F0280">
      <w:pPr>
        <w:pStyle w:val="Akapitzlist"/>
        <w:numPr>
          <w:ilvl w:val="0"/>
          <w:numId w:val="110"/>
        </w:numPr>
        <w:spacing w:after="120" w:line="360" w:lineRule="auto"/>
        <w:ind w:hanging="169"/>
        <w:contextualSpacing w:val="0"/>
        <w:jc w:val="both"/>
        <w:rPr>
          <w:rFonts w:ascii="Verdana" w:hAnsi="Verdana" w:cs="Arial"/>
          <w:sz w:val="20"/>
          <w:szCs w:val="18"/>
        </w:rPr>
      </w:pPr>
      <w:r w:rsidRPr="00920145">
        <w:rPr>
          <w:rFonts w:ascii="Verdana" w:hAnsi="Verdana" w:cs="Arial"/>
          <w:sz w:val="20"/>
          <w:szCs w:val="18"/>
        </w:rPr>
        <w:t>§ 32 otrzymuje brzmienie:</w:t>
      </w:r>
    </w:p>
    <w:p w14:paraId="0CC8665A" w14:textId="21B9CD4A" w:rsidR="005C6936" w:rsidRPr="00920145" w:rsidRDefault="005C6936" w:rsidP="007F3581">
      <w:pPr>
        <w:pStyle w:val="Akapitzlist"/>
        <w:spacing w:after="120" w:line="360" w:lineRule="auto"/>
        <w:ind w:left="567"/>
        <w:contextualSpacing w:val="0"/>
        <w:jc w:val="both"/>
        <w:rPr>
          <w:rFonts w:ascii="Verdana" w:hAnsi="Verdana" w:cs="Arial"/>
          <w:sz w:val="20"/>
          <w:szCs w:val="18"/>
        </w:rPr>
      </w:pPr>
      <w:r w:rsidRPr="00920145">
        <w:rPr>
          <w:rFonts w:ascii="Verdana" w:hAnsi="Verdana" w:cs="Arial"/>
          <w:sz w:val="20"/>
          <w:szCs w:val="18"/>
        </w:rPr>
        <w:t>„§ 32</w:t>
      </w:r>
    </w:p>
    <w:p w14:paraId="4C109EC6" w14:textId="64F63195" w:rsidR="005C6936" w:rsidRPr="00920145" w:rsidRDefault="005C6936" w:rsidP="00F8716B">
      <w:pPr>
        <w:numPr>
          <w:ilvl w:val="0"/>
          <w:numId w:val="75"/>
        </w:numPr>
        <w:tabs>
          <w:tab w:val="clear" w:pos="397"/>
          <w:tab w:val="left" w:pos="1134"/>
        </w:tabs>
        <w:spacing w:after="120" w:line="360" w:lineRule="auto"/>
        <w:ind w:left="709" w:firstLine="0"/>
        <w:jc w:val="both"/>
        <w:rPr>
          <w:rFonts w:ascii="Verdana" w:hAnsi="Verdana" w:cs="Arial"/>
          <w:sz w:val="20"/>
          <w:szCs w:val="18"/>
        </w:rPr>
      </w:pPr>
      <w:r w:rsidRPr="00920145">
        <w:rPr>
          <w:rFonts w:ascii="Verdana" w:hAnsi="Verdana" w:cs="Arial"/>
          <w:sz w:val="20"/>
          <w:szCs w:val="18"/>
        </w:rPr>
        <w:t xml:space="preserve">W fazie notowań ciągłych zlecenia maklerskie niebędące zleceniami animatora spełniające warunki realizacji ze zleceniem animatora rynku nie podlegają natychmiastowej realizacji, lecz oczekują na ujawnienie w arkuszu zleceń podczas rozkrosowania, do czasu złożenia przez animatora </w:t>
      </w:r>
      <w:r w:rsidRPr="00920145">
        <w:rPr>
          <w:rFonts w:ascii="Verdana" w:hAnsi="Verdana"/>
          <w:sz w:val="20"/>
          <w:szCs w:val="18"/>
        </w:rPr>
        <w:t xml:space="preserve">nowego zlecenia/nowych zleceń </w:t>
      </w:r>
      <w:r w:rsidRPr="00920145">
        <w:rPr>
          <w:rFonts w:ascii="Verdana" w:hAnsi="Verdana" w:cs="Arial"/>
          <w:sz w:val="20"/>
          <w:szCs w:val="18"/>
        </w:rPr>
        <w:t xml:space="preserve">w odpowiedzi na komunikat ZOR albo </w:t>
      </w:r>
      <w:r w:rsidRPr="00920145">
        <w:rPr>
          <w:rFonts w:ascii="Verdana" w:hAnsi="Verdana"/>
          <w:sz w:val="20"/>
          <w:szCs w:val="18"/>
        </w:rPr>
        <w:t>upływu Czasu Opóźnienia Odpowiedzi Animatora.</w:t>
      </w:r>
    </w:p>
    <w:p w14:paraId="34A7F3F0" w14:textId="5653D7F5" w:rsidR="005C6936" w:rsidRPr="00920145" w:rsidRDefault="005C6936" w:rsidP="00F8716B">
      <w:pPr>
        <w:numPr>
          <w:ilvl w:val="0"/>
          <w:numId w:val="75"/>
        </w:numPr>
        <w:tabs>
          <w:tab w:val="clear" w:pos="397"/>
          <w:tab w:val="left" w:pos="1134"/>
        </w:tabs>
        <w:spacing w:after="120" w:line="360" w:lineRule="auto"/>
        <w:ind w:left="709" w:firstLine="0"/>
        <w:jc w:val="both"/>
        <w:rPr>
          <w:rFonts w:ascii="Verdana" w:hAnsi="Verdana" w:cs="Arial"/>
          <w:sz w:val="20"/>
          <w:szCs w:val="18"/>
        </w:rPr>
      </w:pPr>
      <w:r w:rsidRPr="00920145">
        <w:rPr>
          <w:rFonts w:ascii="Verdana" w:hAnsi="Verdana" w:cs="Arial"/>
          <w:sz w:val="20"/>
          <w:szCs w:val="18"/>
        </w:rPr>
        <w:t xml:space="preserve">Po złożeniu </w:t>
      </w:r>
      <w:r w:rsidRPr="00920145">
        <w:rPr>
          <w:rFonts w:ascii="Verdana" w:hAnsi="Verdana"/>
          <w:sz w:val="20"/>
          <w:szCs w:val="18"/>
        </w:rPr>
        <w:t>przez animatora nowego zlecenia/nowych zleceń</w:t>
      </w:r>
      <w:r w:rsidRPr="00920145">
        <w:rPr>
          <w:rFonts w:ascii="Verdana" w:hAnsi="Verdana" w:cs="Arial"/>
          <w:sz w:val="20"/>
          <w:szCs w:val="18"/>
        </w:rPr>
        <w:t xml:space="preserve"> </w:t>
      </w:r>
      <w:r w:rsidR="007F3581" w:rsidRPr="00920145">
        <w:rPr>
          <w:rFonts w:ascii="Verdana" w:hAnsi="Verdana" w:cs="Arial"/>
          <w:sz w:val="20"/>
          <w:szCs w:val="18"/>
        </w:rPr>
        <w:br/>
      </w:r>
      <w:r w:rsidRPr="00920145">
        <w:rPr>
          <w:rFonts w:ascii="Verdana" w:hAnsi="Verdana" w:cs="Arial"/>
          <w:sz w:val="20"/>
          <w:szCs w:val="18"/>
        </w:rPr>
        <w:t xml:space="preserve">w odpowiedzi na komunikat ZOR lub </w:t>
      </w:r>
      <w:r w:rsidRPr="00920145">
        <w:rPr>
          <w:rFonts w:ascii="Verdana" w:hAnsi="Verdana"/>
          <w:sz w:val="20"/>
          <w:szCs w:val="18"/>
        </w:rPr>
        <w:t>albo po upływie Czasu Opóźnienia Odpowiedzi Animatora, zlecenia oczekujące na realizację poza arkuszem zleceń podlegają ujawnieniu i/lub realizacji zgodnie z zasadami rozkrosowania.</w:t>
      </w:r>
    </w:p>
    <w:p w14:paraId="2A460825" w14:textId="0D813FB9" w:rsidR="005C6936" w:rsidRPr="00920145" w:rsidRDefault="005C6936" w:rsidP="007F3581">
      <w:pPr>
        <w:numPr>
          <w:ilvl w:val="0"/>
          <w:numId w:val="75"/>
        </w:numPr>
        <w:tabs>
          <w:tab w:val="clear" w:pos="397"/>
          <w:tab w:val="left" w:pos="1134"/>
        </w:tabs>
        <w:spacing w:after="240" w:line="360" w:lineRule="auto"/>
        <w:ind w:left="709" w:firstLine="0"/>
        <w:jc w:val="both"/>
        <w:rPr>
          <w:rFonts w:ascii="Verdana" w:hAnsi="Verdana" w:cs="Arial"/>
          <w:sz w:val="20"/>
          <w:szCs w:val="18"/>
        </w:rPr>
      </w:pPr>
      <w:r w:rsidRPr="00920145">
        <w:rPr>
          <w:rFonts w:ascii="Verdana" w:hAnsi="Verdana" w:cs="Arial"/>
          <w:sz w:val="20"/>
          <w:szCs w:val="18"/>
        </w:rPr>
        <w:t xml:space="preserve">W fazie notowań ciągłych zlecenia maklerskie niebędące zleceniami animatora niespełniające warunków realizacji są ujawniane w arkuszu zleceń i </w:t>
      </w:r>
      <w:r w:rsidRPr="00920145">
        <w:rPr>
          <w:rFonts w:ascii="Verdana" w:hAnsi="Verdana"/>
          <w:sz w:val="20"/>
          <w:szCs w:val="20"/>
        </w:rPr>
        <w:t>oczekują na realizację w notowaniach ciągłych</w:t>
      </w:r>
      <w:r w:rsidRPr="00920145">
        <w:rPr>
          <w:rFonts w:ascii="Verdana" w:hAnsi="Verdana" w:cs="Arial"/>
          <w:sz w:val="20"/>
          <w:szCs w:val="18"/>
        </w:rPr>
        <w:t xml:space="preserve">.”; </w:t>
      </w:r>
    </w:p>
    <w:p w14:paraId="3F9087A0" w14:textId="37145DB9" w:rsidR="006E4C55" w:rsidRPr="00920145" w:rsidRDefault="007F3581" w:rsidP="00793AB4">
      <w:pPr>
        <w:pStyle w:val="Akapitzlist"/>
        <w:numPr>
          <w:ilvl w:val="0"/>
          <w:numId w:val="110"/>
        </w:numPr>
        <w:tabs>
          <w:tab w:val="clear" w:pos="453"/>
          <w:tab w:val="num" w:pos="709"/>
        </w:tabs>
        <w:spacing w:after="120" w:line="360" w:lineRule="auto"/>
        <w:ind w:left="709" w:hanging="425"/>
        <w:contextualSpacing w:val="0"/>
        <w:jc w:val="both"/>
        <w:rPr>
          <w:rFonts w:ascii="Verdana" w:hAnsi="Verdana" w:cs="Arial"/>
          <w:sz w:val="20"/>
          <w:szCs w:val="18"/>
        </w:rPr>
      </w:pPr>
      <w:r w:rsidRPr="00920145">
        <w:rPr>
          <w:rFonts w:ascii="Verdana" w:hAnsi="Verdana" w:cs="Arial"/>
          <w:sz w:val="20"/>
          <w:szCs w:val="18"/>
        </w:rPr>
        <w:t>w</w:t>
      </w:r>
      <w:r w:rsidR="009B39B3" w:rsidRPr="00920145">
        <w:rPr>
          <w:rFonts w:ascii="Verdana" w:hAnsi="Verdana" w:cs="Arial"/>
          <w:sz w:val="20"/>
          <w:szCs w:val="18"/>
        </w:rPr>
        <w:t xml:space="preserve"> Rozdziale 6 w Oddziale 3 </w:t>
      </w:r>
      <w:r w:rsidR="006E4C55" w:rsidRPr="00920145">
        <w:rPr>
          <w:rFonts w:ascii="Verdana" w:hAnsi="Verdana" w:cs="Arial"/>
          <w:sz w:val="20"/>
          <w:szCs w:val="18"/>
        </w:rPr>
        <w:t xml:space="preserve">skreśla się oznaczenia i nazwy </w:t>
      </w:r>
      <w:r w:rsidR="009B39B3" w:rsidRPr="00920145">
        <w:rPr>
          <w:rFonts w:ascii="Verdana" w:hAnsi="Verdana" w:cs="Arial"/>
          <w:sz w:val="20"/>
          <w:szCs w:val="18"/>
        </w:rPr>
        <w:t>Tytuł</w:t>
      </w:r>
      <w:r w:rsidR="00136519" w:rsidRPr="00920145">
        <w:rPr>
          <w:rFonts w:ascii="Verdana" w:hAnsi="Verdana" w:cs="Arial"/>
          <w:sz w:val="20"/>
          <w:szCs w:val="18"/>
        </w:rPr>
        <w:t>ów</w:t>
      </w:r>
      <w:r w:rsidR="009B39B3" w:rsidRPr="00920145">
        <w:rPr>
          <w:rFonts w:ascii="Verdana" w:hAnsi="Verdana" w:cs="Arial"/>
          <w:sz w:val="20"/>
          <w:szCs w:val="18"/>
        </w:rPr>
        <w:t xml:space="preserve"> 2</w:t>
      </w:r>
      <w:r w:rsidRPr="00920145">
        <w:rPr>
          <w:rFonts w:ascii="Verdana" w:hAnsi="Verdana" w:cs="Arial"/>
          <w:sz w:val="20"/>
          <w:szCs w:val="18"/>
        </w:rPr>
        <w:t xml:space="preserve"> i 3</w:t>
      </w:r>
      <w:r w:rsidR="006E4C55" w:rsidRPr="00920145">
        <w:rPr>
          <w:rFonts w:ascii="Verdana" w:hAnsi="Verdana" w:cs="Arial"/>
          <w:sz w:val="20"/>
          <w:szCs w:val="18"/>
        </w:rPr>
        <w:t>, zaś</w:t>
      </w:r>
      <w:r w:rsidR="000A637B" w:rsidRPr="00920145">
        <w:rPr>
          <w:rFonts w:ascii="Verdana" w:hAnsi="Verdana" w:cs="Arial"/>
          <w:sz w:val="20"/>
          <w:szCs w:val="18"/>
        </w:rPr>
        <w:t xml:space="preserve"> </w:t>
      </w:r>
      <w:r w:rsidR="00BA63DC" w:rsidRPr="00920145">
        <w:rPr>
          <w:rFonts w:ascii="Verdana" w:hAnsi="Verdana" w:cs="Arial"/>
          <w:sz w:val="20"/>
          <w:szCs w:val="18"/>
        </w:rPr>
        <w:t xml:space="preserve"> </w:t>
      </w:r>
      <w:r w:rsidR="000A637B" w:rsidRPr="00920145">
        <w:rPr>
          <w:rFonts w:ascii="Verdana" w:hAnsi="Verdana" w:cs="Arial"/>
          <w:sz w:val="20"/>
          <w:szCs w:val="18"/>
        </w:rPr>
        <w:t>Tytuł 4 oznacza jako Tytuł 2</w:t>
      </w:r>
      <w:r w:rsidR="006E4C55" w:rsidRPr="00920145">
        <w:rPr>
          <w:rFonts w:ascii="Verdana" w:hAnsi="Verdana" w:cs="Arial"/>
          <w:sz w:val="20"/>
          <w:szCs w:val="18"/>
        </w:rPr>
        <w:t xml:space="preserve">, który otrzymuje nazwę: </w:t>
      </w:r>
    </w:p>
    <w:p w14:paraId="2FC9037C" w14:textId="77777777" w:rsidR="006E4C55" w:rsidRPr="00920145" w:rsidRDefault="006E4C55" w:rsidP="00793AB4">
      <w:pPr>
        <w:pStyle w:val="Akapitzlist"/>
        <w:spacing w:after="240" w:line="360" w:lineRule="auto"/>
        <w:ind w:left="453" w:firstLine="255"/>
        <w:contextualSpacing w:val="0"/>
        <w:jc w:val="both"/>
        <w:rPr>
          <w:rFonts w:ascii="Verdana" w:hAnsi="Verdana" w:cs="Arial"/>
          <w:sz w:val="20"/>
          <w:szCs w:val="18"/>
        </w:rPr>
      </w:pPr>
      <w:r w:rsidRPr="00920145">
        <w:rPr>
          <w:rFonts w:ascii="Verdana" w:hAnsi="Verdana" w:cs="Arial"/>
          <w:sz w:val="20"/>
          <w:szCs w:val="18"/>
        </w:rPr>
        <w:t>„Realizacja zleceń w procesie rozkrosowania”</w:t>
      </w:r>
      <w:r w:rsidR="007F3581" w:rsidRPr="00920145">
        <w:rPr>
          <w:rFonts w:ascii="Verdana" w:hAnsi="Verdana" w:cs="Arial"/>
          <w:sz w:val="20"/>
          <w:szCs w:val="18"/>
        </w:rPr>
        <w:t xml:space="preserve">; </w:t>
      </w:r>
    </w:p>
    <w:p w14:paraId="21847823" w14:textId="6777BD8E" w:rsidR="007F3581" w:rsidRPr="00920145" w:rsidRDefault="006E4C55" w:rsidP="00136519">
      <w:pPr>
        <w:pStyle w:val="Akapitzlist"/>
        <w:numPr>
          <w:ilvl w:val="0"/>
          <w:numId w:val="110"/>
        </w:numPr>
        <w:spacing w:after="240" w:line="360" w:lineRule="auto"/>
        <w:ind w:hanging="169"/>
        <w:contextualSpacing w:val="0"/>
        <w:jc w:val="both"/>
        <w:rPr>
          <w:rFonts w:ascii="Verdana" w:hAnsi="Verdana" w:cs="Arial"/>
          <w:sz w:val="20"/>
          <w:szCs w:val="18"/>
        </w:rPr>
      </w:pPr>
      <w:r w:rsidRPr="00920145">
        <w:rPr>
          <w:rFonts w:ascii="Verdana" w:hAnsi="Verdana" w:cs="Arial"/>
          <w:sz w:val="20"/>
          <w:szCs w:val="18"/>
        </w:rPr>
        <w:t xml:space="preserve">uchyla się § 33 i 34; </w:t>
      </w:r>
    </w:p>
    <w:p w14:paraId="46D12D62" w14:textId="071F3728" w:rsidR="009B39B3" w:rsidRPr="00920145" w:rsidRDefault="007B1BD6" w:rsidP="00CF0805">
      <w:pPr>
        <w:pStyle w:val="Akapitzlist"/>
        <w:numPr>
          <w:ilvl w:val="0"/>
          <w:numId w:val="110"/>
        </w:numPr>
        <w:spacing w:after="120" w:line="360" w:lineRule="auto"/>
        <w:ind w:left="454" w:hanging="170"/>
        <w:contextualSpacing w:val="0"/>
        <w:jc w:val="both"/>
        <w:rPr>
          <w:rFonts w:ascii="Verdana" w:hAnsi="Verdana" w:cs="Arial"/>
          <w:sz w:val="20"/>
          <w:szCs w:val="18"/>
        </w:rPr>
      </w:pPr>
      <w:r w:rsidRPr="00920145">
        <w:rPr>
          <w:rFonts w:ascii="Verdana" w:hAnsi="Verdana" w:cs="Arial"/>
          <w:sz w:val="20"/>
          <w:szCs w:val="18"/>
        </w:rPr>
        <w:t>§ 35 otrzymuje brzmienie:</w:t>
      </w:r>
    </w:p>
    <w:p w14:paraId="3D76530A" w14:textId="6FA68459" w:rsidR="007B1BD6" w:rsidRPr="00920145" w:rsidRDefault="007B1BD6" w:rsidP="00A23201">
      <w:pPr>
        <w:pStyle w:val="Akapitzlist"/>
        <w:spacing w:after="120" w:line="360" w:lineRule="auto"/>
        <w:ind w:left="709"/>
        <w:contextualSpacing w:val="0"/>
        <w:jc w:val="both"/>
        <w:rPr>
          <w:rFonts w:ascii="Verdana" w:hAnsi="Verdana" w:cs="Arial"/>
          <w:sz w:val="20"/>
          <w:szCs w:val="18"/>
        </w:rPr>
      </w:pPr>
      <w:r w:rsidRPr="00920145">
        <w:rPr>
          <w:rFonts w:ascii="Verdana" w:hAnsi="Verdana" w:cs="Arial"/>
          <w:sz w:val="20"/>
          <w:szCs w:val="18"/>
        </w:rPr>
        <w:t>„§ 35</w:t>
      </w:r>
    </w:p>
    <w:p w14:paraId="59B2A1BC" w14:textId="77777777" w:rsidR="007B1BD6" w:rsidRPr="00920145" w:rsidRDefault="007B1BD6" w:rsidP="00F8716B">
      <w:pPr>
        <w:numPr>
          <w:ilvl w:val="6"/>
          <w:numId w:val="76"/>
        </w:numPr>
        <w:tabs>
          <w:tab w:val="clear" w:pos="360"/>
          <w:tab w:val="num" w:pos="709"/>
          <w:tab w:val="left" w:pos="1134"/>
        </w:tabs>
        <w:spacing w:after="120" w:line="360" w:lineRule="auto"/>
        <w:ind w:left="709" w:firstLine="0"/>
        <w:jc w:val="both"/>
        <w:rPr>
          <w:rFonts w:ascii="Verdana" w:hAnsi="Verdana" w:cs="Arial"/>
          <w:sz w:val="20"/>
          <w:szCs w:val="18"/>
        </w:rPr>
      </w:pPr>
      <w:r w:rsidRPr="00920145">
        <w:rPr>
          <w:rFonts w:ascii="Verdana" w:hAnsi="Verdana" w:cs="Arial"/>
          <w:sz w:val="20"/>
          <w:szCs w:val="18"/>
        </w:rPr>
        <w:t xml:space="preserve">Proces rozkrosowania i ujawnienia zleceń </w:t>
      </w:r>
      <w:r w:rsidRPr="00920145">
        <w:rPr>
          <w:rFonts w:ascii="Verdana" w:hAnsi="Verdana"/>
          <w:sz w:val="20"/>
          <w:szCs w:val="18"/>
        </w:rPr>
        <w:t xml:space="preserve">maklerskich niebędących zleceniami animatora </w:t>
      </w:r>
      <w:r w:rsidRPr="00920145">
        <w:rPr>
          <w:rFonts w:ascii="Verdana" w:hAnsi="Verdana" w:cs="Arial"/>
          <w:sz w:val="20"/>
          <w:szCs w:val="18"/>
        </w:rPr>
        <w:t>w arkuszu zleceń zachodzi na zakończenie:</w:t>
      </w:r>
    </w:p>
    <w:p w14:paraId="34F3859D" w14:textId="77777777" w:rsidR="007B1BD6" w:rsidRPr="00920145" w:rsidRDefault="007B1BD6" w:rsidP="00F8716B">
      <w:pPr>
        <w:numPr>
          <w:ilvl w:val="7"/>
          <w:numId w:val="76"/>
        </w:numPr>
        <w:spacing w:after="120" w:line="360" w:lineRule="auto"/>
        <w:ind w:left="1134" w:hanging="425"/>
        <w:jc w:val="both"/>
        <w:rPr>
          <w:rFonts w:ascii="Verdana" w:hAnsi="Verdana"/>
          <w:sz w:val="20"/>
          <w:szCs w:val="18"/>
        </w:rPr>
      </w:pPr>
      <w:r w:rsidRPr="00920145">
        <w:rPr>
          <w:rFonts w:ascii="Verdana" w:hAnsi="Verdana"/>
          <w:sz w:val="20"/>
          <w:szCs w:val="18"/>
        </w:rPr>
        <w:t>fazy przed otwarciem,</w:t>
      </w:r>
    </w:p>
    <w:p w14:paraId="7D599A1E" w14:textId="77777777" w:rsidR="007B1BD6" w:rsidRPr="00920145" w:rsidRDefault="007B1BD6" w:rsidP="00F8716B">
      <w:pPr>
        <w:numPr>
          <w:ilvl w:val="7"/>
          <w:numId w:val="76"/>
        </w:numPr>
        <w:spacing w:after="120" w:line="360" w:lineRule="auto"/>
        <w:ind w:left="1134" w:hanging="425"/>
        <w:jc w:val="both"/>
        <w:rPr>
          <w:rFonts w:ascii="Verdana" w:hAnsi="Verdana"/>
          <w:sz w:val="20"/>
          <w:szCs w:val="18"/>
        </w:rPr>
      </w:pPr>
      <w:r w:rsidRPr="00920145">
        <w:rPr>
          <w:rFonts w:ascii="Verdana" w:hAnsi="Verdana"/>
          <w:sz w:val="20"/>
          <w:szCs w:val="18"/>
        </w:rPr>
        <w:t xml:space="preserve">okresu Zawieszenie - Brak Animatora,  </w:t>
      </w:r>
    </w:p>
    <w:p w14:paraId="717A790A" w14:textId="77777777" w:rsidR="007B1BD6" w:rsidRPr="00920145" w:rsidRDefault="007B1BD6" w:rsidP="00F8716B">
      <w:pPr>
        <w:numPr>
          <w:ilvl w:val="7"/>
          <w:numId w:val="76"/>
        </w:numPr>
        <w:spacing w:after="120" w:line="360" w:lineRule="auto"/>
        <w:ind w:left="1134" w:hanging="425"/>
        <w:jc w:val="both"/>
        <w:rPr>
          <w:rFonts w:ascii="Verdana" w:hAnsi="Verdana"/>
          <w:sz w:val="20"/>
          <w:szCs w:val="18"/>
        </w:rPr>
      </w:pPr>
      <w:r w:rsidRPr="00920145">
        <w:rPr>
          <w:rFonts w:ascii="Verdana" w:hAnsi="Verdana"/>
          <w:sz w:val="20"/>
          <w:szCs w:val="18"/>
        </w:rPr>
        <w:t xml:space="preserve">okresu Czas Opóźnienia Odpowiedzi Animatora. </w:t>
      </w:r>
    </w:p>
    <w:p w14:paraId="0282767D" w14:textId="7BDF86AB" w:rsidR="007B1BD6" w:rsidRPr="00920145" w:rsidRDefault="007B1BD6" w:rsidP="00F8716B">
      <w:pPr>
        <w:numPr>
          <w:ilvl w:val="6"/>
          <w:numId w:val="76"/>
        </w:numPr>
        <w:tabs>
          <w:tab w:val="clear" w:pos="360"/>
          <w:tab w:val="num" w:pos="709"/>
          <w:tab w:val="left" w:pos="1134"/>
        </w:tabs>
        <w:spacing w:after="120" w:line="360" w:lineRule="auto"/>
        <w:ind w:left="709" w:firstLine="0"/>
        <w:jc w:val="both"/>
        <w:rPr>
          <w:rFonts w:ascii="Verdana" w:hAnsi="Verdana"/>
          <w:sz w:val="20"/>
          <w:szCs w:val="18"/>
        </w:rPr>
      </w:pPr>
      <w:r w:rsidRPr="00920145">
        <w:rPr>
          <w:rFonts w:ascii="Verdana" w:hAnsi="Verdana"/>
          <w:sz w:val="20"/>
          <w:szCs w:val="18"/>
        </w:rPr>
        <w:t xml:space="preserve">Zlecenia przekazane na giełdę, a niezrealizowane przed rozpoczęciem danej sesji, oczekujące na ujawnienie w arkuszu zleceń są szeregowane zgodnie z priorytetem ceny, a następnie priorytetem czasu przyjęcia na giełdę.  </w:t>
      </w:r>
    </w:p>
    <w:p w14:paraId="620844A4" w14:textId="5480CF08" w:rsidR="007B1BD6" w:rsidRPr="00920145" w:rsidRDefault="007B1BD6" w:rsidP="00F8716B">
      <w:pPr>
        <w:numPr>
          <w:ilvl w:val="6"/>
          <w:numId w:val="76"/>
        </w:numPr>
        <w:tabs>
          <w:tab w:val="clear" w:pos="360"/>
          <w:tab w:val="num" w:pos="709"/>
          <w:tab w:val="left" w:pos="1134"/>
        </w:tabs>
        <w:spacing w:after="120" w:line="360" w:lineRule="auto"/>
        <w:ind w:left="709" w:firstLine="0"/>
        <w:jc w:val="both"/>
        <w:rPr>
          <w:rFonts w:ascii="Verdana" w:hAnsi="Verdana"/>
          <w:sz w:val="20"/>
          <w:szCs w:val="18"/>
        </w:rPr>
      </w:pPr>
      <w:r w:rsidRPr="00920145">
        <w:rPr>
          <w:rFonts w:ascii="Verdana" w:hAnsi="Verdana"/>
          <w:sz w:val="20"/>
          <w:szCs w:val="18"/>
        </w:rPr>
        <w:lastRenderedPageBreak/>
        <w:t>Zlecenia przekazane na giełdę w trakcie fazy przed otwarciem oczekujące na ujawnienie w arkuszu zleceń są szeregowane zgodnie z priorytetem czasu przyjęcia na giełdę.</w:t>
      </w:r>
    </w:p>
    <w:p w14:paraId="228E0AC5" w14:textId="77777777" w:rsidR="004B2944" w:rsidRPr="00920145" w:rsidRDefault="007B1BD6" w:rsidP="00F8716B">
      <w:pPr>
        <w:numPr>
          <w:ilvl w:val="6"/>
          <w:numId w:val="76"/>
        </w:numPr>
        <w:tabs>
          <w:tab w:val="clear" w:pos="360"/>
          <w:tab w:val="num" w:pos="709"/>
          <w:tab w:val="left" w:pos="1134"/>
        </w:tabs>
        <w:spacing w:after="120" w:line="360" w:lineRule="auto"/>
        <w:ind w:left="709" w:firstLine="0"/>
        <w:jc w:val="both"/>
        <w:rPr>
          <w:rFonts w:ascii="Verdana" w:hAnsi="Verdana"/>
          <w:sz w:val="20"/>
          <w:szCs w:val="18"/>
        </w:rPr>
      </w:pPr>
      <w:r w:rsidRPr="00920145">
        <w:rPr>
          <w:rFonts w:ascii="Verdana" w:hAnsi="Verdana"/>
          <w:sz w:val="20"/>
          <w:szCs w:val="18"/>
        </w:rPr>
        <w:t xml:space="preserve">W pierwszej kolejności są szeregowane zlecenia, o których mowa </w:t>
      </w:r>
      <w:r w:rsidR="004B2944" w:rsidRPr="00920145">
        <w:rPr>
          <w:rFonts w:ascii="Verdana" w:hAnsi="Verdana"/>
          <w:sz w:val="20"/>
          <w:szCs w:val="18"/>
        </w:rPr>
        <w:br/>
      </w:r>
      <w:r w:rsidRPr="00920145">
        <w:rPr>
          <w:rFonts w:ascii="Verdana" w:hAnsi="Verdana"/>
          <w:sz w:val="20"/>
          <w:szCs w:val="18"/>
        </w:rPr>
        <w:t>w ust. 2, a następnie są szeregowane zlecenia, o których mowa w ust. 3 (według zasad określonych odpowiednio w tych ustępach).</w:t>
      </w:r>
    </w:p>
    <w:p w14:paraId="59381922" w14:textId="4C6A0752" w:rsidR="007B1BD6" w:rsidRPr="00920145" w:rsidRDefault="007B1BD6" w:rsidP="00F8716B">
      <w:pPr>
        <w:numPr>
          <w:ilvl w:val="6"/>
          <w:numId w:val="76"/>
        </w:numPr>
        <w:tabs>
          <w:tab w:val="clear" w:pos="360"/>
          <w:tab w:val="num" w:pos="709"/>
          <w:tab w:val="left" w:pos="993"/>
          <w:tab w:val="left" w:pos="1134"/>
        </w:tabs>
        <w:spacing w:after="120" w:line="360" w:lineRule="auto"/>
        <w:ind w:left="709" w:firstLine="0"/>
        <w:jc w:val="both"/>
        <w:rPr>
          <w:rFonts w:ascii="Verdana" w:hAnsi="Verdana"/>
          <w:sz w:val="20"/>
          <w:szCs w:val="18"/>
        </w:rPr>
      </w:pPr>
      <w:r w:rsidRPr="00920145">
        <w:rPr>
          <w:rFonts w:ascii="Verdana" w:hAnsi="Verdana"/>
          <w:sz w:val="20"/>
          <w:szCs w:val="18"/>
        </w:rPr>
        <w:t xml:space="preserve"> W procesie rozkrosowania zlecenia oczekujące na ujawnienie w arkuszu zleceń są przekazywane do arkusza zleceń, zgodnie z ich wcześniejszym uszeregowaniem według zasad określonych w ust. 4, i natychmiast ujawniane w arkuszu oraz realizowane, a jeżeli natychmiastowa realizacja nie jest możliwa – ujawniane w arkuszu zgodnie z priorytetem ceny, a następnie priorytetem czasu ich przyjęcia na giełdę.</w:t>
      </w:r>
    </w:p>
    <w:p w14:paraId="5829162D" w14:textId="1B8336F0" w:rsidR="007B1BD6" w:rsidRPr="00920145" w:rsidRDefault="007B1BD6" w:rsidP="00F8716B">
      <w:pPr>
        <w:numPr>
          <w:ilvl w:val="6"/>
          <w:numId w:val="76"/>
        </w:numPr>
        <w:tabs>
          <w:tab w:val="clear" w:pos="360"/>
          <w:tab w:val="num" w:pos="709"/>
          <w:tab w:val="left" w:pos="993"/>
          <w:tab w:val="left" w:pos="1134"/>
          <w:tab w:val="left" w:pos="1276"/>
        </w:tabs>
        <w:spacing w:after="120" w:line="360" w:lineRule="auto"/>
        <w:ind w:left="709" w:firstLine="0"/>
        <w:jc w:val="both"/>
        <w:rPr>
          <w:rFonts w:ascii="Verdana" w:hAnsi="Verdana"/>
          <w:sz w:val="20"/>
          <w:szCs w:val="18"/>
        </w:rPr>
      </w:pPr>
      <w:r w:rsidRPr="00920145">
        <w:rPr>
          <w:rFonts w:ascii="Verdana" w:hAnsi="Verdana" w:cs="Arial"/>
          <w:sz w:val="20"/>
          <w:szCs w:val="18"/>
        </w:rPr>
        <w:t>Jeżeli w trakcie rozkrosowania zlecenie maklerskie niebędące zleceniem animatora spełnia warunki realizacji ze zleceniem animatora rynku, zlecenie to podlega natychmiastowej realizacji, a do animatora nie jest wysyłany komunikat ZOR</w:t>
      </w:r>
      <w:r w:rsidRPr="00920145">
        <w:rPr>
          <w:rFonts w:ascii="Verdana" w:hAnsi="Verdana"/>
          <w:sz w:val="20"/>
          <w:szCs w:val="18"/>
        </w:rPr>
        <w:t>.</w:t>
      </w:r>
    </w:p>
    <w:p w14:paraId="3B449A9C" w14:textId="77777777" w:rsidR="007B1BD6" w:rsidRPr="00920145" w:rsidRDefault="007B1BD6" w:rsidP="00F8716B">
      <w:pPr>
        <w:numPr>
          <w:ilvl w:val="6"/>
          <w:numId w:val="76"/>
        </w:numPr>
        <w:tabs>
          <w:tab w:val="clear" w:pos="360"/>
          <w:tab w:val="num" w:pos="709"/>
          <w:tab w:val="left" w:pos="993"/>
          <w:tab w:val="left" w:pos="1134"/>
          <w:tab w:val="left" w:pos="1276"/>
        </w:tabs>
        <w:spacing w:after="120" w:line="360" w:lineRule="auto"/>
        <w:ind w:left="709" w:firstLine="0"/>
        <w:jc w:val="both"/>
        <w:rPr>
          <w:rFonts w:ascii="Verdana" w:hAnsi="Verdana"/>
          <w:sz w:val="20"/>
          <w:szCs w:val="18"/>
        </w:rPr>
      </w:pPr>
      <w:r w:rsidRPr="00920145">
        <w:rPr>
          <w:rFonts w:ascii="Verdana" w:hAnsi="Verdana"/>
          <w:sz w:val="20"/>
          <w:szCs w:val="18"/>
        </w:rPr>
        <w:t xml:space="preserve">Proces rozkrosowania zostaje zakończony, gdy: </w:t>
      </w:r>
    </w:p>
    <w:p w14:paraId="51EC197A" w14:textId="77777777" w:rsidR="007B1BD6" w:rsidRPr="00920145" w:rsidRDefault="007B1BD6" w:rsidP="00793AB4">
      <w:pPr>
        <w:numPr>
          <w:ilvl w:val="7"/>
          <w:numId w:val="76"/>
        </w:numPr>
        <w:tabs>
          <w:tab w:val="left" w:pos="1134"/>
        </w:tabs>
        <w:spacing w:after="120" w:line="360" w:lineRule="auto"/>
        <w:ind w:left="1134" w:hanging="283"/>
        <w:jc w:val="both"/>
        <w:rPr>
          <w:rFonts w:ascii="Verdana" w:hAnsi="Verdana" w:cs="Arial"/>
          <w:sz w:val="20"/>
          <w:szCs w:val="18"/>
        </w:rPr>
      </w:pPr>
      <w:r w:rsidRPr="00920145">
        <w:rPr>
          <w:rFonts w:ascii="Verdana" w:hAnsi="Verdana"/>
          <w:sz w:val="20"/>
          <w:szCs w:val="20"/>
        </w:rPr>
        <w:t xml:space="preserve">w arkuszu zleceń nie ma już zleceń spełniających warunki realizacji (istnieje rynek zleceń rozbieżnych), albo </w:t>
      </w:r>
    </w:p>
    <w:p w14:paraId="699A501C" w14:textId="77777777" w:rsidR="007B1BD6" w:rsidRPr="00920145" w:rsidRDefault="007B1BD6" w:rsidP="00793AB4">
      <w:pPr>
        <w:numPr>
          <w:ilvl w:val="7"/>
          <w:numId w:val="76"/>
        </w:numPr>
        <w:tabs>
          <w:tab w:val="left" w:pos="1134"/>
        </w:tabs>
        <w:spacing w:after="120" w:line="360" w:lineRule="auto"/>
        <w:ind w:left="1134" w:hanging="283"/>
        <w:jc w:val="both"/>
        <w:rPr>
          <w:rFonts w:ascii="Verdana" w:hAnsi="Verdana" w:cs="Arial"/>
          <w:sz w:val="20"/>
          <w:szCs w:val="18"/>
        </w:rPr>
      </w:pPr>
      <w:r w:rsidRPr="00920145">
        <w:rPr>
          <w:rFonts w:ascii="Verdana" w:hAnsi="Verdana"/>
          <w:sz w:val="20"/>
          <w:szCs w:val="20"/>
        </w:rPr>
        <w:t xml:space="preserve">dla instrumentu, dla którego obowiązuje Stan Podstawowy - jedno ze zleceń animatora zostało zrealizowane w całości, albo </w:t>
      </w:r>
    </w:p>
    <w:p w14:paraId="60002680" w14:textId="77777777" w:rsidR="007B1BD6" w:rsidRPr="00920145" w:rsidRDefault="007B1BD6" w:rsidP="00793AB4">
      <w:pPr>
        <w:numPr>
          <w:ilvl w:val="7"/>
          <w:numId w:val="76"/>
        </w:numPr>
        <w:tabs>
          <w:tab w:val="left" w:pos="1134"/>
        </w:tabs>
        <w:spacing w:after="120" w:line="360" w:lineRule="auto"/>
        <w:ind w:left="1134" w:hanging="283"/>
        <w:jc w:val="both"/>
        <w:rPr>
          <w:rFonts w:ascii="Verdana" w:hAnsi="Verdana" w:cs="Arial"/>
          <w:sz w:val="20"/>
          <w:szCs w:val="18"/>
        </w:rPr>
      </w:pPr>
      <w:r w:rsidRPr="00920145">
        <w:rPr>
          <w:rFonts w:ascii="Verdana" w:hAnsi="Verdana"/>
          <w:sz w:val="20"/>
          <w:szCs w:val="20"/>
        </w:rPr>
        <w:t>dla instrumentu, dla którego obowiązuje stan Tylko Zlecenie Kupna – zlecenie kupna animatora zostało zrealizowane w całości.</w:t>
      </w:r>
    </w:p>
    <w:p w14:paraId="00D1DEA9" w14:textId="618A5EAF" w:rsidR="007B1BD6" w:rsidRPr="00920145" w:rsidRDefault="007B1BD6" w:rsidP="00F8716B">
      <w:pPr>
        <w:numPr>
          <w:ilvl w:val="6"/>
          <w:numId w:val="76"/>
        </w:numPr>
        <w:tabs>
          <w:tab w:val="clear" w:pos="360"/>
          <w:tab w:val="num" w:pos="993"/>
        </w:tabs>
        <w:spacing w:after="240" w:line="360" w:lineRule="auto"/>
        <w:ind w:left="709" w:firstLine="0"/>
        <w:jc w:val="both"/>
        <w:rPr>
          <w:rFonts w:ascii="Verdana" w:hAnsi="Verdana"/>
          <w:sz w:val="20"/>
          <w:szCs w:val="18"/>
        </w:rPr>
      </w:pPr>
      <w:r w:rsidRPr="00920145">
        <w:rPr>
          <w:rFonts w:ascii="Verdana" w:hAnsi="Verdana"/>
          <w:sz w:val="20"/>
          <w:szCs w:val="18"/>
        </w:rPr>
        <w:t>Jeżeli w wyniku rozkrosowania zlecenie animatora zostało/zlecenia animatora zostały – w zależności od stanu obowiązującego dla danego instrumentu - zrealizowane w całości</w:t>
      </w:r>
      <w:r w:rsidR="00236CBB" w:rsidRPr="00920145">
        <w:rPr>
          <w:rFonts w:ascii="Verdana" w:hAnsi="Verdana"/>
          <w:sz w:val="20"/>
          <w:szCs w:val="18"/>
        </w:rPr>
        <w:t>,</w:t>
      </w:r>
      <w:r w:rsidRPr="00920145">
        <w:rPr>
          <w:rFonts w:ascii="Verdana" w:hAnsi="Verdana"/>
          <w:sz w:val="20"/>
          <w:szCs w:val="18"/>
        </w:rPr>
        <w:t xml:space="preserve"> następuje zawieszenie obrotu  (Zawieszenie – Brak Animatora).”; </w:t>
      </w:r>
    </w:p>
    <w:p w14:paraId="1C3C1428" w14:textId="05C53A92" w:rsidR="009D6491" w:rsidRPr="00920145" w:rsidRDefault="009D6491" w:rsidP="009762AD">
      <w:pPr>
        <w:pStyle w:val="Akapitzlist"/>
        <w:numPr>
          <w:ilvl w:val="0"/>
          <w:numId w:val="110"/>
        </w:numPr>
        <w:spacing w:after="120" w:line="360" w:lineRule="auto"/>
        <w:ind w:hanging="169"/>
        <w:contextualSpacing w:val="0"/>
        <w:jc w:val="both"/>
        <w:rPr>
          <w:rFonts w:ascii="Verdana" w:hAnsi="Verdana"/>
          <w:sz w:val="20"/>
          <w:szCs w:val="18"/>
        </w:rPr>
      </w:pPr>
      <w:r w:rsidRPr="00920145">
        <w:rPr>
          <w:rFonts w:ascii="Verdana" w:hAnsi="Verdana"/>
          <w:sz w:val="20"/>
          <w:szCs w:val="18"/>
        </w:rPr>
        <w:t>§ 38 otrzymuje brzmienie:</w:t>
      </w:r>
    </w:p>
    <w:p w14:paraId="0C2DF032" w14:textId="166C6FB2" w:rsidR="009D6491" w:rsidRPr="00920145" w:rsidRDefault="009D6491" w:rsidP="00A23201">
      <w:pPr>
        <w:pStyle w:val="Akapitzlist"/>
        <w:spacing w:after="120" w:line="360" w:lineRule="auto"/>
        <w:ind w:left="709"/>
        <w:contextualSpacing w:val="0"/>
        <w:jc w:val="both"/>
        <w:rPr>
          <w:rFonts w:ascii="Verdana" w:hAnsi="Verdana"/>
          <w:sz w:val="20"/>
          <w:szCs w:val="18"/>
        </w:rPr>
      </w:pPr>
      <w:r w:rsidRPr="00920145">
        <w:rPr>
          <w:rFonts w:ascii="Verdana" w:hAnsi="Verdana"/>
          <w:sz w:val="20"/>
          <w:szCs w:val="18"/>
        </w:rPr>
        <w:t>„§ 38</w:t>
      </w:r>
    </w:p>
    <w:p w14:paraId="0DF70906" w14:textId="77777777" w:rsidR="009D6491" w:rsidRPr="00920145" w:rsidRDefault="009D6491" w:rsidP="00F8716B">
      <w:pPr>
        <w:numPr>
          <w:ilvl w:val="6"/>
          <w:numId w:val="77"/>
        </w:numPr>
        <w:tabs>
          <w:tab w:val="clear" w:pos="360"/>
          <w:tab w:val="num" w:pos="709"/>
          <w:tab w:val="left" w:pos="993"/>
        </w:tabs>
        <w:spacing w:after="120" w:line="360" w:lineRule="auto"/>
        <w:ind w:left="709" w:firstLine="0"/>
        <w:jc w:val="both"/>
        <w:rPr>
          <w:rFonts w:ascii="Verdana" w:hAnsi="Verdana" w:cs="Arial"/>
          <w:bCs/>
          <w:sz w:val="20"/>
          <w:szCs w:val="20"/>
        </w:rPr>
      </w:pPr>
      <w:r w:rsidRPr="00920145">
        <w:rPr>
          <w:rFonts w:ascii="Verdana" w:hAnsi="Verdana"/>
          <w:sz w:val="20"/>
          <w:szCs w:val="20"/>
        </w:rPr>
        <w:t xml:space="preserve">W systemie animatora rynku obrót instrumentami strukturyzowanymi może zostać zawieszony w szczególności w przypadku: </w:t>
      </w:r>
    </w:p>
    <w:p w14:paraId="5921F210" w14:textId="76FF427A" w:rsidR="009D6491" w:rsidRPr="00920145" w:rsidRDefault="009D6491" w:rsidP="00F8716B">
      <w:pPr>
        <w:numPr>
          <w:ilvl w:val="1"/>
          <w:numId w:val="78"/>
        </w:numPr>
        <w:tabs>
          <w:tab w:val="left" w:pos="1134"/>
        </w:tabs>
        <w:spacing w:after="120" w:line="360" w:lineRule="auto"/>
        <w:ind w:hanging="11"/>
        <w:jc w:val="both"/>
        <w:rPr>
          <w:rFonts w:ascii="Verdana" w:hAnsi="Verdana"/>
          <w:sz w:val="20"/>
          <w:szCs w:val="20"/>
        </w:rPr>
      </w:pPr>
      <w:r w:rsidRPr="00920145">
        <w:rPr>
          <w:rFonts w:ascii="Verdana" w:hAnsi="Verdana"/>
          <w:sz w:val="20"/>
          <w:szCs w:val="20"/>
        </w:rPr>
        <w:t xml:space="preserve">braku w arkuszu zlecenia/zleceń animatora, do utrzymywania którego/których w danym czasie (dla danego stanu instrumentu) animator </w:t>
      </w:r>
      <w:r w:rsidRPr="00920145">
        <w:rPr>
          <w:rFonts w:ascii="Verdana" w:hAnsi="Verdana"/>
          <w:sz w:val="20"/>
          <w:szCs w:val="20"/>
        </w:rPr>
        <w:lastRenderedPageBreak/>
        <w:t xml:space="preserve">jest zobowiązany zgodnie z </w:t>
      </w:r>
      <w:r w:rsidRPr="00920145">
        <w:rPr>
          <w:rFonts w:ascii="Verdana" w:hAnsi="Verdana" w:cs="Arial"/>
          <w:spacing w:val="-3"/>
          <w:sz w:val="20"/>
          <w:szCs w:val="20"/>
        </w:rPr>
        <w:t>przepisami niniejszego Działu</w:t>
      </w:r>
      <w:r w:rsidRPr="00920145">
        <w:rPr>
          <w:rFonts w:ascii="Verdana" w:hAnsi="Verdana"/>
          <w:sz w:val="20"/>
          <w:szCs w:val="20"/>
        </w:rPr>
        <w:t xml:space="preserve"> („Zawieszenie - Brak Animatora”); </w:t>
      </w:r>
    </w:p>
    <w:p w14:paraId="06502336" w14:textId="77777777" w:rsidR="009D6491" w:rsidRPr="00920145" w:rsidRDefault="009D6491" w:rsidP="00F8716B">
      <w:pPr>
        <w:pStyle w:val="Tekstpodstawowy"/>
        <w:numPr>
          <w:ilvl w:val="1"/>
          <w:numId w:val="78"/>
        </w:numPr>
        <w:tabs>
          <w:tab w:val="left" w:pos="1134"/>
        </w:tabs>
        <w:spacing w:line="360" w:lineRule="auto"/>
        <w:ind w:hanging="11"/>
        <w:rPr>
          <w:rFonts w:cs="Arial"/>
          <w:szCs w:val="20"/>
        </w:rPr>
      </w:pPr>
      <w:r w:rsidRPr="00920145">
        <w:rPr>
          <w:rFonts w:cs="Verdana"/>
          <w:color w:val="000000"/>
          <w:szCs w:val="20"/>
        </w:rPr>
        <w:t>zajścia</w:t>
      </w:r>
      <w:r w:rsidRPr="00920145">
        <w:rPr>
          <w:szCs w:val="20"/>
        </w:rPr>
        <w:t xml:space="preserve"> zdarzenia, które zgodnie z informacjami zamieszczonymi we właściwym dokumencie powoduje zawieszenie obrotu, wygaśnięcie lub obowiązek wykupu danych</w:t>
      </w:r>
      <w:r w:rsidRPr="00920145">
        <w:rPr>
          <w:spacing w:val="-3"/>
          <w:szCs w:val="20"/>
        </w:rPr>
        <w:t xml:space="preserve"> instrumentów strukturyzowanych </w:t>
      </w:r>
      <w:r w:rsidRPr="00920145">
        <w:rPr>
          <w:szCs w:val="20"/>
        </w:rPr>
        <w:t xml:space="preserve">przez ich emitenta (zdarzenie knock-out), lub wystąpienia innej okoliczności skutkującej przedterminowym wykupem/umorzeniem wszystkich </w:t>
      </w:r>
      <w:r w:rsidRPr="00920145">
        <w:rPr>
          <w:spacing w:val="-3"/>
          <w:szCs w:val="20"/>
        </w:rPr>
        <w:t>instrumentów strukturyzowanych oznaczonych danym kodem ISIN lub</w:t>
      </w:r>
      <w:r w:rsidRPr="00920145">
        <w:rPr>
          <w:szCs w:val="20"/>
        </w:rPr>
        <w:t xml:space="preserve"> umorzenia wszystkich instrumentów strukturyzowanych oznaczonych danym kodem ISIN w wyniku decyzji ich emitenta („Zawieszenie - Knock-out”).</w:t>
      </w:r>
    </w:p>
    <w:p w14:paraId="4B638876" w14:textId="77777777" w:rsidR="009D6491" w:rsidRPr="00920145" w:rsidRDefault="009D6491" w:rsidP="00F8716B">
      <w:pPr>
        <w:numPr>
          <w:ilvl w:val="6"/>
          <w:numId w:val="77"/>
        </w:numPr>
        <w:tabs>
          <w:tab w:val="left" w:pos="993"/>
        </w:tabs>
        <w:spacing w:after="120" w:line="360" w:lineRule="auto"/>
        <w:ind w:firstLine="349"/>
        <w:jc w:val="both"/>
        <w:rPr>
          <w:rFonts w:ascii="Verdana" w:hAnsi="Verdana"/>
          <w:sz w:val="20"/>
          <w:szCs w:val="20"/>
        </w:rPr>
      </w:pPr>
      <w:r w:rsidRPr="00920145">
        <w:rPr>
          <w:rFonts w:ascii="Verdana" w:hAnsi="Verdana"/>
          <w:sz w:val="20"/>
          <w:szCs w:val="20"/>
        </w:rPr>
        <w:t>W przypadkach, o których mowa w ust. 1:</w:t>
      </w:r>
    </w:p>
    <w:p w14:paraId="4476F966" w14:textId="40396E87" w:rsidR="009D6491" w:rsidRPr="00920145" w:rsidRDefault="009D6491" w:rsidP="00F8716B">
      <w:pPr>
        <w:numPr>
          <w:ilvl w:val="0"/>
          <w:numId w:val="79"/>
        </w:numPr>
        <w:tabs>
          <w:tab w:val="clear" w:pos="1080"/>
          <w:tab w:val="num" w:pos="709"/>
          <w:tab w:val="left" w:pos="993"/>
        </w:tabs>
        <w:spacing w:after="120" w:line="360" w:lineRule="auto"/>
        <w:ind w:hanging="48"/>
        <w:jc w:val="both"/>
        <w:rPr>
          <w:rFonts w:ascii="Verdana" w:hAnsi="Verdana"/>
          <w:sz w:val="20"/>
          <w:szCs w:val="20"/>
        </w:rPr>
      </w:pPr>
      <w:r w:rsidRPr="00920145">
        <w:rPr>
          <w:rFonts w:ascii="Verdana" w:hAnsi="Verdana"/>
          <w:sz w:val="20"/>
          <w:szCs w:val="20"/>
        </w:rPr>
        <w:t xml:space="preserve">lit. a) </w:t>
      </w:r>
      <w:r w:rsidR="00332676" w:rsidRPr="00920145">
        <w:rPr>
          <w:rFonts w:ascii="Verdana" w:hAnsi="Verdana"/>
          <w:sz w:val="20"/>
          <w:szCs w:val="20"/>
        </w:rPr>
        <w:t xml:space="preserve">- </w:t>
      </w:r>
      <w:r w:rsidRPr="00920145">
        <w:rPr>
          <w:rFonts w:ascii="Verdana" w:hAnsi="Verdana"/>
          <w:sz w:val="20"/>
          <w:szCs w:val="20"/>
        </w:rPr>
        <w:t xml:space="preserve">zawieszenie obrotu następuje automatycznie, </w:t>
      </w:r>
    </w:p>
    <w:p w14:paraId="234A926D" w14:textId="52DE8F9B" w:rsidR="009D6491" w:rsidRPr="00920145" w:rsidRDefault="009D6491" w:rsidP="00607C0E">
      <w:pPr>
        <w:numPr>
          <w:ilvl w:val="0"/>
          <w:numId w:val="79"/>
        </w:numPr>
        <w:tabs>
          <w:tab w:val="clear" w:pos="1080"/>
          <w:tab w:val="num" w:pos="709"/>
          <w:tab w:val="left" w:pos="993"/>
        </w:tabs>
        <w:spacing w:after="240" w:line="360" w:lineRule="auto"/>
        <w:ind w:left="709" w:firstLine="0"/>
        <w:jc w:val="both"/>
        <w:rPr>
          <w:rFonts w:ascii="Verdana" w:hAnsi="Verdana"/>
          <w:sz w:val="20"/>
          <w:szCs w:val="20"/>
        </w:rPr>
      </w:pPr>
      <w:r w:rsidRPr="00920145">
        <w:rPr>
          <w:rFonts w:ascii="Verdana" w:hAnsi="Verdana"/>
          <w:sz w:val="20"/>
          <w:szCs w:val="20"/>
        </w:rPr>
        <w:t xml:space="preserve">lit. b) </w:t>
      </w:r>
      <w:r w:rsidR="00332676" w:rsidRPr="00920145">
        <w:rPr>
          <w:rFonts w:ascii="Verdana" w:hAnsi="Verdana"/>
          <w:sz w:val="20"/>
          <w:szCs w:val="20"/>
        </w:rPr>
        <w:t xml:space="preserve">- zawieszenie obrotu następuje </w:t>
      </w:r>
      <w:r w:rsidRPr="00920145">
        <w:rPr>
          <w:rFonts w:ascii="Verdana" w:hAnsi="Verdana"/>
          <w:sz w:val="20"/>
          <w:szCs w:val="20"/>
        </w:rPr>
        <w:t xml:space="preserve">automatycznie zgodnie z właściwymi przepisami niniejszego Działu albo na podstawie decyzji Zarządu Giełdy lub przewodniczącego sesji.”; </w:t>
      </w:r>
    </w:p>
    <w:p w14:paraId="5905AE0B" w14:textId="7DC9D42D" w:rsidR="009D6491" w:rsidRPr="00920145" w:rsidRDefault="009D6491" w:rsidP="00F909B2">
      <w:pPr>
        <w:pStyle w:val="Akapitzlist"/>
        <w:numPr>
          <w:ilvl w:val="0"/>
          <w:numId w:val="110"/>
        </w:numPr>
        <w:tabs>
          <w:tab w:val="left" w:pos="851"/>
        </w:tabs>
        <w:spacing w:after="240" w:line="360" w:lineRule="auto"/>
        <w:ind w:left="454" w:hanging="170"/>
        <w:contextualSpacing w:val="0"/>
        <w:jc w:val="both"/>
        <w:rPr>
          <w:rFonts w:ascii="Verdana" w:hAnsi="Verdana"/>
          <w:sz w:val="20"/>
          <w:szCs w:val="18"/>
        </w:rPr>
      </w:pPr>
      <w:r w:rsidRPr="00920145">
        <w:rPr>
          <w:rFonts w:ascii="Verdana" w:hAnsi="Verdana"/>
          <w:sz w:val="20"/>
          <w:szCs w:val="18"/>
        </w:rPr>
        <w:t>§ 39</w:t>
      </w:r>
      <w:r w:rsidR="00332676" w:rsidRPr="00920145">
        <w:rPr>
          <w:rFonts w:ascii="Verdana" w:hAnsi="Verdana"/>
          <w:sz w:val="20"/>
          <w:szCs w:val="18"/>
        </w:rPr>
        <w:t xml:space="preserve"> </w:t>
      </w:r>
      <w:r w:rsidRPr="00920145">
        <w:rPr>
          <w:rFonts w:ascii="Verdana" w:hAnsi="Verdana"/>
          <w:sz w:val="20"/>
          <w:szCs w:val="18"/>
        </w:rPr>
        <w:t>otrzymuj</w:t>
      </w:r>
      <w:r w:rsidR="00332676" w:rsidRPr="00920145">
        <w:rPr>
          <w:rFonts w:ascii="Verdana" w:hAnsi="Verdana"/>
          <w:sz w:val="20"/>
          <w:szCs w:val="18"/>
        </w:rPr>
        <w:t>e</w:t>
      </w:r>
      <w:r w:rsidRPr="00920145">
        <w:rPr>
          <w:rFonts w:ascii="Verdana" w:hAnsi="Verdana"/>
          <w:sz w:val="20"/>
          <w:szCs w:val="18"/>
        </w:rPr>
        <w:t xml:space="preserve"> brzmienie:</w:t>
      </w:r>
    </w:p>
    <w:p w14:paraId="736FF4FF" w14:textId="366BDCEE" w:rsidR="00332676" w:rsidRPr="00920145" w:rsidRDefault="009D6491" w:rsidP="00A23201">
      <w:pPr>
        <w:pStyle w:val="Akapitzlist"/>
        <w:tabs>
          <w:tab w:val="left" w:pos="851"/>
        </w:tabs>
        <w:spacing w:after="120" w:line="360" w:lineRule="auto"/>
        <w:ind w:left="851"/>
        <w:contextualSpacing w:val="0"/>
        <w:jc w:val="both"/>
        <w:rPr>
          <w:rFonts w:ascii="Verdana" w:hAnsi="Verdana"/>
          <w:sz w:val="20"/>
          <w:szCs w:val="20"/>
        </w:rPr>
      </w:pPr>
      <w:r w:rsidRPr="00920145">
        <w:rPr>
          <w:rFonts w:ascii="Verdana" w:hAnsi="Verdana"/>
          <w:sz w:val="20"/>
          <w:szCs w:val="20"/>
        </w:rPr>
        <w:t>„</w:t>
      </w:r>
      <w:r w:rsidR="00332676" w:rsidRPr="00920145">
        <w:rPr>
          <w:rFonts w:ascii="Verdana" w:hAnsi="Verdana"/>
          <w:sz w:val="20"/>
          <w:szCs w:val="20"/>
        </w:rPr>
        <w:t>§ 39</w:t>
      </w:r>
    </w:p>
    <w:p w14:paraId="7B53CE5F" w14:textId="77777777" w:rsidR="00332676" w:rsidRPr="00920145" w:rsidRDefault="00332676" w:rsidP="00332676">
      <w:pPr>
        <w:ind w:left="143" w:firstLine="708"/>
        <w:rPr>
          <w:rFonts w:ascii="Verdana" w:hAnsi="Verdana"/>
          <w:b/>
          <w:sz w:val="20"/>
          <w:szCs w:val="20"/>
        </w:rPr>
      </w:pPr>
      <w:bookmarkStart w:id="23" w:name="_Toc306014440"/>
      <w:bookmarkStart w:id="24" w:name="_Toc326079531"/>
      <w:bookmarkStart w:id="25" w:name="_Toc336877752"/>
      <w:r w:rsidRPr="00920145">
        <w:rPr>
          <w:rFonts w:ascii="Verdana" w:hAnsi="Verdana"/>
          <w:b/>
          <w:sz w:val="20"/>
          <w:szCs w:val="20"/>
        </w:rPr>
        <w:t>Zawieszenie - Brak Animatora</w:t>
      </w:r>
      <w:bookmarkEnd w:id="23"/>
      <w:bookmarkEnd w:id="24"/>
      <w:bookmarkEnd w:id="25"/>
    </w:p>
    <w:p w14:paraId="26ED5A4C" w14:textId="32B66C96" w:rsidR="009D6491" w:rsidRPr="00920145" w:rsidRDefault="009D6491" w:rsidP="00A23201">
      <w:pPr>
        <w:pStyle w:val="Akapitzlist"/>
        <w:tabs>
          <w:tab w:val="left" w:pos="851"/>
        </w:tabs>
        <w:spacing w:after="120" w:line="360" w:lineRule="auto"/>
        <w:ind w:left="851"/>
        <w:contextualSpacing w:val="0"/>
        <w:jc w:val="both"/>
        <w:rPr>
          <w:rFonts w:ascii="Verdana" w:hAnsi="Verdana"/>
          <w:sz w:val="20"/>
          <w:szCs w:val="20"/>
        </w:rPr>
      </w:pPr>
      <w:r w:rsidRPr="00920145">
        <w:rPr>
          <w:rFonts w:ascii="Verdana" w:hAnsi="Verdana"/>
          <w:sz w:val="20"/>
          <w:szCs w:val="20"/>
        </w:rPr>
        <w:t xml:space="preserve">1. Zawieszenie obrotu typu Zawieszenie - Brak Animatora może mieć miejsce  wyłącznie w fazie notowań ciągłych. </w:t>
      </w:r>
    </w:p>
    <w:p w14:paraId="7AADEA33" w14:textId="12D0E2EE" w:rsidR="009D6491" w:rsidRPr="00920145" w:rsidRDefault="009D6491" w:rsidP="00A23201">
      <w:pPr>
        <w:tabs>
          <w:tab w:val="left" w:pos="851"/>
        </w:tabs>
        <w:spacing w:after="120" w:line="360" w:lineRule="auto"/>
        <w:ind w:left="851"/>
        <w:jc w:val="both"/>
        <w:rPr>
          <w:rFonts w:ascii="Verdana" w:hAnsi="Verdana"/>
          <w:sz w:val="20"/>
          <w:szCs w:val="20"/>
        </w:rPr>
      </w:pPr>
      <w:r w:rsidRPr="00920145">
        <w:rPr>
          <w:rFonts w:ascii="Verdana" w:hAnsi="Verdana"/>
          <w:sz w:val="20"/>
          <w:szCs w:val="20"/>
        </w:rPr>
        <w:t xml:space="preserve">2. W czasie zawieszenia, o którym mowa w ust. 1, zlecenia maklerskie niebędące zleceniami animatora mogą być składane, modyfikowane oraz anulowane. </w:t>
      </w:r>
    </w:p>
    <w:p w14:paraId="7CFEA980" w14:textId="0965FBBE" w:rsidR="009D6491" w:rsidRPr="00920145" w:rsidRDefault="009D6491" w:rsidP="00332676">
      <w:pPr>
        <w:tabs>
          <w:tab w:val="left" w:pos="851"/>
        </w:tabs>
        <w:spacing w:after="240" w:line="360" w:lineRule="auto"/>
        <w:ind w:left="851"/>
        <w:jc w:val="both"/>
        <w:rPr>
          <w:rFonts w:ascii="Verdana" w:hAnsi="Verdana"/>
          <w:sz w:val="20"/>
          <w:szCs w:val="20"/>
        </w:rPr>
      </w:pPr>
      <w:r w:rsidRPr="00920145">
        <w:rPr>
          <w:rFonts w:ascii="Verdana" w:hAnsi="Verdana"/>
          <w:sz w:val="20"/>
          <w:szCs w:val="20"/>
        </w:rPr>
        <w:t xml:space="preserve">3. Zawieszenie to kończy się z chwilą złożenia przez animatora zlecenia/zleceń wymaganego/wymaganych dla właściwego stanu, zgodnie z </w:t>
      </w:r>
      <w:r w:rsidRPr="00920145">
        <w:rPr>
          <w:rFonts w:ascii="Verdana" w:hAnsi="Verdana" w:cs="Arial"/>
          <w:spacing w:val="-3"/>
          <w:sz w:val="20"/>
          <w:szCs w:val="20"/>
        </w:rPr>
        <w:t>przepisami niniejszego Działu</w:t>
      </w:r>
      <w:r w:rsidRPr="00920145">
        <w:rPr>
          <w:rFonts w:ascii="Verdana" w:hAnsi="Verdana"/>
          <w:sz w:val="20"/>
          <w:szCs w:val="20"/>
        </w:rPr>
        <w:t>.”;</w:t>
      </w:r>
    </w:p>
    <w:p w14:paraId="500CE168" w14:textId="64996BD7" w:rsidR="009D6491" w:rsidRPr="00920145" w:rsidRDefault="009D6491" w:rsidP="00136519">
      <w:pPr>
        <w:pStyle w:val="Akapitzlist"/>
        <w:numPr>
          <w:ilvl w:val="0"/>
          <w:numId w:val="110"/>
        </w:numPr>
        <w:tabs>
          <w:tab w:val="left" w:pos="851"/>
        </w:tabs>
        <w:spacing w:after="240" w:line="360" w:lineRule="auto"/>
        <w:ind w:left="454" w:hanging="170"/>
        <w:contextualSpacing w:val="0"/>
        <w:jc w:val="both"/>
        <w:rPr>
          <w:rFonts w:ascii="Verdana" w:hAnsi="Verdana"/>
          <w:sz w:val="20"/>
          <w:szCs w:val="20"/>
        </w:rPr>
      </w:pPr>
      <w:r w:rsidRPr="00920145">
        <w:rPr>
          <w:rFonts w:ascii="Verdana" w:hAnsi="Verdana"/>
          <w:sz w:val="20"/>
          <w:szCs w:val="20"/>
        </w:rPr>
        <w:t>uchyla się § 40 i § 41;</w:t>
      </w:r>
    </w:p>
    <w:p w14:paraId="035E85E8" w14:textId="37795151" w:rsidR="009D6491" w:rsidRPr="00920145" w:rsidRDefault="00D52F66" w:rsidP="009762AD">
      <w:pPr>
        <w:pStyle w:val="Akapitzlist"/>
        <w:numPr>
          <w:ilvl w:val="0"/>
          <w:numId w:val="110"/>
        </w:numPr>
        <w:tabs>
          <w:tab w:val="left" w:pos="851"/>
        </w:tabs>
        <w:spacing w:after="120" w:line="360" w:lineRule="auto"/>
        <w:ind w:hanging="169"/>
        <w:contextualSpacing w:val="0"/>
        <w:jc w:val="both"/>
        <w:rPr>
          <w:rFonts w:ascii="Verdana" w:hAnsi="Verdana"/>
          <w:sz w:val="20"/>
          <w:szCs w:val="20"/>
        </w:rPr>
      </w:pPr>
      <w:r w:rsidRPr="00920145">
        <w:rPr>
          <w:rFonts w:ascii="Verdana" w:hAnsi="Verdana"/>
          <w:sz w:val="20"/>
          <w:szCs w:val="20"/>
        </w:rPr>
        <w:t>w § 42:</w:t>
      </w:r>
    </w:p>
    <w:p w14:paraId="17BA5675" w14:textId="09412EC2" w:rsidR="00D52F66" w:rsidRPr="00920145" w:rsidRDefault="00136519" w:rsidP="009762AD">
      <w:pPr>
        <w:tabs>
          <w:tab w:val="left" w:pos="284"/>
        </w:tabs>
        <w:spacing w:after="120" w:line="360" w:lineRule="auto"/>
        <w:ind w:left="284"/>
        <w:jc w:val="both"/>
        <w:rPr>
          <w:rFonts w:ascii="Verdana" w:hAnsi="Verdana"/>
          <w:sz w:val="20"/>
          <w:szCs w:val="20"/>
        </w:rPr>
      </w:pPr>
      <w:r w:rsidRPr="00920145">
        <w:rPr>
          <w:rFonts w:ascii="Verdana" w:hAnsi="Verdana"/>
          <w:sz w:val="20"/>
          <w:szCs w:val="20"/>
        </w:rPr>
        <w:tab/>
      </w:r>
      <w:r w:rsidR="009762AD" w:rsidRPr="00920145">
        <w:rPr>
          <w:rFonts w:ascii="Verdana" w:hAnsi="Verdana"/>
          <w:sz w:val="20"/>
          <w:szCs w:val="20"/>
        </w:rPr>
        <w:t xml:space="preserve">a) </w:t>
      </w:r>
      <w:r w:rsidR="001171D8" w:rsidRPr="00920145">
        <w:rPr>
          <w:rFonts w:ascii="Verdana" w:hAnsi="Verdana"/>
          <w:sz w:val="20"/>
          <w:szCs w:val="20"/>
        </w:rPr>
        <w:t>ust. 1 i 2 otrzymują brzmienie:</w:t>
      </w:r>
    </w:p>
    <w:p w14:paraId="389BB2BD" w14:textId="0B452523" w:rsidR="001171D8" w:rsidRPr="00920145" w:rsidRDefault="001171D8" w:rsidP="00136519">
      <w:pPr>
        <w:pStyle w:val="Akapitzlist"/>
        <w:tabs>
          <w:tab w:val="left" w:pos="851"/>
        </w:tabs>
        <w:spacing w:after="120" w:line="360" w:lineRule="auto"/>
        <w:ind w:left="851"/>
        <w:contextualSpacing w:val="0"/>
        <w:jc w:val="both"/>
        <w:rPr>
          <w:rFonts w:ascii="Verdana" w:hAnsi="Verdana"/>
          <w:sz w:val="20"/>
          <w:szCs w:val="20"/>
        </w:rPr>
      </w:pPr>
      <w:r w:rsidRPr="00920145">
        <w:rPr>
          <w:rFonts w:ascii="Verdana" w:hAnsi="Verdana"/>
          <w:sz w:val="20"/>
          <w:szCs w:val="20"/>
        </w:rPr>
        <w:t xml:space="preserve">„1. Zawieszenie obrotu typu „Zawieszenie Knock-out” może mieć miejsce w fazie przed otwarciem lub w fazie notowań ciągłych.  </w:t>
      </w:r>
    </w:p>
    <w:p w14:paraId="4824C916" w14:textId="76AE6BE1" w:rsidR="001171D8" w:rsidRPr="00920145" w:rsidRDefault="001171D8" w:rsidP="00136519">
      <w:pPr>
        <w:tabs>
          <w:tab w:val="left" w:pos="851"/>
        </w:tabs>
        <w:spacing w:after="240" w:line="360" w:lineRule="auto"/>
        <w:ind w:left="851"/>
        <w:jc w:val="both"/>
        <w:rPr>
          <w:rFonts w:ascii="Verdana" w:hAnsi="Verdana"/>
          <w:sz w:val="20"/>
          <w:szCs w:val="20"/>
        </w:rPr>
      </w:pPr>
      <w:r w:rsidRPr="00920145">
        <w:rPr>
          <w:rFonts w:ascii="Verdana" w:hAnsi="Verdana"/>
          <w:sz w:val="20"/>
          <w:szCs w:val="20"/>
        </w:rPr>
        <w:lastRenderedPageBreak/>
        <w:t xml:space="preserve">2. Zawieszenie następuje automatycznie po ziszczeniu się warunków, o których mowa w § 38 ust. 1 lit. b), z zastrzeżeniem ust. 3 i 4.”; </w:t>
      </w:r>
    </w:p>
    <w:p w14:paraId="4B79DC09" w14:textId="5A87BA35" w:rsidR="001171D8" w:rsidRPr="00920145" w:rsidRDefault="00E15A92" w:rsidP="009762AD">
      <w:pPr>
        <w:tabs>
          <w:tab w:val="left" w:pos="142"/>
        </w:tabs>
        <w:spacing w:after="120" w:line="360" w:lineRule="auto"/>
        <w:ind w:left="142" w:firstLine="284"/>
        <w:jc w:val="both"/>
        <w:rPr>
          <w:rFonts w:ascii="Verdana" w:hAnsi="Verdana"/>
          <w:sz w:val="20"/>
          <w:szCs w:val="20"/>
        </w:rPr>
      </w:pPr>
      <w:r w:rsidRPr="00920145">
        <w:rPr>
          <w:rFonts w:ascii="Verdana" w:hAnsi="Verdana"/>
          <w:sz w:val="20"/>
          <w:szCs w:val="20"/>
        </w:rPr>
        <w:tab/>
      </w:r>
      <w:r w:rsidR="00DF6B1B" w:rsidRPr="00920145">
        <w:rPr>
          <w:rFonts w:ascii="Verdana" w:hAnsi="Verdana"/>
          <w:sz w:val="20"/>
          <w:szCs w:val="20"/>
        </w:rPr>
        <w:t xml:space="preserve">b) </w:t>
      </w:r>
      <w:r w:rsidR="001171D8" w:rsidRPr="00920145">
        <w:rPr>
          <w:rFonts w:ascii="Verdana" w:hAnsi="Verdana"/>
          <w:sz w:val="20"/>
          <w:szCs w:val="20"/>
        </w:rPr>
        <w:t>ust. 5 otrzymuje brzmienie:</w:t>
      </w:r>
    </w:p>
    <w:p w14:paraId="005F4355" w14:textId="4056D08D" w:rsidR="00190962" w:rsidRPr="00920145" w:rsidRDefault="001171D8" w:rsidP="00E15A92">
      <w:pPr>
        <w:tabs>
          <w:tab w:val="left" w:pos="851"/>
          <w:tab w:val="left" w:pos="1134"/>
        </w:tabs>
        <w:spacing w:after="240" w:line="360" w:lineRule="auto"/>
        <w:ind w:left="851"/>
        <w:jc w:val="both"/>
        <w:rPr>
          <w:rFonts w:ascii="Verdana" w:hAnsi="Verdana"/>
          <w:sz w:val="20"/>
          <w:szCs w:val="20"/>
        </w:rPr>
      </w:pPr>
      <w:r w:rsidRPr="00920145">
        <w:rPr>
          <w:rFonts w:ascii="Verdana" w:hAnsi="Verdana"/>
          <w:sz w:val="20"/>
          <w:szCs w:val="20"/>
        </w:rPr>
        <w:t xml:space="preserve">„5. W przypadku automatycznego zawieszenia obrotu, o którym mowa </w:t>
      </w:r>
      <w:r w:rsidRPr="00920145">
        <w:rPr>
          <w:rFonts w:ascii="Verdana" w:hAnsi="Verdana"/>
          <w:sz w:val="20"/>
          <w:szCs w:val="20"/>
        </w:rPr>
        <w:br/>
        <w:t>w ust 2, nie mogą być składane nowe zlecenia maklerskie, ani modyfikowane lub anulowane przez członków giełdy zlecenia istniejące w arkuszu.</w:t>
      </w:r>
      <w:r w:rsidR="006B1D3B" w:rsidRPr="00920145">
        <w:rPr>
          <w:rFonts w:ascii="Verdana" w:hAnsi="Verdana"/>
          <w:sz w:val="20"/>
          <w:szCs w:val="20"/>
        </w:rPr>
        <w:t>”;</w:t>
      </w:r>
    </w:p>
    <w:p w14:paraId="4AC5055B" w14:textId="6E1AA2DC" w:rsidR="001171D8" w:rsidRPr="00920145" w:rsidRDefault="006B1D3B" w:rsidP="00F10AD8">
      <w:pPr>
        <w:pStyle w:val="Akapitzlist"/>
        <w:numPr>
          <w:ilvl w:val="0"/>
          <w:numId w:val="110"/>
        </w:numPr>
        <w:tabs>
          <w:tab w:val="left" w:pos="851"/>
        </w:tabs>
        <w:spacing w:after="120" w:line="360" w:lineRule="auto"/>
        <w:ind w:hanging="169"/>
        <w:contextualSpacing w:val="0"/>
        <w:jc w:val="both"/>
        <w:rPr>
          <w:rFonts w:ascii="Verdana" w:hAnsi="Verdana"/>
          <w:sz w:val="20"/>
          <w:szCs w:val="20"/>
        </w:rPr>
      </w:pPr>
      <w:r w:rsidRPr="00920145">
        <w:rPr>
          <w:rFonts w:ascii="Verdana" w:hAnsi="Verdana"/>
          <w:sz w:val="20"/>
          <w:szCs w:val="20"/>
        </w:rPr>
        <w:t>w § 43:</w:t>
      </w:r>
    </w:p>
    <w:p w14:paraId="049A9B80" w14:textId="28EB91AF" w:rsidR="006B1D3B" w:rsidRPr="00920145" w:rsidRDefault="00DF6B1B" w:rsidP="00F10AD8">
      <w:pPr>
        <w:pStyle w:val="Akapitzlist"/>
        <w:tabs>
          <w:tab w:val="left" w:pos="851"/>
        </w:tabs>
        <w:spacing w:after="120" w:line="360" w:lineRule="auto"/>
        <w:ind w:left="284" w:firstLine="283"/>
        <w:contextualSpacing w:val="0"/>
        <w:jc w:val="both"/>
        <w:rPr>
          <w:rFonts w:ascii="Verdana" w:hAnsi="Verdana"/>
          <w:sz w:val="20"/>
          <w:szCs w:val="20"/>
        </w:rPr>
      </w:pPr>
      <w:r w:rsidRPr="00920145">
        <w:rPr>
          <w:rFonts w:ascii="Verdana" w:hAnsi="Verdana"/>
          <w:sz w:val="20"/>
          <w:szCs w:val="20"/>
        </w:rPr>
        <w:t xml:space="preserve">a) </w:t>
      </w:r>
      <w:r w:rsidR="006B1D3B" w:rsidRPr="00920145">
        <w:rPr>
          <w:rFonts w:ascii="Verdana" w:hAnsi="Verdana"/>
          <w:sz w:val="20"/>
          <w:szCs w:val="20"/>
        </w:rPr>
        <w:t>ust. 2 otrzymuje brzmienie:</w:t>
      </w:r>
    </w:p>
    <w:p w14:paraId="6C538D4B" w14:textId="37E4ECCE" w:rsidR="006B1D3B" w:rsidRPr="00920145" w:rsidRDefault="006B1D3B" w:rsidP="00E15A92">
      <w:pPr>
        <w:pStyle w:val="Akapitzlist"/>
        <w:tabs>
          <w:tab w:val="left" w:pos="851"/>
        </w:tabs>
        <w:spacing w:after="120" w:line="360" w:lineRule="auto"/>
        <w:ind w:left="708"/>
        <w:contextualSpacing w:val="0"/>
        <w:jc w:val="both"/>
        <w:rPr>
          <w:rFonts w:ascii="Verdana" w:hAnsi="Verdana"/>
          <w:sz w:val="20"/>
          <w:szCs w:val="20"/>
        </w:rPr>
      </w:pPr>
      <w:r w:rsidRPr="00920145">
        <w:rPr>
          <w:rFonts w:ascii="Verdana" w:hAnsi="Verdana"/>
          <w:sz w:val="20"/>
          <w:szCs w:val="20"/>
        </w:rPr>
        <w:t>„2. Wysokość Poziomu Referencyjnego, o którym mowa w ust. 1, oblicza się  jako średnią arytmetyczną wyznaczoną na podstawie ostatnich znanych limitów cen w zleceniu kupna i zleceniu sprzedaży animatora przyjętych do arkusza zleceń.”;</w:t>
      </w:r>
    </w:p>
    <w:p w14:paraId="6C77CDFB" w14:textId="50CF465A" w:rsidR="006B1D3B" w:rsidRPr="00920145" w:rsidRDefault="00283221" w:rsidP="00F10AD8">
      <w:pPr>
        <w:tabs>
          <w:tab w:val="left" w:pos="851"/>
        </w:tabs>
        <w:spacing w:after="120" w:line="360" w:lineRule="auto"/>
        <w:ind w:left="284" w:firstLine="283"/>
        <w:jc w:val="both"/>
        <w:rPr>
          <w:rFonts w:ascii="Verdana" w:hAnsi="Verdana"/>
          <w:sz w:val="20"/>
          <w:szCs w:val="20"/>
        </w:rPr>
      </w:pPr>
      <w:r w:rsidRPr="00920145">
        <w:rPr>
          <w:rFonts w:ascii="Verdana" w:hAnsi="Verdana"/>
          <w:sz w:val="20"/>
          <w:szCs w:val="20"/>
        </w:rPr>
        <w:t xml:space="preserve">b) </w:t>
      </w:r>
      <w:r w:rsidR="006B1D3B" w:rsidRPr="00920145">
        <w:rPr>
          <w:rFonts w:ascii="Verdana" w:hAnsi="Verdana"/>
          <w:sz w:val="20"/>
          <w:szCs w:val="20"/>
        </w:rPr>
        <w:t>po ust. 2 dodaje się ust. 2a i 2b, w brzmieniu:</w:t>
      </w:r>
    </w:p>
    <w:p w14:paraId="688E9B89" w14:textId="3697D9C3" w:rsidR="006B1D3B" w:rsidRPr="00920145" w:rsidRDefault="006B1D3B" w:rsidP="00E15A92">
      <w:pPr>
        <w:pStyle w:val="Akapitzlist"/>
        <w:tabs>
          <w:tab w:val="left" w:pos="1134"/>
        </w:tabs>
        <w:spacing w:after="120" w:line="360" w:lineRule="auto"/>
        <w:ind w:left="708"/>
        <w:contextualSpacing w:val="0"/>
        <w:jc w:val="both"/>
        <w:rPr>
          <w:rFonts w:ascii="Verdana" w:hAnsi="Verdana"/>
          <w:sz w:val="20"/>
          <w:szCs w:val="20"/>
        </w:rPr>
      </w:pPr>
      <w:r w:rsidRPr="00920145">
        <w:rPr>
          <w:rFonts w:ascii="Verdana" w:hAnsi="Verdana"/>
          <w:sz w:val="20"/>
          <w:szCs w:val="20"/>
        </w:rPr>
        <w:t xml:space="preserve">„2a. W przypadku jeżeli dla instrumentu obowiązuje stan Tylko Zlecenie Kupna, wysokość Poziomu Referencyjnego określa się na podstawie limitu ceny ostatniego znanego zlecenia kupna animatora. </w:t>
      </w:r>
    </w:p>
    <w:p w14:paraId="358FCBEA" w14:textId="28733D86" w:rsidR="006B1D3B" w:rsidRPr="00920145" w:rsidRDefault="006B1D3B" w:rsidP="00E15A92">
      <w:pPr>
        <w:pStyle w:val="Akapitzlist"/>
        <w:tabs>
          <w:tab w:val="left" w:pos="1134"/>
        </w:tabs>
        <w:spacing w:after="120" w:line="360" w:lineRule="auto"/>
        <w:ind w:left="708"/>
        <w:contextualSpacing w:val="0"/>
        <w:jc w:val="both"/>
        <w:rPr>
          <w:rFonts w:ascii="Verdana" w:hAnsi="Verdana"/>
          <w:sz w:val="20"/>
          <w:szCs w:val="20"/>
        </w:rPr>
      </w:pPr>
      <w:r w:rsidRPr="00920145">
        <w:rPr>
          <w:rFonts w:ascii="Verdana" w:hAnsi="Verdana"/>
          <w:sz w:val="20"/>
          <w:szCs w:val="20"/>
        </w:rPr>
        <w:t>2b. Wysokość Poziomu Referencyjnego oblicza się z dokładnością równą krokowi notowania obowiązującemu dla danych instrumentów.”;</w:t>
      </w:r>
    </w:p>
    <w:p w14:paraId="7F02202E" w14:textId="2FEC173B" w:rsidR="006B1D3B" w:rsidRPr="00920145" w:rsidRDefault="00DF6B1B" w:rsidP="00F10AD8">
      <w:pPr>
        <w:pStyle w:val="Akapitzlist"/>
        <w:tabs>
          <w:tab w:val="left" w:pos="851"/>
        </w:tabs>
        <w:spacing w:after="120" w:line="360" w:lineRule="auto"/>
        <w:ind w:left="142" w:firstLine="425"/>
        <w:contextualSpacing w:val="0"/>
        <w:jc w:val="both"/>
        <w:rPr>
          <w:rFonts w:ascii="Verdana" w:hAnsi="Verdana"/>
          <w:sz w:val="20"/>
          <w:szCs w:val="18"/>
        </w:rPr>
      </w:pPr>
      <w:r w:rsidRPr="00920145">
        <w:rPr>
          <w:rFonts w:ascii="Verdana" w:hAnsi="Verdana"/>
          <w:sz w:val="20"/>
          <w:szCs w:val="18"/>
        </w:rPr>
        <w:t xml:space="preserve">c) </w:t>
      </w:r>
      <w:r w:rsidR="006B1D3B" w:rsidRPr="00920145">
        <w:rPr>
          <w:rFonts w:ascii="Verdana" w:hAnsi="Verdana"/>
          <w:sz w:val="20"/>
          <w:szCs w:val="18"/>
        </w:rPr>
        <w:t>ust. 3 otrzymuje brzmienie:</w:t>
      </w:r>
    </w:p>
    <w:p w14:paraId="7E1B0DE3" w14:textId="23234D64" w:rsidR="006B1D3B" w:rsidRPr="00920145" w:rsidRDefault="006B1D3B" w:rsidP="00190962">
      <w:pPr>
        <w:pStyle w:val="Akapitzlist"/>
        <w:tabs>
          <w:tab w:val="left" w:pos="851"/>
        </w:tabs>
        <w:spacing w:after="360" w:line="360" w:lineRule="auto"/>
        <w:ind w:left="567"/>
        <w:contextualSpacing w:val="0"/>
        <w:jc w:val="both"/>
        <w:rPr>
          <w:rFonts w:ascii="Verdana" w:hAnsi="Verdana"/>
          <w:sz w:val="20"/>
          <w:szCs w:val="20"/>
        </w:rPr>
      </w:pPr>
      <w:r w:rsidRPr="00920145">
        <w:rPr>
          <w:rFonts w:ascii="Verdana" w:hAnsi="Verdana"/>
          <w:sz w:val="20"/>
          <w:szCs w:val="20"/>
        </w:rPr>
        <w:t xml:space="preserve">„3. </w:t>
      </w:r>
      <w:r w:rsidRPr="00920145">
        <w:rPr>
          <w:rFonts w:ascii="Verdana" w:hAnsi="Verdana"/>
          <w:bCs/>
          <w:sz w:val="20"/>
          <w:szCs w:val="20"/>
        </w:rPr>
        <w:t xml:space="preserve">Wysokość Poziomu Referencyjnego dla pierwszego dnia obrotu danych instrumentów strukturyzowanych wyznacza ich emitent, </w:t>
      </w:r>
      <w:r w:rsidRPr="00920145">
        <w:rPr>
          <w:rFonts w:ascii="Verdana" w:hAnsi="Verdana"/>
          <w:sz w:val="20"/>
          <w:szCs w:val="20"/>
        </w:rPr>
        <w:t>z dokładnością równą krokowi notowania obowiązującemu dla danych instrumentów.”</w:t>
      </w:r>
      <w:r w:rsidR="00A70856" w:rsidRPr="00920145">
        <w:rPr>
          <w:rFonts w:ascii="Verdana" w:hAnsi="Verdana"/>
          <w:sz w:val="20"/>
          <w:szCs w:val="20"/>
        </w:rPr>
        <w:t>.</w:t>
      </w:r>
    </w:p>
    <w:p w14:paraId="13A2EC65" w14:textId="2A385F0A" w:rsidR="006B1D3B" w:rsidRPr="00920145" w:rsidRDefault="00BA63DC" w:rsidP="003B1DE9">
      <w:pPr>
        <w:pStyle w:val="Akapitzlist"/>
        <w:numPr>
          <w:ilvl w:val="0"/>
          <w:numId w:val="1"/>
        </w:numPr>
        <w:tabs>
          <w:tab w:val="clear" w:pos="567"/>
          <w:tab w:val="num" w:pos="284"/>
        </w:tabs>
        <w:spacing w:after="240" w:line="360" w:lineRule="auto"/>
        <w:contextualSpacing w:val="0"/>
        <w:jc w:val="both"/>
        <w:rPr>
          <w:rFonts w:ascii="Verdana" w:hAnsi="Verdana"/>
          <w:sz w:val="20"/>
          <w:szCs w:val="20"/>
        </w:rPr>
      </w:pPr>
      <w:r w:rsidRPr="00920145">
        <w:rPr>
          <w:rFonts w:ascii="Verdana" w:hAnsi="Verdana"/>
          <w:sz w:val="20"/>
          <w:szCs w:val="20"/>
        </w:rPr>
        <w:t>W</w:t>
      </w:r>
      <w:r w:rsidR="00C430E2" w:rsidRPr="00920145">
        <w:rPr>
          <w:rFonts w:ascii="Verdana" w:hAnsi="Verdana"/>
          <w:sz w:val="20"/>
          <w:szCs w:val="20"/>
        </w:rPr>
        <w:t xml:space="preserve"> Dziale VI:</w:t>
      </w:r>
    </w:p>
    <w:p w14:paraId="1F67A1C5" w14:textId="08C19EF8" w:rsidR="00C430E2" w:rsidRPr="00920145" w:rsidRDefault="003608C5" w:rsidP="005C546C">
      <w:pPr>
        <w:pStyle w:val="Akapitzlist"/>
        <w:numPr>
          <w:ilvl w:val="1"/>
          <w:numId w:val="79"/>
        </w:numPr>
        <w:tabs>
          <w:tab w:val="num" w:pos="567"/>
          <w:tab w:val="left" w:pos="709"/>
        </w:tabs>
        <w:spacing w:after="240" w:line="360" w:lineRule="auto"/>
        <w:ind w:left="851" w:hanging="567"/>
        <w:contextualSpacing w:val="0"/>
        <w:jc w:val="both"/>
        <w:rPr>
          <w:rFonts w:ascii="Verdana" w:hAnsi="Verdana"/>
          <w:sz w:val="20"/>
          <w:szCs w:val="20"/>
        </w:rPr>
      </w:pPr>
      <w:r w:rsidRPr="00920145">
        <w:rPr>
          <w:rFonts w:ascii="Verdana" w:hAnsi="Verdana"/>
          <w:sz w:val="20"/>
          <w:szCs w:val="20"/>
        </w:rPr>
        <w:t>w § 1 w ust. 1 uchyla się pkt 2);</w:t>
      </w:r>
    </w:p>
    <w:p w14:paraId="06FC3F74" w14:textId="4F454E3B" w:rsidR="003608C5" w:rsidRPr="00920145" w:rsidRDefault="003608C5" w:rsidP="00F8716B">
      <w:pPr>
        <w:pStyle w:val="Akapitzlist"/>
        <w:numPr>
          <w:ilvl w:val="1"/>
          <w:numId w:val="79"/>
        </w:numPr>
        <w:tabs>
          <w:tab w:val="num" w:pos="567"/>
        </w:tabs>
        <w:spacing w:after="240" w:line="360" w:lineRule="auto"/>
        <w:ind w:hanging="796"/>
        <w:contextualSpacing w:val="0"/>
        <w:jc w:val="both"/>
        <w:rPr>
          <w:rFonts w:ascii="Verdana" w:hAnsi="Verdana"/>
          <w:sz w:val="20"/>
          <w:szCs w:val="20"/>
        </w:rPr>
      </w:pPr>
      <w:r w:rsidRPr="00920145">
        <w:rPr>
          <w:rFonts w:ascii="Verdana" w:hAnsi="Verdana"/>
          <w:sz w:val="20"/>
          <w:szCs w:val="20"/>
        </w:rPr>
        <w:t>uchyla się Rozdział 2</w:t>
      </w:r>
      <w:r w:rsidR="003B1DE9" w:rsidRPr="00920145">
        <w:rPr>
          <w:rFonts w:ascii="Verdana" w:hAnsi="Verdana"/>
          <w:sz w:val="20"/>
          <w:szCs w:val="20"/>
        </w:rPr>
        <w:t xml:space="preserve"> </w:t>
      </w:r>
      <w:r w:rsidR="000A208B" w:rsidRPr="00920145">
        <w:rPr>
          <w:rFonts w:ascii="Verdana" w:hAnsi="Verdana"/>
          <w:sz w:val="20"/>
          <w:szCs w:val="20"/>
        </w:rPr>
        <w:t>(</w:t>
      </w:r>
      <w:r w:rsidR="003B1DE9" w:rsidRPr="00920145">
        <w:rPr>
          <w:rFonts w:ascii="Verdana" w:hAnsi="Verdana"/>
          <w:sz w:val="20"/>
          <w:szCs w:val="20"/>
        </w:rPr>
        <w:t>§ 2 – 7</w:t>
      </w:r>
      <w:r w:rsidR="000A208B" w:rsidRPr="00920145">
        <w:rPr>
          <w:rFonts w:ascii="Verdana" w:hAnsi="Verdana"/>
          <w:sz w:val="20"/>
          <w:szCs w:val="20"/>
        </w:rPr>
        <w:t>)</w:t>
      </w:r>
      <w:r w:rsidR="003B1DE9" w:rsidRPr="00920145">
        <w:rPr>
          <w:rFonts w:ascii="Verdana" w:hAnsi="Verdana"/>
          <w:sz w:val="20"/>
          <w:szCs w:val="20"/>
        </w:rPr>
        <w:t>;</w:t>
      </w:r>
    </w:p>
    <w:p w14:paraId="3BBD6D3C" w14:textId="7FCD4C12" w:rsidR="003608C5" w:rsidRPr="00920145" w:rsidRDefault="005C4341" w:rsidP="00F8716B">
      <w:pPr>
        <w:pStyle w:val="Akapitzlist"/>
        <w:numPr>
          <w:ilvl w:val="1"/>
          <w:numId w:val="79"/>
        </w:numPr>
        <w:tabs>
          <w:tab w:val="num" w:pos="567"/>
        </w:tabs>
        <w:spacing w:after="240" w:line="360" w:lineRule="auto"/>
        <w:ind w:hanging="796"/>
        <w:contextualSpacing w:val="0"/>
        <w:jc w:val="both"/>
        <w:rPr>
          <w:rFonts w:ascii="Verdana" w:hAnsi="Verdana"/>
          <w:sz w:val="20"/>
          <w:szCs w:val="20"/>
        </w:rPr>
      </w:pPr>
      <w:r w:rsidRPr="00920145">
        <w:rPr>
          <w:rFonts w:ascii="Verdana" w:hAnsi="Verdana"/>
          <w:sz w:val="20"/>
          <w:szCs w:val="20"/>
        </w:rPr>
        <w:t>w § 8:</w:t>
      </w:r>
    </w:p>
    <w:p w14:paraId="01EC4E00" w14:textId="3AB428B7" w:rsidR="005C4341" w:rsidRPr="00920145" w:rsidRDefault="003B1DE9" w:rsidP="00E24F0A">
      <w:pPr>
        <w:pStyle w:val="Akapitzlist"/>
        <w:spacing w:after="120" w:line="360" w:lineRule="auto"/>
        <w:ind w:left="1080" w:hanging="513"/>
        <w:contextualSpacing w:val="0"/>
        <w:jc w:val="both"/>
        <w:rPr>
          <w:rFonts w:ascii="Verdana" w:hAnsi="Verdana"/>
          <w:sz w:val="20"/>
          <w:szCs w:val="20"/>
        </w:rPr>
      </w:pPr>
      <w:r w:rsidRPr="00920145">
        <w:rPr>
          <w:rFonts w:ascii="Verdana" w:hAnsi="Verdana"/>
          <w:sz w:val="20"/>
          <w:szCs w:val="20"/>
        </w:rPr>
        <w:t xml:space="preserve">a) </w:t>
      </w:r>
      <w:r w:rsidR="002E4812" w:rsidRPr="00920145">
        <w:rPr>
          <w:rFonts w:ascii="Verdana" w:hAnsi="Verdana"/>
          <w:sz w:val="20"/>
          <w:szCs w:val="20"/>
        </w:rPr>
        <w:t>ust. 2 otrzymuje brzmienie:</w:t>
      </w:r>
    </w:p>
    <w:p w14:paraId="3FC8C10A" w14:textId="3399429C" w:rsidR="002E4812" w:rsidRPr="00920145" w:rsidRDefault="002E4812" w:rsidP="00E24F0A">
      <w:pPr>
        <w:pStyle w:val="Akapitzlist"/>
        <w:spacing w:after="120" w:line="360" w:lineRule="auto"/>
        <w:ind w:left="1080"/>
        <w:contextualSpacing w:val="0"/>
        <w:jc w:val="both"/>
        <w:rPr>
          <w:rFonts w:ascii="Verdana" w:hAnsi="Verdana" w:cs="Arial"/>
          <w:sz w:val="20"/>
          <w:szCs w:val="20"/>
        </w:rPr>
      </w:pPr>
      <w:r w:rsidRPr="00920145">
        <w:rPr>
          <w:rFonts w:ascii="Verdana" w:hAnsi="Verdana"/>
          <w:sz w:val="20"/>
          <w:szCs w:val="20"/>
        </w:rPr>
        <w:t xml:space="preserve">„2. </w:t>
      </w:r>
      <w:r w:rsidRPr="00920145">
        <w:rPr>
          <w:rFonts w:ascii="Verdana" w:hAnsi="Verdana" w:cs="Arial"/>
          <w:sz w:val="20"/>
          <w:szCs w:val="20"/>
        </w:rPr>
        <w:t>Przedmiotem transakcji pakietowych nie mogą być instrumenty finansowe not</w:t>
      </w:r>
      <w:r w:rsidRPr="00920145">
        <w:rPr>
          <w:rFonts w:ascii="Verdana" w:hAnsi="Verdana"/>
          <w:sz w:val="20"/>
          <w:szCs w:val="20"/>
        </w:rPr>
        <w:t>owane w systemie animatora rynku</w:t>
      </w:r>
      <w:r w:rsidRPr="00920145">
        <w:rPr>
          <w:rFonts w:ascii="Verdana" w:hAnsi="Verdana" w:cs="Arial"/>
          <w:sz w:val="20"/>
          <w:szCs w:val="20"/>
        </w:rPr>
        <w:t xml:space="preserve">.”; </w:t>
      </w:r>
    </w:p>
    <w:p w14:paraId="199D2E12" w14:textId="1F2A096C" w:rsidR="009C4CBB" w:rsidRPr="00920145" w:rsidRDefault="009C4CBB" w:rsidP="00E24F0A">
      <w:pPr>
        <w:pStyle w:val="Akapitzlist"/>
        <w:spacing w:after="120" w:line="360" w:lineRule="auto"/>
        <w:ind w:left="1080"/>
        <w:contextualSpacing w:val="0"/>
        <w:jc w:val="both"/>
        <w:rPr>
          <w:rFonts w:ascii="Verdana" w:hAnsi="Verdana" w:cs="Arial"/>
          <w:sz w:val="20"/>
          <w:szCs w:val="20"/>
        </w:rPr>
      </w:pPr>
    </w:p>
    <w:p w14:paraId="07E43146" w14:textId="795F2B1D" w:rsidR="002E4812" w:rsidRPr="00920145" w:rsidRDefault="003B1DE9" w:rsidP="00A23201">
      <w:pPr>
        <w:pStyle w:val="Akapitzlist"/>
        <w:spacing w:after="120" w:line="360" w:lineRule="auto"/>
        <w:ind w:left="567"/>
        <w:contextualSpacing w:val="0"/>
        <w:jc w:val="both"/>
        <w:rPr>
          <w:rFonts w:ascii="Verdana" w:hAnsi="Verdana" w:cs="Arial"/>
          <w:sz w:val="20"/>
          <w:szCs w:val="20"/>
        </w:rPr>
      </w:pPr>
      <w:r w:rsidRPr="00920145">
        <w:rPr>
          <w:rFonts w:ascii="Verdana" w:hAnsi="Verdana" w:cs="Arial"/>
          <w:sz w:val="20"/>
          <w:szCs w:val="20"/>
        </w:rPr>
        <w:lastRenderedPageBreak/>
        <w:t xml:space="preserve">b) </w:t>
      </w:r>
      <w:r w:rsidR="002E4812" w:rsidRPr="00920145">
        <w:rPr>
          <w:rFonts w:ascii="Verdana" w:hAnsi="Verdana" w:cs="Arial"/>
          <w:sz w:val="20"/>
          <w:szCs w:val="20"/>
        </w:rPr>
        <w:t>ust. 4 otrzymuje brzmienie:</w:t>
      </w:r>
    </w:p>
    <w:p w14:paraId="45E2540A" w14:textId="1032FBC8" w:rsidR="00190962" w:rsidRPr="00920145" w:rsidRDefault="002E4812" w:rsidP="003B1DE9">
      <w:pPr>
        <w:pStyle w:val="Akapitzlist"/>
        <w:spacing w:after="240" w:line="360" w:lineRule="auto"/>
        <w:ind w:left="1080"/>
        <w:contextualSpacing w:val="0"/>
        <w:jc w:val="both"/>
        <w:rPr>
          <w:rFonts w:ascii="Verdana" w:hAnsi="Verdana"/>
          <w:bCs/>
          <w:sz w:val="20"/>
          <w:szCs w:val="20"/>
        </w:rPr>
      </w:pPr>
      <w:r w:rsidRPr="00920145">
        <w:rPr>
          <w:rFonts w:ascii="Verdana" w:hAnsi="Verdana" w:cs="Arial"/>
          <w:sz w:val="20"/>
          <w:szCs w:val="20"/>
        </w:rPr>
        <w:t xml:space="preserve">„4. </w:t>
      </w:r>
      <w:r w:rsidRPr="00920145">
        <w:rPr>
          <w:rFonts w:ascii="Verdana" w:hAnsi="Verdana"/>
          <w:sz w:val="20"/>
          <w:szCs w:val="20"/>
        </w:rPr>
        <w:t>T</w:t>
      </w:r>
      <w:r w:rsidRPr="00920145">
        <w:rPr>
          <w:rFonts w:ascii="Verdana" w:hAnsi="Verdana"/>
          <w:bCs/>
          <w:sz w:val="20"/>
          <w:szCs w:val="20"/>
        </w:rPr>
        <w:t>ransakcje pakietowe kontraktami terminowymi mogą być zawierane po zawarciu pierwszej transakcji giełdowej danymi instrumentami finansowymi w systemie notowań ciągłych.”;</w:t>
      </w:r>
    </w:p>
    <w:p w14:paraId="21EF9D1B" w14:textId="134E4A72" w:rsidR="002E4812" w:rsidRPr="00920145" w:rsidRDefault="002E4812" w:rsidP="00E24F0A">
      <w:pPr>
        <w:pStyle w:val="Akapitzlist"/>
        <w:numPr>
          <w:ilvl w:val="1"/>
          <w:numId w:val="79"/>
        </w:numPr>
        <w:tabs>
          <w:tab w:val="num" w:pos="567"/>
        </w:tabs>
        <w:spacing w:after="120" w:line="360" w:lineRule="auto"/>
        <w:ind w:hanging="796"/>
        <w:contextualSpacing w:val="0"/>
        <w:jc w:val="both"/>
        <w:rPr>
          <w:rFonts w:ascii="Verdana" w:hAnsi="Verdana" w:cs="Arial"/>
          <w:sz w:val="20"/>
          <w:szCs w:val="20"/>
        </w:rPr>
      </w:pPr>
      <w:r w:rsidRPr="00920145">
        <w:rPr>
          <w:rFonts w:ascii="Verdana" w:hAnsi="Verdana" w:cs="Arial"/>
          <w:sz w:val="20"/>
          <w:szCs w:val="20"/>
        </w:rPr>
        <w:t xml:space="preserve">w § </w:t>
      </w:r>
      <w:r w:rsidR="003B1DE9" w:rsidRPr="00920145">
        <w:rPr>
          <w:rFonts w:ascii="Verdana" w:hAnsi="Verdana" w:cs="Arial"/>
          <w:sz w:val="20"/>
          <w:szCs w:val="20"/>
        </w:rPr>
        <w:t>9</w:t>
      </w:r>
      <w:r w:rsidRPr="00920145">
        <w:rPr>
          <w:rFonts w:ascii="Verdana" w:hAnsi="Verdana" w:cs="Arial"/>
          <w:sz w:val="20"/>
          <w:szCs w:val="20"/>
        </w:rPr>
        <w:t>:</w:t>
      </w:r>
    </w:p>
    <w:p w14:paraId="713DEB05" w14:textId="23D982B7" w:rsidR="002E4812" w:rsidRPr="00920145" w:rsidRDefault="003B1DE9" w:rsidP="00A23201">
      <w:pPr>
        <w:pStyle w:val="Akapitzlist"/>
        <w:spacing w:after="120" w:line="360" w:lineRule="auto"/>
        <w:ind w:left="1080" w:hanging="513"/>
        <w:contextualSpacing w:val="0"/>
        <w:jc w:val="both"/>
        <w:rPr>
          <w:rFonts w:ascii="Verdana" w:hAnsi="Verdana" w:cs="Arial"/>
          <w:sz w:val="20"/>
          <w:szCs w:val="20"/>
        </w:rPr>
      </w:pPr>
      <w:r w:rsidRPr="00920145">
        <w:rPr>
          <w:rFonts w:ascii="Verdana" w:hAnsi="Verdana" w:cs="Arial"/>
          <w:sz w:val="20"/>
          <w:szCs w:val="20"/>
        </w:rPr>
        <w:t xml:space="preserve">a) </w:t>
      </w:r>
      <w:r w:rsidR="002E4812" w:rsidRPr="00920145">
        <w:rPr>
          <w:rFonts w:ascii="Verdana" w:hAnsi="Verdana" w:cs="Arial"/>
          <w:sz w:val="20"/>
          <w:szCs w:val="20"/>
        </w:rPr>
        <w:t>ust. 4 otrzymuje brzmienie:</w:t>
      </w:r>
    </w:p>
    <w:p w14:paraId="00A2E7CD" w14:textId="5FDF49D1" w:rsidR="002E4812" w:rsidRPr="00920145" w:rsidRDefault="002E4812" w:rsidP="000723B4">
      <w:pPr>
        <w:pStyle w:val="Akapitzlist"/>
        <w:spacing w:after="120" w:line="360" w:lineRule="auto"/>
        <w:ind w:left="1080"/>
        <w:contextualSpacing w:val="0"/>
        <w:jc w:val="both"/>
        <w:rPr>
          <w:rFonts w:ascii="Verdana" w:hAnsi="Verdana" w:cs="Arial"/>
          <w:sz w:val="20"/>
          <w:szCs w:val="20"/>
        </w:rPr>
      </w:pPr>
      <w:r w:rsidRPr="00920145">
        <w:rPr>
          <w:rFonts w:ascii="Verdana" w:hAnsi="Verdana" w:cs="Arial"/>
          <w:sz w:val="20"/>
          <w:szCs w:val="20"/>
        </w:rPr>
        <w:t xml:space="preserve">„4. Limit ceny w zleceniach, o których mowa w ust. 1, określany jest </w:t>
      </w:r>
      <w:r w:rsidR="00573D2B" w:rsidRPr="00920145">
        <w:rPr>
          <w:rFonts w:ascii="Verdana" w:hAnsi="Verdana" w:cs="Arial"/>
          <w:sz w:val="20"/>
          <w:szCs w:val="20"/>
        </w:rPr>
        <w:br/>
      </w:r>
      <w:r w:rsidRPr="00920145">
        <w:rPr>
          <w:rFonts w:ascii="Verdana" w:hAnsi="Verdana" w:cs="Arial"/>
          <w:sz w:val="20"/>
          <w:szCs w:val="20"/>
        </w:rPr>
        <w:t xml:space="preserve">z dokładnością do: </w:t>
      </w:r>
    </w:p>
    <w:p w14:paraId="3B6BCCC9" w14:textId="14A3CA13" w:rsidR="008D368E" w:rsidRPr="00920145" w:rsidRDefault="00A70856" w:rsidP="000723B4">
      <w:pPr>
        <w:pStyle w:val="Akapitzlist"/>
        <w:numPr>
          <w:ilvl w:val="7"/>
          <w:numId w:val="76"/>
        </w:numPr>
        <w:tabs>
          <w:tab w:val="left" w:pos="567"/>
        </w:tabs>
        <w:spacing w:after="120" w:line="360" w:lineRule="auto"/>
        <w:ind w:left="1701"/>
        <w:contextualSpacing w:val="0"/>
        <w:jc w:val="both"/>
        <w:rPr>
          <w:rFonts w:ascii="Verdana" w:hAnsi="Verdana" w:cs="Arial"/>
          <w:sz w:val="20"/>
          <w:szCs w:val="20"/>
        </w:rPr>
      </w:pPr>
      <w:r w:rsidRPr="00920145">
        <w:rPr>
          <w:rFonts w:ascii="Verdana" w:hAnsi="Verdana" w:cs="Arial"/>
          <w:sz w:val="20"/>
          <w:szCs w:val="20"/>
        </w:rPr>
        <w:t xml:space="preserve">0,01 punktu procentowego dla instrumentów notowanych </w:t>
      </w:r>
      <w:r w:rsidR="00573D2B" w:rsidRPr="00920145">
        <w:rPr>
          <w:rFonts w:ascii="Verdana" w:hAnsi="Verdana" w:cs="Arial"/>
          <w:sz w:val="20"/>
          <w:szCs w:val="20"/>
        </w:rPr>
        <w:br/>
      </w:r>
      <w:r w:rsidRPr="00920145">
        <w:rPr>
          <w:rFonts w:ascii="Verdana" w:hAnsi="Verdana" w:cs="Arial"/>
          <w:sz w:val="20"/>
          <w:szCs w:val="20"/>
        </w:rPr>
        <w:t xml:space="preserve">w punktach procentowych, </w:t>
      </w:r>
    </w:p>
    <w:p w14:paraId="5FC211AD" w14:textId="1D7C0F83" w:rsidR="00A70856" w:rsidRPr="00920145" w:rsidRDefault="00A70856" w:rsidP="000723B4">
      <w:pPr>
        <w:pStyle w:val="Akapitzlist"/>
        <w:numPr>
          <w:ilvl w:val="7"/>
          <w:numId w:val="76"/>
        </w:numPr>
        <w:tabs>
          <w:tab w:val="left" w:pos="567"/>
        </w:tabs>
        <w:spacing w:after="120" w:line="360" w:lineRule="auto"/>
        <w:ind w:left="1701"/>
        <w:contextualSpacing w:val="0"/>
        <w:jc w:val="both"/>
        <w:rPr>
          <w:rFonts w:ascii="Verdana" w:hAnsi="Verdana" w:cs="Arial"/>
          <w:sz w:val="20"/>
          <w:szCs w:val="20"/>
        </w:rPr>
      </w:pPr>
      <w:r w:rsidRPr="00920145">
        <w:rPr>
          <w:rFonts w:ascii="Verdana" w:hAnsi="Verdana" w:cs="Arial"/>
          <w:sz w:val="20"/>
          <w:szCs w:val="20"/>
        </w:rPr>
        <w:t xml:space="preserve">0,01 punktu indeksowego dla instrumentów notowanych w punktach indeksowych, za wyjątkiem kontraktów terminowych na indeksy, </w:t>
      </w:r>
    </w:p>
    <w:p w14:paraId="2B48079C" w14:textId="4E51CEC4" w:rsidR="002E4812" w:rsidRPr="00920145" w:rsidRDefault="002E4812" w:rsidP="000723B4">
      <w:pPr>
        <w:pStyle w:val="Akapitzlist"/>
        <w:numPr>
          <w:ilvl w:val="7"/>
          <w:numId w:val="76"/>
        </w:numPr>
        <w:tabs>
          <w:tab w:val="left" w:pos="567"/>
        </w:tabs>
        <w:spacing w:after="120" w:line="360" w:lineRule="auto"/>
        <w:ind w:left="1701"/>
        <w:contextualSpacing w:val="0"/>
        <w:jc w:val="both"/>
        <w:rPr>
          <w:rFonts w:ascii="Verdana" w:hAnsi="Verdana" w:cs="Arial"/>
          <w:sz w:val="20"/>
          <w:szCs w:val="20"/>
        </w:rPr>
      </w:pPr>
      <w:r w:rsidRPr="00920145">
        <w:rPr>
          <w:rFonts w:ascii="Verdana" w:hAnsi="Verdana" w:cs="Arial"/>
          <w:sz w:val="20"/>
          <w:szCs w:val="20"/>
        </w:rPr>
        <w:t xml:space="preserve">1 punktu indeksowego dla kontraktów terminowych na indeksy, </w:t>
      </w:r>
    </w:p>
    <w:p w14:paraId="0558BAA2" w14:textId="38FE5B7A" w:rsidR="002E4812" w:rsidRPr="00920145" w:rsidRDefault="002E4812" w:rsidP="008D368E">
      <w:pPr>
        <w:pStyle w:val="Akapitzlist"/>
        <w:numPr>
          <w:ilvl w:val="7"/>
          <w:numId w:val="76"/>
        </w:numPr>
        <w:tabs>
          <w:tab w:val="left" w:pos="567"/>
        </w:tabs>
        <w:spacing w:after="120" w:line="360" w:lineRule="auto"/>
        <w:ind w:left="1701"/>
        <w:contextualSpacing w:val="0"/>
        <w:jc w:val="both"/>
        <w:rPr>
          <w:rFonts w:ascii="Verdana" w:hAnsi="Verdana" w:cs="Arial"/>
          <w:sz w:val="20"/>
          <w:szCs w:val="20"/>
        </w:rPr>
      </w:pPr>
      <w:r w:rsidRPr="00920145">
        <w:rPr>
          <w:rFonts w:ascii="Verdana" w:hAnsi="Verdana" w:cs="Arial"/>
          <w:sz w:val="20"/>
          <w:szCs w:val="20"/>
        </w:rPr>
        <w:t xml:space="preserve">0,01 jednostki waluty notowania dla pozostałych instrumentów finansowych, </w:t>
      </w:r>
      <w:r w:rsidRPr="00920145">
        <w:rPr>
          <w:rFonts w:ascii="Verdana" w:hAnsi="Verdana" w:cs="Arial"/>
          <w:sz w:val="20"/>
          <w:szCs w:val="20"/>
        </w:rPr>
        <w:br/>
        <w:t>z zastrzeżeniem pkt 5) i 6),</w:t>
      </w:r>
    </w:p>
    <w:p w14:paraId="37FC7F11" w14:textId="4C5400ED" w:rsidR="002E4812" w:rsidRPr="00920145" w:rsidRDefault="002E4812" w:rsidP="008D368E">
      <w:pPr>
        <w:pStyle w:val="Akapitzlist"/>
        <w:numPr>
          <w:ilvl w:val="7"/>
          <w:numId w:val="76"/>
        </w:numPr>
        <w:tabs>
          <w:tab w:val="left" w:pos="567"/>
        </w:tabs>
        <w:spacing w:after="120" w:line="360" w:lineRule="auto"/>
        <w:ind w:left="1701"/>
        <w:contextualSpacing w:val="0"/>
        <w:jc w:val="both"/>
        <w:rPr>
          <w:rFonts w:ascii="Verdana" w:hAnsi="Verdana" w:cs="Arial"/>
          <w:sz w:val="20"/>
          <w:szCs w:val="20"/>
        </w:rPr>
      </w:pPr>
      <w:r w:rsidRPr="00920145">
        <w:rPr>
          <w:rFonts w:ascii="Verdana" w:hAnsi="Verdana"/>
          <w:sz w:val="20"/>
          <w:szCs w:val="20"/>
        </w:rPr>
        <w:t xml:space="preserve">0,0001 jednostki waluty notowania dla kontraktów terminowych na kursy walut, z zastrzeżeniem że limit ten nie może być niższy niż 0,01 jednostki waluty notowania, </w:t>
      </w:r>
    </w:p>
    <w:p w14:paraId="6CA37B13" w14:textId="4F44CB0C" w:rsidR="002E4812" w:rsidRPr="00920145" w:rsidRDefault="002E4812" w:rsidP="008D368E">
      <w:pPr>
        <w:pStyle w:val="Akapitzlist"/>
        <w:numPr>
          <w:ilvl w:val="7"/>
          <w:numId w:val="76"/>
        </w:numPr>
        <w:tabs>
          <w:tab w:val="left" w:pos="567"/>
        </w:tabs>
        <w:spacing w:after="120" w:line="360" w:lineRule="auto"/>
        <w:ind w:left="1701"/>
        <w:contextualSpacing w:val="0"/>
        <w:jc w:val="both"/>
        <w:rPr>
          <w:rFonts w:ascii="Verdana" w:hAnsi="Verdana" w:cs="Arial"/>
          <w:sz w:val="20"/>
          <w:szCs w:val="20"/>
        </w:rPr>
      </w:pPr>
      <w:r w:rsidRPr="00920145">
        <w:rPr>
          <w:rFonts w:ascii="Verdana" w:hAnsi="Verdana"/>
          <w:sz w:val="20"/>
          <w:szCs w:val="20"/>
        </w:rPr>
        <w:t xml:space="preserve">dla kontraktów terminowych </w:t>
      </w:r>
      <w:r w:rsidRPr="00920145">
        <w:rPr>
          <w:rFonts w:ascii="Verdana" w:hAnsi="Verdana" w:cs="Arial"/>
          <w:sz w:val="20"/>
          <w:szCs w:val="20"/>
        </w:rPr>
        <w:t>na kursy akcji:</w:t>
      </w:r>
    </w:p>
    <w:p w14:paraId="56B5882E" w14:textId="77777777" w:rsidR="002E4812" w:rsidRPr="00920145" w:rsidRDefault="002E4812" w:rsidP="00F8716B">
      <w:pPr>
        <w:numPr>
          <w:ilvl w:val="5"/>
          <w:numId w:val="81"/>
        </w:numPr>
        <w:spacing w:after="120" w:line="360" w:lineRule="auto"/>
        <w:ind w:left="1647" w:hanging="283"/>
        <w:jc w:val="both"/>
        <w:rPr>
          <w:rFonts w:ascii="Verdana" w:hAnsi="Verdana" w:cs="Arial"/>
          <w:sz w:val="20"/>
          <w:szCs w:val="20"/>
        </w:rPr>
      </w:pPr>
      <w:r w:rsidRPr="00920145">
        <w:rPr>
          <w:rFonts w:ascii="Verdana" w:hAnsi="Verdana" w:cs="Arial"/>
          <w:sz w:val="20"/>
          <w:szCs w:val="20"/>
        </w:rPr>
        <w:t xml:space="preserve">0,0001 jednostki waluty notowania dla limitu ceny niższego niż 5,00 jednostek waluty notowania, </w:t>
      </w:r>
    </w:p>
    <w:p w14:paraId="0D36255B" w14:textId="77777777" w:rsidR="002E4812" w:rsidRPr="00920145" w:rsidRDefault="002E4812" w:rsidP="00F8716B">
      <w:pPr>
        <w:numPr>
          <w:ilvl w:val="5"/>
          <w:numId w:val="81"/>
        </w:numPr>
        <w:spacing w:after="120" w:line="360" w:lineRule="auto"/>
        <w:ind w:left="1647" w:hanging="283"/>
        <w:jc w:val="both"/>
        <w:rPr>
          <w:rFonts w:ascii="Verdana" w:hAnsi="Verdana" w:cs="Arial"/>
          <w:sz w:val="20"/>
          <w:szCs w:val="20"/>
        </w:rPr>
      </w:pPr>
      <w:r w:rsidRPr="00920145">
        <w:rPr>
          <w:rFonts w:ascii="Verdana" w:hAnsi="Verdana" w:cs="Arial"/>
          <w:sz w:val="20"/>
          <w:szCs w:val="20"/>
        </w:rPr>
        <w:t>0,001 jednostki waluty notowania dla limitu ceny równego bądź wyższego od 5,00 i niższego od 50,00 jednostek waluty notowania,</w:t>
      </w:r>
    </w:p>
    <w:p w14:paraId="7143C2F6" w14:textId="77777777" w:rsidR="002E4812" w:rsidRPr="00920145" w:rsidRDefault="002E4812" w:rsidP="00F8716B">
      <w:pPr>
        <w:numPr>
          <w:ilvl w:val="5"/>
          <w:numId w:val="81"/>
        </w:numPr>
        <w:spacing w:after="120" w:line="360" w:lineRule="auto"/>
        <w:ind w:left="1647" w:hanging="283"/>
        <w:jc w:val="both"/>
        <w:rPr>
          <w:rFonts w:ascii="Verdana" w:hAnsi="Verdana" w:cs="Arial"/>
          <w:sz w:val="20"/>
          <w:szCs w:val="20"/>
        </w:rPr>
      </w:pPr>
      <w:r w:rsidRPr="00920145">
        <w:rPr>
          <w:rFonts w:ascii="Verdana" w:hAnsi="Verdana" w:cs="Arial"/>
          <w:sz w:val="20"/>
          <w:szCs w:val="20"/>
        </w:rPr>
        <w:t>0,01 jednostki waluty notowania dla limitu ceny równego bądź wyższego od 50,00 jednostek waluty notowania</w:t>
      </w:r>
    </w:p>
    <w:p w14:paraId="4F9B4C54" w14:textId="1E674835" w:rsidR="002E4812" w:rsidRPr="00920145" w:rsidRDefault="002E4812" w:rsidP="003B1DE9">
      <w:pPr>
        <w:pStyle w:val="Akapitzlist"/>
        <w:spacing w:after="240" w:line="360" w:lineRule="auto"/>
        <w:ind w:left="1080"/>
        <w:contextualSpacing w:val="0"/>
        <w:jc w:val="both"/>
        <w:rPr>
          <w:rFonts w:ascii="Verdana" w:hAnsi="Verdana" w:cs="Arial"/>
          <w:sz w:val="20"/>
          <w:szCs w:val="20"/>
        </w:rPr>
      </w:pPr>
      <w:r w:rsidRPr="00920145">
        <w:rPr>
          <w:rFonts w:ascii="Verdana" w:hAnsi="Verdana" w:cs="Arial"/>
          <w:sz w:val="20"/>
          <w:szCs w:val="20"/>
        </w:rPr>
        <w:t>- z zastrzeżeniem że limit ten nie może być niższy niż 0,01 jednostki waluty notowania.”;</w:t>
      </w:r>
    </w:p>
    <w:p w14:paraId="7B49E5E7" w14:textId="757E0AD6" w:rsidR="00830D76" w:rsidRPr="00920145" w:rsidRDefault="003B1DE9" w:rsidP="00A23201">
      <w:pPr>
        <w:pStyle w:val="Akapitzlist"/>
        <w:spacing w:after="120" w:line="360" w:lineRule="auto"/>
        <w:ind w:left="567"/>
        <w:contextualSpacing w:val="0"/>
        <w:rPr>
          <w:rFonts w:ascii="Verdana" w:hAnsi="Verdana" w:cs="Arial"/>
          <w:sz w:val="20"/>
          <w:szCs w:val="20"/>
        </w:rPr>
      </w:pPr>
      <w:r w:rsidRPr="00920145">
        <w:rPr>
          <w:rFonts w:ascii="Verdana" w:hAnsi="Verdana" w:cs="Arial"/>
          <w:sz w:val="20"/>
          <w:szCs w:val="20"/>
        </w:rPr>
        <w:t xml:space="preserve">b) </w:t>
      </w:r>
      <w:r w:rsidR="00830D76" w:rsidRPr="00920145">
        <w:rPr>
          <w:rFonts w:ascii="Verdana" w:hAnsi="Verdana" w:cs="Arial"/>
          <w:sz w:val="20"/>
          <w:szCs w:val="20"/>
        </w:rPr>
        <w:t>ust. 7 otrzymuje brzmienie:</w:t>
      </w:r>
    </w:p>
    <w:p w14:paraId="767A86BD" w14:textId="77777777" w:rsidR="00830D76" w:rsidRPr="00920145" w:rsidRDefault="00830D76" w:rsidP="003B1DE9">
      <w:pPr>
        <w:pStyle w:val="Akapitzlist"/>
        <w:spacing w:after="240" w:line="360" w:lineRule="auto"/>
        <w:ind w:left="1080"/>
        <w:contextualSpacing w:val="0"/>
        <w:jc w:val="both"/>
        <w:rPr>
          <w:rFonts w:ascii="Verdana" w:hAnsi="Verdana" w:cs="Arial"/>
          <w:sz w:val="20"/>
          <w:szCs w:val="20"/>
        </w:rPr>
      </w:pPr>
      <w:r w:rsidRPr="00920145">
        <w:rPr>
          <w:rFonts w:ascii="Verdana" w:hAnsi="Verdana" w:cs="Arial"/>
          <w:sz w:val="20"/>
          <w:szCs w:val="20"/>
        </w:rPr>
        <w:t>„7. Zlecenia maklerskie, o których mowa w ust. 1, tracą ważność po zakończeniu sesji giełdowej w dniu ich przyjęcia, o ile nie zostaną wcześniej zrealizowane lub anulowane.”;</w:t>
      </w:r>
    </w:p>
    <w:p w14:paraId="38A76FC7" w14:textId="42F24BD4" w:rsidR="00830D76" w:rsidRPr="00920145" w:rsidRDefault="00830D76" w:rsidP="00F8716B">
      <w:pPr>
        <w:pStyle w:val="Akapitzlist"/>
        <w:numPr>
          <w:ilvl w:val="1"/>
          <w:numId w:val="79"/>
        </w:numPr>
        <w:tabs>
          <w:tab w:val="num" w:pos="567"/>
        </w:tabs>
        <w:spacing w:after="120" w:line="360" w:lineRule="auto"/>
        <w:ind w:hanging="796"/>
        <w:contextualSpacing w:val="0"/>
        <w:jc w:val="both"/>
        <w:rPr>
          <w:rFonts w:ascii="Verdana" w:hAnsi="Verdana" w:cs="Arial"/>
          <w:sz w:val="20"/>
          <w:szCs w:val="20"/>
        </w:rPr>
      </w:pPr>
      <w:r w:rsidRPr="00920145">
        <w:rPr>
          <w:rFonts w:ascii="Verdana" w:hAnsi="Verdana" w:cs="Arial"/>
          <w:sz w:val="20"/>
          <w:szCs w:val="20"/>
        </w:rPr>
        <w:lastRenderedPageBreak/>
        <w:t xml:space="preserve">  w § 12 ust. 2 otrzymuje brzmienie:</w:t>
      </w:r>
    </w:p>
    <w:p w14:paraId="33BC519E" w14:textId="7405775E" w:rsidR="00830D76" w:rsidRPr="00920145" w:rsidRDefault="00830D76" w:rsidP="00190962">
      <w:pPr>
        <w:pStyle w:val="Akapitzlist"/>
        <w:spacing w:after="240" w:line="360" w:lineRule="auto"/>
        <w:ind w:left="709"/>
        <w:contextualSpacing w:val="0"/>
        <w:jc w:val="both"/>
        <w:rPr>
          <w:rFonts w:ascii="Verdana" w:hAnsi="Verdana" w:cs="Arial"/>
          <w:sz w:val="20"/>
          <w:szCs w:val="20"/>
        </w:rPr>
      </w:pPr>
      <w:r w:rsidRPr="00920145">
        <w:rPr>
          <w:rFonts w:ascii="Verdana" w:hAnsi="Verdana" w:cs="Arial"/>
          <w:sz w:val="20"/>
          <w:szCs w:val="20"/>
        </w:rPr>
        <w:t xml:space="preserve">„2. W przypadku transakcji pakietowej zawieranej poza godzinami sesji giełdowej, transakcja może być zawarta również wtedy, gdy spełnione są warunki określone w ust. 1 pkt 1), a różnica pomiędzy ceną akcji w zleceniu a kursem odniesienia nie jest wyższa niż 40%. </w:t>
      </w:r>
      <w:bookmarkStart w:id="26" w:name="_Hlk195637955"/>
      <w:r w:rsidRPr="00920145">
        <w:rPr>
          <w:rFonts w:ascii="Verdana" w:hAnsi="Verdana"/>
          <w:sz w:val="20"/>
          <w:szCs w:val="20"/>
        </w:rPr>
        <w:t xml:space="preserve">Kursem odniesienia jest </w:t>
      </w:r>
      <w:r w:rsidRPr="00920145">
        <w:rPr>
          <w:rFonts w:ascii="Verdana" w:hAnsi="Verdana"/>
          <w:bCs/>
          <w:sz w:val="20"/>
          <w:szCs w:val="20"/>
        </w:rPr>
        <w:t>odpowiednio</w:t>
      </w:r>
      <w:r w:rsidRPr="00920145">
        <w:rPr>
          <w:rFonts w:ascii="Verdana" w:hAnsi="Verdana"/>
          <w:sz w:val="20"/>
          <w:szCs w:val="20"/>
        </w:rPr>
        <w:t xml:space="preserve"> ostatni kurs zamknięcia </w:t>
      </w:r>
      <w:r w:rsidRPr="00920145">
        <w:rPr>
          <w:rFonts w:ascii="Verdana" w:hAnsi="Verdana"/>
          <w:bCs/>
          <w:sz w:val="20"/>
          <w:szCs w:val="20"/>
        </w:rPr>
        <w:t>albo ostatni kurs jednolity tych akcji.</w:t>
      </w:r>
      <w:bookmarkEnd w:id="26"/>
      <w:r w:rsidRPr="00920145">
        <w:rPr>
          <w:rFonts w:ascii="Verdana" w:hAnsi="Verdana"/>
          <w:bCs/>
          <w:sz w:val="20"/>
          <w:szCs w:val="20"/>
        </w:rPr>
        <w:t>”;</w:t>
      </w:r>
    </w:p>
    <w:p w14:paraId="070A5DC7" w14:textId="5DC7E8F9" w:rsidR="00830D76" w:rsidRPr="00920145" w:rsidRDefault="00937E0B" w:rsidP="00F8716B">
      <w:pPr>
        <w:pStyle w:val="Akapitzlist"/>
        <w:numPr>
          <w:ilvl w:val="1"/>
          <w:numId w:val="79"/>
        </w:numPr>
        <w:tabs>
          <w:tab w:val="num" w:pos="567"/>
        </w:tabs>
        <w:spacing w:after="240" w:line="360" w:lineRule="auto"/>
        <w:ind w:hanging="796"/>
        <w:contextualSpacing w:val="0"/>
        <w:jc w:val="both"/>
        <w:rPr>
          <w:rFonts w:ascii="Verdana" w:hAnsi="Verdana" w:cs="Arial"/>
          <w:sz w:val="20"/>
          <w:szCs w:val="20"/>
        </w:rPr>
      </w:pPr>
      <w:r w:rsidRPr="00920145">
        <w:rPr>
          <w:rFonts w:ascii="Verdana" w:hAnsi="Verdana" w:cs="Arial"/>
          <w:sz w:val="20"/>
          <w:szCs w:val="20"/>
        </w:rPr>
        <w:t>w § 12a:</w:t>
      </w:r>
    </w:p>
    <w:p w14:paraId="59417CDD" w14:textId="37EAFE4C" w:rsidR="00937E0B" w:rsidRPr="00920145" w:rsidRDefault="003B1DE9" w:rsidP="00E24F0A">
      <w:pPr>
        <w:spacing w:after="120" w:line="360" w:lineRule="auto"/>
        <w:ind w:left="708" w:hanging="141"/>
        <w:jc w:val="both"/>
        <w:rPr>
          <w:rFonts w:ascii="Verdana" w:hAnsi="Verdana" w:cs="Arial"/>
          <w:sz w:val="20"/>
          <w:szCs w:val="20"/>
        </w:rPr>
      </w:pPr>
      <w:r w:rsidRPr="00920145">
        <w:rPr>
          <w:rFonts w:ascii="Verdana" w:hAnsi="Verdana" w:cs="Arial"/>
          <w:sz w:val="20"/>
          <w:szCs w:val="20"/>
        </w:rPr>
        <w:t xml:space="preserve">a) </w:t>
      </w:r>
      <w:r w:rsidR="00937E0B" w:rsidRPr="00920145">
        <w:rPr>
          <w:rFonts w:ascii="Verdana" w:hAnsi="Verdana" w:cs="Arial"/>
          <w:sz w:val="20"/>
          <w:szCs w:val="20"/>
        </w:rPr>
        <w:t>w ust. 2 wyrazy „w ost</w:t>
      </w:r>
      <w:r w:rsidR="00177357" w:rsidRPr="00920145">
        <w:rPr>
          <w:rFonts w:ascii="Verdana" w:hAnsi="Verdana" w:cs="Arial"/>
          <w:sz w:val="20"/>
          <w:szCs w:val="20"/>
        </w:rPr>
        <w:t>atnim dniu sesyjnym marca” zastępuje się wyrazami „w ostatnim dniu sesyjnym przed pierwszym poniedziałkiem kwietnia”;</w:t>
      </w:r>
    </w:p>
    <w:p w14:paraId="44E9FF30" w14:textId="766856D0" w:rsidR="00177357" w:rsidRPr="00920145" w:rsidRDefault="003B1DE9" w:rsidP="00E24F0A">
      <w:pPr>
        <w:spacing w:after="120" w:line="360" w:lineRule="auto"/>
        <w:ind w:left="708" w:hanging="141"/>
        <w:jc w:val="both"/>
        <w:rPr>
          <w:rFonts w:ascii="Verdana" w:hAnsi="Verdana" w:cs="Arial"/>
          <w:sz w:val="20"/>
          <w:szCs w:val="20"/>
        </w:rPr>
      </w:pPr>
      <w:r w:rsidRPr="00920145">
        <w:rPr>
          <w:rFonts w:ascii="Verdana" w:hAnsi="Verdana" w:cs="Arial"/>
          <w:sz w:val="20"/>
          <w:szCs w:val="20"/>
        </w:rPr>
        <w:t xml:space="preserve">b) </w:t>
      </w:r>
      <w:r w:rsidR="00177357" w:rsidRPr="00920145">
        <w:rPr>
          <w:rFonts w:ascii="Verdana" w:hAnsi="Verdana" w:cs="Arial"/>
          <w:sz w:val="20"/>
          <w:szCs w:val="20"/>
        </w:rPr>
        <w:t>w ust. 3 wyrazy „począwszy od 1 kwietnia” zastępuje się wyrazami „począwszy od pierwszego poniedziałku kwietnia”;</w:t>
      </w:r>
    </w:p>
    <w:p w14:paraId="00DDF79C" w14:textId="411D48FE" w:rsidR="00177357" w:rsidRPr="00920145" w:rsidRDefault="003B1DE9" w:rsidP="00A23201">
      <w:pPr>
        <w:spacing w:after="120" w:line="360" w:lineRule="auto"/>
        <w:ind w:left="708" w:hanging="141"/>
        <w:jc w:val="both"/>
        <w:rPr>
          <w:rFonts w:ascii="Verdana" w:hAnsi="Verdana" w:cs="Arial"/>
          <w:sz w:val="20"/>
          <w:szCs w:val="20"/>
        </w:rPr>
      </w:pPr>
      <w:r w:rsidRPr="00920145">
        <w:rPr>
          <w:rFonts w:ascii="Verdana" w:hAnsi="Verdana" w:cs="Arial"/>
          <w:sz w:val="20"/>
          <w:szCs w:val="20"/>
        </w:rPr>
        <w:t xml:space="preserve">c) </w:t>
      </w:r>
      <w:r w:rsidR="00177357" w:rsidRPr="00920145">
        <w:rPr>
          <w:rFonts w:ascii="Verdana" w:hAnsi="Verdana" w:cs="Arial"/>
          <w:sz w:val="20"/>
          <w:szCs w:val="20"/>
        </w:rPr>
        <w:t xml:space="preserve">w ust. 6 </w:t>
      </w:r>
      <w:r w:rsidR="00DF15D7" w:rsidRPr="00920145">
        <w:rPr>
          <w:rFonts w:ascii="Verdana" w:hAnsi="Verdana" w:cs="Arial"/>
          <w:sz w:val="20"/>
          <w:szCs w:val="20"/>
        </w:rPr>
        <w:t xml:space="preserve">zdanie pierwsze w </w:t>
      </w:r>
      <w:r w:rsidR="00177357" w:rsidRPr="00920145">
        <w:rPr>
          <w:rFonts w:ascii="Verdana" w:hAnsi="Verdana" w:cs="Arial"/>
          <w:sz w:val="20"/>
          <w:szCs w:val="20"/>
        </w:rPr>
        <w:t>akapi</w:t>
      </w:r>
      <w:r w:rsidR="00DF15D7" w:rsidRPr="00920145">
        <w:rPr>
          <w:rFonts w:ascii="Verdana" w:hAnsi="Verdana" w:cs="Arial"/>
          <w:sz w:val="20"/>
          <w:szCs w:val="20"/>
        </w:rPr>
        <w:t>cie</w:t>
      </w:r>
      <w:r w:rsidR="00177357" w:rsidRPr="00920145">
        <w:rPr>
          <w:rFonts w:ascii="Verdana" w:hAnsi="Verdana" w:cs="Arial"/>
          <w:sz w:val="20"/>
          <w:szCs w:val="20"/>
        </w:rPr>
        <w:t xml:space="preserve"> po pkt 2) otrzymuje brzmienie:</w:t>
      </w:r>
    </w:p>
    <w:p w14:paraId="6BBAB10B" w14:textId="467CB302" w:rsidR="00DF15D7" w:rsidRPr="00920145" w:rsidRDefault="00177357" w:rsidP="003B1DE9">
      <w:pPr>
        <w:spacing w:after="240" w:line="360" w:lineRule="auto"/>
        <w:ind w:left="1080"/>
        <w:jc w:val="both"/>
        <w:rPr>
          <w:rFonts w:ascii="Verdana" w:hAnsi="Verdana"/>
          <w:sz w:val="20"/>
          <w:szCs w:val="20"/>
        </w:rPr>
      </w:pPr>
      <w:r w:rsidRPr="00920145">
        <w:rPr>
          <w:rFonts w:ascii="Verdana" w:hAnsi="Verdana" w:cs="Arial"/>
          <w:sz w:val="20"/>
          <w:szCs w:val="20"/>
        </w:rPr>
        <w:t>„</w:t>
      </w:r>
      <w:r w:rsidR="00DF15D7" w:rsidRPr="00920145">
        <w:rPr>
          <w:rFonts w:ascii="Verdana" w:hAnsi="Verdana"/>
          <w:sz w:val="20"/>
          <w:szCs w:val="20"/>
        </w:rPr>
        <w:t>Minimalna wartość transakcji pakietowej określona w przypadku, o którym mowa pkt 2), obowiązuje do dnia poprzedzającego pierwszy poniedziałek kwietnia następnego roku kalendarzowego, a dla akcji dopuszczonych po raz pierwszy do obrotu w okresie czterech ostatnich tygodni danego roku kalendarzowego – do dnia  poprzedzającego pierwszy poniedziałek kwietnia drugiego roku kalendarzowego.”;</w:t>
      </w:r>
    </w:p>
    <w:p w14:paraId="0A03A3C6" w14:textId="4969DA3C" w:rsidR="00830D76" w:rsidRPr="00920145" w:rsidRDefault="00676B86" w:rsidP="00F8716B">
      <w:pPr>
        <w:pStyle w:val="Akapitzlist"/>
        <w:numPr>
          <w:ilvl w:val="1"/>
          <w:numId w:val="79"/>
        </w:numPr>
        <w:tabs>
          <w:tab w:val="num" w:pos="567"/>
        </w:tabs>
        <w:spacing w:after="120" w:line="360" w:lineRule="auto"/>
        <w:ind w:hanging="796"/>
        <w:contextualSpacing w:val="0"/>
        <w:jc w:val="both"/>
        <w:rPr>
          <w:rFonts w:ascii="Verdana" w:hAnsi="Verdana" w:cs="Arial"/>
          <w:sz w:val="20"/>
          <w:szCs w:val="20"/>
        </w:rPr>
      </w:pPr>
      <w:r w:rsidRPr="00920145">
        <w:rPr>
          <w:rFonts w:ascii="Verdana" w:hAnsi="Verdana" w:cs="Arial"/>
          <w:sz w:val="20"/>
          <w:szCs w:val="20"/>
        </w:rPr>
        <w:t>w § 12d ust. 2 otrzymuje brzmienie:</w:t>
      </w:r>
    </w:p>
    <w:p w14:paraId="6274C497" w14:textId="6FF75B83" w:rsidR="00676B86" w:rsidRPr="00920145" w:rsidRDefault="00676B86" w:rsidP="00EE6E45">
      <w:pPr>
        <w:spacing w:after="240" w:line="360" w:lineRule="auto"/>
        <w:ind w:left="1080" w:firstLine="1"/>
        <w:jc w:val="both"/>
        <w:rPr>
          <w:rFonts w:ascii="Verdana" w:hAnsi="Verdana"/>
          <w:bCs/>
          <w:sz w:val="20"/>
          <w:szCs w:val="20"/>
        </w:rPr>
      </w:pPr>
      <w:r w:rsidRPr="00920145">
        <w:rPr>
          <w:rFonts w:ascii="Verdana" w:hAnsi="Verdana" w:cs="Arial"/>
          <w:sz w:val="20"/>
          <w:szCs w:val="20"/>
        </w:rPr>
        <w:t xml:space="preserve">„2. W przypadku transakcji pakietowej zawieranej poza godzinami sesji giełdowej, transakcja może być zawarta również wtedy, gdy spełnione są warunki określone w ust. 1 pkt 1), a różnica pomiędzy ceną certyfikatu inwestycyjnego w zleceniu a kursem odniesienia nie jest wyższa niż 40%. </w:t>
      </w:r>
      <w:r w:rsidRPr="00920145">
        <w:rPr>
          <w:rFonts w:ascii="Verdana" w:hAnsi="Verdana"/>
          <w:sz w:val="20"/>
          <w:szCs w:val="20"/>
        </w:rPr>
        <w:t xml:space="preserve"> Kursem odniesienia jest ostatni kurs zamknięcia </w:t>
      </w:r>
      <w:r w:rsidRPr="00920145">
        <w:rPr>
          <w:rFonts w:ascii="Verdana" w:hAnsi="Verdana"/>
          <w:bCs/>
          <w:sz w:val="20"/>
          <w:szCs w:val="20"/>
        </w:rPr>
        <w:t>albo ostatni kurs jednolity tych certyfikatów.”;</w:t>
      </w:r>
    </w:p>
    <w:p w14:paraId="7F7EB3C9" w14:textId="1D57842A" w:rsidR="00676B86" w:rsidRPr="00920145" w:rsidRDefault="004B3178" w:rsidP="00F8716B">
      <w:pPr>
        <w:pStyle w:val="Akapitzlist"/>
        <w:numPr>
          <w:ilvl w:val="1"/>
          <w:numId w:val="79"/>
        </w:numPr>
        <w:tabs>
          <w:tab w:val="num" w:pos="567"/>
        </w:tabs>
        <w:spacing w:after="120" w:line="360" w:lineRule="auto"/>
        <w:ind w:hanging="796"/>
        <w:contextualSpacing w:val="0"/>
        <w:jc w:val="both"/>
        <w:rPr>
          <w:rFonts w:ascii="Verdana" w:hAnsi="Verdana" w:cs="Arial"/>
          <w:sz w:val="20"/>
          <w:szCs w:val="20"/>
        </w:rPr>
      </w:pPr>
      <w:r w:rsidRPr="00920145">
        <w:rPr>
          <w:rFonts w:ascii="Verdana" w:hAnsi="Verdana" w:cs="Arial"/>
          <w:sz w:val="20"/>
          <w:szCs w:val="20"/>
        </w:rPr>
        <w:t>w § 15:</w:t>
      </w:r>
    </w:p>
    <w:p w14:paraId="4175FA27" w14:textId="632E0A0F" w:rsidR="004B3178" w:rsidRPr="00920145" w:rsidRDefault="00EE6E45" w:rsidP="00E24F0A">
      <w:pPr>
        <w:spacing w:after="120" w:line="360" w:lineRule="auto"/>
        <w:ind w:left="567"/>
        <w:jc w:val="both"/>
        <w:rPr>
          <w:rFonts w:ascii="Verdana" w:hAnsi="Verdana" w:cs="Arial"/>
          <w:sz w:val="20"/>
          <w:szCs w:val="20"/>
        </w:rPr>
      </w:pPr>
      <w:r w:rsidRPr="00920145">
        <w:rPr>
          <w:rFonts w:ascii="Verdana" w:hAnsi="Verdana" w:cs="Arial"/>
          <w:sz w:val="20"/>
          <w:szCs w:val="20"/>
        </w:rPr>
        <w:t xml:space="preserve">a) </w:t>
      </w:r>
      <w:r w:rsidR="004B3178" w:rsidRPr="00920145">
        <w:rPr>
          <w:rFonts w:ascii="Verdana" w:hAnsi="Verdana" w:cs="Arial"/>
          <w:sz w:val="20"/>
          <w:szCs w:val="20"/>
        </w:rPr>
        <w:t>w ust. 1 wyrazy „z zastrzeżeniem ust. 2 i 3” zastępuje się wyrazami „z zastrzeżeniem ust. 2”;</w:t>
      </w:r>
    </w:p>
    <w:p w14:paraId="4D000A6A" w14:textId="5AD573EE" w:rsidR="004B3178" w:rsidRPr="00920145" w:rsidRDefault="00EE6E45" w:rsidP="00EE6E45">
      <w:pPr>
        <w:spacing w:after="240" w:line="360" w:lineRule="auto"/>
        <w:ind w:left="567"/>
        <w:jc w:val="both"/>
        <w:rPr>
          <w:rFonts w:ascii="Verdana" w:hAnsi="Verdana" w:cs="Arial"/>
          <w:sz w:val="20"/>
          <w:szCs w:val="20"/>
        </w:rPr>
      </w:pPr>
      <w:r w:rsidRPr="00920145">
        <w:rPr>
          <w:rFonts w:ascii="Verdana" w:hAnsi="Verdana" w:cs="Arial"/>
          <w:sz w:val="20"/>
          <w:szCs w:val="20"/>
        </w:rPr>
        <w:t xml:space="preserve">b) </w:t>
      </w:r>
      <w:r w:rsidR="004B3178" w:rsidRPr="00920145">
        <w:rPr>
          <w:rFonts w:ascii="Verdana" w:hAnsi="Verdana" w:cs="Arial"/>
          <w:sz w:val="20"/>
          <w:szCs w:val="20"/>
        </w:rPr>
        <w:t>uchyla się ust. 3;</w:t>
      </w:r>
    </w:p>
    <w:p w14:paraId="15B8383E" w14:textId="5ABD3BBB" w:rsidR="004B3178" w:rsidRPr="00920145" w:rsidRDefault="004B3178" w:rsidP="00F8716B">
      <w:pPr>
        <w:pStyle w:val="Akapitzlist"/>
        <w:numPr>
          <w:ilvl w:val="1"/>
          <w:numId w:val="79"/>
        </w:numPr>
        <w:tabs>
          <w:tab w:val="num" w:pos="567"/>
        </w:tabs>
        <w:spacing w:after="120" w:line="360" w:lineRule="auto"/>
        <w:ind w:hanging="796"/>
        <w:contextualSpacing w:val="0"/>
        <w:jc w:val="both"/>
        <w:rPr>
          <w:rFonts w:ascii="Verdana" w:hAnsi="Verdana" w:cs="Arial"/>
          <w:sz w:val="20"/>
          <w:szCs w:val="20"/>
        </w:rPr>
      </w:pPr>
      <w:r w:rsidRPr="00920145">
        <w:rPr>
          <w:rFonts w:ascii="Verdana" w:hAnsi="Verdana" w:cs="Arial"/>
          <w:sz w:val="20"/>
          <w:szCs w:val="20"/>
        </w:rPr>
        <w:t>w § 18 ust. 2 otrzymuje brzmienie:</w:t>
      </w:r>
    </w:p>
    <w:p w14:paraId="0EF94F4D" w14:textId="26B622D1" w:rsidR="004B3178" w:rsidRPr="00920145" w:rsidRDefault="004B3178" w:rsidP="00E24F0A">
      <w:pPr>
        <w:spacing w:after="240" w:line="360" w:lineRule="auto"/>
        <w:ind w:left="567"/>
        <w:jc w:val="both"/>
        <w:rPr>
          <w:rFonts w:ascii="Verdana" w:hAnsi="Verdana" w:cs="Arial"/>
          <w:sz w:val="20"/>
          <w:szCs w:val="20"/>
        </w:rPr>
      </w:pPr>
      <w:r w:rsidRPr="00920145">
        <w:rPr>
          <w:rFonts w:ascii="Verdana" w:hAnsi="Verdana" w:cs="Arial"/>
          <w:sz w:val="20"/>
          <w:szCs w:val="20"/>
        </w:rPr>
        <w:t xml:space="preserve">„2. </w:t>
      </w:r>
      <w:bookmarkStart w:id="27" w:name="_Hlk195637878"/>
      <w:r w:rsidRPr="00920145">
        <w:rPr>
          <w:rFonts w:ascii="Verdana" w:hAnsi="Verdana" w:cs="Arial"/>
          <w:sz w:val="20"/>
          <w:szCs w:val="20"/>
        </w:rPr>
        <w:t xml:space="preserve">W przypadku transakcji pakietowej zawieranej poza godzinami sesji giełdowej, transakcja może być zawarta również wtedy, gdy spełnione są </w:t>
      </w:r>
      <w:r w:rsidRPr="00920145">
        <w:rPr>
          <w:rFonts w:ascii="Verdana" w:hAnsi="Verdana" w:cs="Arial"/>
          <w:sz w:val="20"/>
          <w:szCs w:val="20"/>
        </w:rPr>
        <w:lastRenderedPageBreak/>
        <w:t>warunki określone w ust. 1 pkt 1), a różnica pomiędzy ceną dłużnego instrumentu finansowego lub instrumentu typu ETC i ETN w zleceniu a kursem odniesienia nie jest wyższa niż 10%.</w:t>
      </w:r>
      <w:r w:rsidRPr="00920145">
        <w:rPr>
          <w:rFonts w:ascii="Verdana" w:hAnsi="Verdana"/>
          <w:sz w:val="20"/>
          <w:szCs w:val="20"/>
        </w:rPr>
        <w:t xml:space="preserve"> Kursem odniesienia jest ostatni kurs zamknięcia </w:t>
      </w:r>
      <w:r w:rsidRPr="00920145">
        <w:rPr>
          <w:rFonts w:ascii="Verdana" w:hAnsi="Verdana"/>
          <w:bCs/>
          <w:sz w:val="20"/>
          <w:szCs w:val="20"/>
        </w:rPr>
        <w:t>albo ostatni kurs jednolity tych instrumentów</w:t>
      </w:r>
      <w:r w:rsidRPr="00920145">
        <w:rPr>
          <w:rFonts w:ascii="Verdana" w:hAnsi="Verdana" w:cs="Arial"/>
          <w:sz w:val="20"/>
          <w:szCs w:val="20"/>
        </w:rPr>
        <w:t>.”;</w:t>
      </w:r>
    </w:p>
    <w:p w14:paraId="781FD664" w14:textId="77777777" w:rsidR="00EE6E45" w:rsidRPr="00920145" w:rsidRDefault="00E2239E" w:rsidP="00E24F0A">
      <w:pPr>
        <w:pStyle w:val="Akapitzlist"/>
        <w:numPr>
          <w:ilvl w:val="1"/>
          <w:numId w:val="79"/>
        </w:numPr>
        <w:tabs>
          <w:tab w:val="num" w:pos="567"/>
        </w:tabs>
        <w:spacing w:after="240" w:line="360" w:lineRule="auto"/>
        <w:ind w:left="851" w:hanging="567"/>
        <w:contextualSpacing w:val="0"/>
        <w:jc w:val="both"/>
        <w:rPr>
          <w:rFonts w:ascii="Verdana" w:hAnsi="Verdana" w:cs="Arial"/>
          <w:sz w:val="20"/>
          <w:szCs w:val="20"/>
        </w:rPr>
      </w:pPr>
      <w:r w:rsidRPr="00920145">
        <w:rPr>
          <w:rFonts w:ascii="Verdana" w:hAnsi="Verdana" w:cs="Arial"/>
          <w:sz w:val="20"/>
          <w:szCs w:val="20"/>
        </w:rPr>
        <w:t>uchyla się Rozdział 4</w:t>
      </w:r>
      <w:r w:rsidR="00EE6E45" w:rsidRPr="00920145">
        <w:rPr>
          <w:rFonts w:ascii="Verdana" w:hAnsi="Verdana" w:cs="Arial"/>
          <w:sz w:val="20"/>
          <w:szCs w:val="20"/>
        </w:rPr>
        <w:t xml:space="preserve"> (§ 21-26); </w:t>
      </w:r>
    </w:p>
    <w:p w14:paraId="0B472F5F" w14:textId="6DDF7CE1" w:rsidR="00E2239E" w:rsidRPr="00920145" w:rsidRDefault="00E44BFB" w:rsidP="00E44BFB">
      <w:pPr>
        <w:pStyle w:val="Akapitzlist"/>
        <w:numPr>
          <w:ilvl w:val="1"/>
          <w:numId w:val="79"/>
        </w:numPr>
        <w:tabs>
          <w:tab w:val="num" w:pos="709"/>
        </w:tabs>
        <w:spacing w:after="120" w:line="360" w:lineRule="auto"/>
        <w:ind w:left="709" w:hanging="425"/>
        <w:contextualSpacing w:val="0"/>
        <w:jc w:val="both"/>
        <w:rPr>
          <w:rFonts w:ascii="Verdana" w:hAnsi="Verdana" w:cs="Arial"/>
          <w:sz w:val="20"/>
          <w:szCs w:val="20"/>
        </w:rPr>
      </w:pPr>
      <w:r w:rsidRPr="00920145">
        <w:rPr>
          <w:rFonts w:ascii="Verdana" w:hAnsi="Verdana" w:cs="Arial"/>
          <w:sz w:val="20"/>
          <w:szCs w:val="20"/>
        </w:rPr>
        <w:t xml:space="preserve"> </w:t>
      </w:r>
      <w:r w:rsidR="006E7663" w:rsidRPr="00920145">
        <w:rPr>
          <w:rFonts w:ascii="Verdana" w:hAnsi="Verdana" w:cs="Arial"/>
          <w:sz w:val="20"/>
          <w:szCs w:val="20"/>
        </w:rPr>
        <w:t>tytuł Rozdziału 5 otrzymuje brzmienie:</w:t>
      </w:r>
    </w:p>
    <w:p w14:paraId="54A0A8AD" w14:textId="19BBFBC0" w:rsidR="006E7663" w:rsidRPr="00920145" w:rsidRDefault="006E7663" w:rsidP="00E44BFB">
      <w:pPr>
        <w:pStyle w:val="Akapitzlist"/>
        <w:spacing w:after="240" w:line="360" w:lineRule="auto"/>
        <w:ind w:left="851"/>
        <w:contextualSpacing w:val="0"/>
        <w:jc w:val="both"/>
        <w:rPr>
          <w:rFonts w:ascii="Verdana" w:hAnsi="Verdana" w:cs="Arial"/>
          <w:sz w:val="20"/>
          <w:szCs w:val="20"/>
        </w:rPr>
      </w:pPr>
      <w:r w:rsidRPr="00920145">
        <w:rPr>
          <w:rFonts w:ascii="Verdana" w:hAnsi="Verdana" w:cs="Arial"/>
          <w:sz w:val="20"/>
          <w:szCs w:val="20"/>
        </w:rPr>
        <w:t xml:space="preserve">„Szczegółowy tryb postępowania przy realizacji wezwania na sprzedaż akcji </w:t>
      </w:r>
      <w:r w:rsidR="00E44BFB" w:rsidRPr="00920145">
        <w:rPr>
          <w:rFonts w:ascii="Verdana" w:hAnsi="Verdana" w:cs="Arial"/>
          <w:sz w:val="20"/>
          <w:szCs w:val="20"/>
        </w:rPr>
        <w:t xml:space="preserve">   </w:t>
      </w:r>
      <w:r w:rsidRPr="00920145">
        <w:rPr>
          <w:rFonts w:ascii="Verdana" w:hAnsi="Verdana" w:cs="Arial"/>
          <w:sz w:val="20"/>
          <w:szCs w:val="20"/>
        </w:rPr>
        <w:t>notowanych na giełdzie”;</w:t>
      </w:r>
    </w:p>
    <w:p w14:paraId="5734E6BC" w14:textId="5C7A00DF" w:rsidR="006E7663" w:rsidRPr="00920145" w:rsidRDefault="006E7663" w:rsidP="00E44BFB">
      <w:pPr>
        <w:pStyle w:val="Akapitzlist"/>
        <w:numPr>
          <w:ilvl w:val="1"/>
          <w:numId w:val="79"/>
        </w:numPr>
        <w:tabs>
          <w:tab w:val="num" w:pos="567"/>
        </w:tabs>
        <w:spacing w:after="120" w:line="360" w:lineRule="auto"/>
        <w:ind w:left="851" w:hanging="567"/>
        <w:contextualSpacing w:val="0"/>
        <w:jc w:val="both"/>
        <w:rPr>
          <w:rFonts w:ascii="Verdana" w:hAnsi="Verdana" w:cs="Arial"/>
          <w:sz w:val="20"/>
          <w:szCs w:val="20"/>
        </w:rPr>
      </w:pPr>
      <w:r w:rsidRPr="00920145">
        <w:rPr>
          <w:rFonts w:ascii="Verdana" w:hAnsi="Verdana" w:cs="Arial"/>
          <w:sz w:val="20"/>
          <w:szCs w:val="20"/>
        </w:rPr>
        <w:t>po § 27 dodaje się § 27a i 27b, w brzmieniu:</w:t>
      </w:r>
    </w:p>
    <w:p w14:paraId="4F80448D" w14:textId="4A9F43AE" w:rsidR="006E7663" w:rsidRPr="00920145" w:rsidRDefault="006E7663" w:rsidP="00E44BFB">
      <w:pPr>
        <w:spacing w:after="120" w:line="360" w:lineRule="auto"/>
        <w:ind w:left="993" w:hanging="142"/>
        <w:jc w:val="both"/>
        <w:rPr>
          <w:rFonts w:ascii="Verdana" w:hAnsi="Verdana" w:cs="Arial"/>
          <w:sz w:val="20"/>
          <w:szCs w:val="20"/>
        </w:rPr>
      </w:pPr>
      <w:r w:rsidRPr="00920145">
        <w:rPr>
          <w:rFonts w:ascii="Verdana" w:hAnsi="Verdana" w:cs="Arial"/>
          <w:sz w:val="20"/>
          <w:szCs w:val="20"/>
        </w:rPr>
        <w:t>„§ 27a</w:t>
      </w:r>
    </w:p>
    <w:p w14:paraId="533AA783" w14:textId="42969D71" w:rsidR="006E7663" w:rsidRPr="00920145" w:rsidRDefault="006E7663" w:rsidP="00E44BFB">
      <w:pPr>
        <w:spacing w:after="240" w:line="360" w:lineRule="auto"/>
        <w:ind w:left="851"/>
        <w:jc w:val="both"/>
        <w:rPr>
          <w:rFonts w:ascii="Verdana" w:hAnsi="Verdana"/>
          <w:sz w:val="20"/>
          <w:szCs w:val="20"/>
        </w:rPr>
      </w:pPr>
      <w:r w:rsidRPr="00920145">
        <w:rPr>
          <w:rFonts w:ascii="Verdana" w:hAnsi="Verdana"/>
          <w:sz w:val="20"/>
          <w:szCs w:val="20"/>
        </w:rPr>
        <w:t xml:space="preserve">Z zastrzeżeniem postanowień niniejszego Działu, do zleceń maklerskich </w:t>
      </w:r>
      <w:r w:rsidR="00F14ADF" w:rsidRPr="00920145">
        <w:rPr>
          <w:rFonts w:ascii="Verdana" w:hAnsi="Verdana"/>
          <w:sz w:val="20"/>
          <w:szCs w:val="20"/>
        </w:rPr>
        <w:br/>
      </w:r>
      <w:r w:rsidRPr="00920145">
        <w:rPr>
          <w:rFonts w:ascii="Verdana" w:hAnsi="Verdana"/>
          <w:sz w:val="20"/>
          <w:szCs w:val="20"/>
        </w:rPr>
        <w:t>i zawieranych na ich podstawie transakcji w ramach realizacji wezwania na sprzedaż akcji notowanych na giełdzie („wezwanie”) stosuje się odpowiednio przepisy Działu IV.</w:t>
      </w:r>
    </w:p>
    <w:p w14:paraId="0C392515" w14:textId="77777777" w:rsidR="006E7663" w:rsidRPr="00920145" w:rsidRDefault="006E7663" w:rsidP="00E44BFB">
      <w:pPr>
        <w:spacing w:after="0" w:line="360" w:lineRule="auto"/>
        <w:ind w:left="993" w:hanging="142"/>
        <w:rPr>
          <w:rFonts w:ascii="Verdana" w:hAnsi="Verdana" w:cs="Arial"/>
          <w:sz w:val="20"/>
          <w:szCs w:val="20"/>
        </w:rPr>
      </w:pPr>
      <w:r w:rsidRPr="00920145">
        <w:rPr>
          <w:rFonts w:ascii="Verdana" w:hAnsi="Verdana" w:cs="Arial"/>
          <w:sz w:val="20"/>
          <w:szCs w:val="20"/>
        </w:rPr>
        <w:t>§ 27b</w:t>
      </w:r>
    </w:p>
    <w:p w14:paraId="07505DF7" w14:textId="3C48F30C" w:rsidR="006E7663" w:rsidRPr="00920145" w:rsidRDefault="006E7663" w:rsidP="00E44BFB">
      <w:pPr>
        <w:pStyle w:val="Akapitzlist"/>
        <w:numPr>
          <w:ilvl w:val="6"/>
          <w:numId w:val="111"/>
        </w:numPr>
        <w:tabs>
          <w:tab w:val="left" w:pos="1276"/>
        </w:tabs>
        <w:spacing w:after="120" w:line="360" w:lineRule="auto"/>
        <w:ind w:left="1276" w:hanging="425"/>
        <w:jc w:val="both"/>
        <w:rPr>
          <w:rFonts w:ascii="Verdana" w:hAnsi="Verdana"/>
          <w:sz w:val="20"/>
          <w:szCs w:val="20"/>
        </w:rPr>
      </w:pPr>
      <w:r w:rsidRPr="00920145">
        <w:rPr>
          <w:rFonts w:ascii="Verdana" w:hAnsi="Verdana"/>
          <w:sz w:val="20"/>
          <w:szCs w:val="20"/>
        </w:rPr>
        <w:t>W ramach realizacji wezwania można składać wyłącznie zlecenia LIMIT.</w:t>
      </w:r>
    </w:p>
    <w:p w14:paraId="31317D36" w14:textId="353DF96D" w:rsidR="006E7663" w:rsidRPr="00920145" w:rsidRDefault="006E7663" w:rsidP="00E44BFB">
      <w:pPr>
        <w:pStyle w:val="Akapitzlist"/>
        <w:numPr>
          <w:ilvl w:val="6"/>
          <w:numId w:val="111"/>
        </w:numPr>
        <w:tabs>
          <w:tab w:val="left" w:pos="1276"/>
        </w:tabs>
        <w:spacing w:after="120" w:line="360" w:lineRule="auto"/>
        <w:ind w:left="1276" w:hanging="425"/>
        <w:jc w:val="both"/>
        <w:rPr>
          <w:rFonts w:ascii="Verdana" w:hAnsi="Verdana"/>
          <w:sz w:val="20"/>
          <w:szCs w:val="20"/>
        </w:rPr>
      </w:pPr>
      <w:r w:rsidRPr="00920145">
        <w:rPr>
          <w:rFonts w:ascii="Verdana" w:hAnsi="Verdana"/>
          <w:sz w:val="20"/>
          <w:szCs w:val="20"/>
        </w:rPr>
        <w:t xml:space="preserve">Zlecenie LIMIT może być realizowane wyłącznie po cenie określonej w wezwaniu, przy czym </w:t>
      </w:r>
      <w:r w:rsidRPr="00920145">
        <w:rPr>
          <w:rFonts w:ascii="Verdana" w:hAnsi="Verdana" w:cs="Arial"/>
          <w:sz w:val="20"/>
          <w:szCs w:val="18"/>
        </w:rPr>
        <w:t>limit ten powinien zostać określony z dokładnością do 0,01 waluty notowania.</w:t>
      </w:r>
    </w:p>
    <w:p w14:paraId="76E3CBDC" w14:textId="13E6B6AD" w:rsidR="006E7663" w:rsidRPr="00920145" w:rsidRDefault="006E7663" w:rsidP="00E44BFB">
      <w:pPr>
        <w:pStyle w:val="Akapitzlist"/>
        <w:numPr>
          <w:ilvl w:val="6"/>
          <w:numId w:val="111"/>
        </w:numPr>
        <w:tabs>
          <w:tab w:val="left" w:pos="1276"/>
          <w:tab w:val="num" w:pos="1898"/>
        </w:tabs>
        <w:spacing w:after="120" w:line="360" w:lineRule="auto"/>
        <w:ind w:left="1276" w:hanging="425"/>
        <w:jc w:val="both"/>
        <w:rPr>
          <w:rFonts w:ascii="Verdana" w:hAnsi="Verdana"/>
          <w:sz w:val="20"/>
          <w:szCs w:val="20"/>
        </w:rPr>
      </w:pPr>
      <w:r w:rsidRPr="00920145">
        <w:rPr>
          <w:rFonts w:ascii="Verdana" w:hAnsi="Verdana"/>
          <w:sz w:val="20"/>
          <w:szCs w:val="20"/>
        </w:rPr>
        <w:t xml:space="preserve">Zlecenie Limit może zawierać wyłącznie następujące oznaczenia maksymalnego okresu ich ważności: </w:t>
      </w:r>
    </w:p>
    <w:p w14:paraId="1C109C87" w14:textId="77777777" w:rsidR="006E7663" w:rsidRPr="00920145" w:rsidRDefault="006E7663" w:rsidP="00E44BFB">
      <w:pPr>
        <w:tabs>
          <w:tab w:val="num" w:pos="426"/>
          <w:tab w:val="num" w:pos="709"/>
          <w:tab w:val="num" w:pos="1843"/>
        </w:tabs>
        <w:spacing w:after="120" w:line="360" w:lineRule="auto"/>
        <w:ind w:left="1276" w:hanging="425"/>
        <w:jc w:val="both"/>
        <w:rPr>
          <w:rFonts w:ascii="Verdana" w:hAnsi="Verdana"/>
          <w:sz w:val="20"/>
          <w:szCs w:val="20"/>
        </w:rPr>
      </w:pPr>
      <w:r w:rsidRPr="00920145">
        <w:rPr>
          <w:rFonts w:ascii="Verdana" w:hAnsi="Verdana"/>
          <w:sz w:val="20"/>
          <w:szCs w:val="20"/>
        </w:rPr>
        <w:tab/>
        <w:t>1) „Ważne do oznaczonego dnia” (WDD),</w:t>
      </w:r>
    </w:p>
    <w:p w14:paraId="4451A635" w14:textId="0E739A13" w:rsidR="006E7663" w:rsidRPr="00920145" w:rsidRDefault="006E7663" w:rsidP="00E44BFB">
      <w:pPr>
        <w:tabs>
          <w:tab w:val="num" w:pos="426"/>
          <w:tab w:val="num" w:pos="709"/>
          <w:tab w:val="num" w:pos="1843"/>
        </w:tabs>
        <w:spacing w:after="240" w:line="360" w:lineRule="auto"/>
        <w:ind w:left="1276" w:hanging="425"/>
        <w:jc w:val="both"/>
        <w:rPr>
          <w:rFonts w:ascii="Verdana" w:hAnsi="Verdana"/>
          <w:sz w:val="20"/>
          <w:szCs w:val="20"/>
        </w:rPr>
      </w:pPr>
      <w:r w:rsidRPr="00920145">
        <w:rPr>
          <w:rFonts w:ascii="Verdana" w:hAnsi="Verdana"/>
          <w:sz w:val="20"/>
          <w:szCs w:val="20"/>
        </w:rPr>
        <w:tab/>
        <w:t>2) „Ważne na czas nieoznaczony” (WDA).”;</w:t>
      </w:r>
    </w:p>
    <w:p w14:paraId="5AF4520F" w14:textId="21B19610" w:rsidR="006E7663" w:rsidRPr="00920145" w:rsidRDefault="007340E4" w:rsidP="00F8716B">
      <w:pPr>
        <w:pStyle w:val="Akapitzlist"/>
        <w:numPr>
          <w:ilvl w:val="1"/>
          <w:numId w:val="79"/>
        </w:numPr>
        <w:tabs>
          <w:tab w:val="num" w:pos="567"/>
        </w:tabs>
        <w:spacing w:after="120" w:line="360" w:lineRule="auto"/>
        <w:ind w:left="709" w:hanging="425"/>
        <w:contextualSpacing w:val="0"/>
        <w:jc w:val="both"/>
        <w:rPr>
          <w:rFonts w:ascii="Verdana" w:hAnsi="Verdana" w:cs="Arial"/>
          <w:sz w:val="20"/>
          <w:szCs w:val="20"/>
        </w:rPr>
      </w:pPr>
      <w:r w:rsidRPr="00920145">
        <w:rPr>
          <w:rFonts w:ascii="Verdana" w:hAnsi="Verdana" w:cs="Arial"/>
          <w:sz w:val="20"/>
          <w:szCs w:val="20"/>
        </w:rPr>
        <w:t>w § 28:</w:t>
      </w:r>
    </w:p>
    <w:p w14:paraId="34D6B449" w14:textId="4D1C1677" w:rsidR="007340E4" w:rsidRPr="00920145" w:rsidRDefault="00C55D32" w:rsidP="00A23201">
      <w:pPr>
        <w:pStyle w:val="Akapitzlist"/>
        <w:spacing w:after="120" w:line="360" w:lineRule="auto"/>
        <w:ind w:left="709"/>
        <w:contextualSpacing w:val="0"/>
        <w:jc w:val="both"/>
        <w:rPr>
          <w:rFonts w:ascii="Verdana" w:hAnsi="Verdana" w:cs="Arial"/>
          <w:sz w:val="20"/>
          <w:szCs w:val="20"/>
        </w:rPr>
      </w:pPr>
      <w:r w:rsidRPr="00920145">
        <w:rPr>
          <w:rFonts w:ascii="Verdana" w:hAnsi="Verdana" w:cs="Arial"/>
          <w:sz w:val="20"/>
          <w:szCs w:val="20"/>
        </w:rPr>
        <w:t xml:space="preserve">a) </w:t>
      </w:r>
      <w:r w:rsidR="00CF0BAE" w:rsidRPr="00920145">
        <w:rPr>
          <w:rFonts w:ascii="Verdana" w:hAnsi="Verdana" w:cs="Arial"/>
          <w:sz w:val="20"/>
          <w:szCs w:val="20"/>
        </w:rPr>
        <w:t>ust. 1 otrzymuje brzmienie:</w:t>
      </w:r>
    </w:p>
    <w:p w14:paraId="2C6637CB" w14:textId="341A3D67" w:rsidR="000750EB" w:rsidRPr="00920145" w:rsidRDefault="00CF0BAE" w:rsidP="00E44BFB">
      <w:pPr>
        <w:pStyle w:val="Akapitzlist"/>
        <w:spacing w:after="120" w:line="360" w:lineRule="auto"/>
        <w:ind w:left="1134"/>
        <w:contextualSpacing w:val="0"/>
        <w:jc w:val="both"/>
        <w:rPr>
          <w:rFonts w:ascii="Verdana" w:hAnsi="Verdana" w:cs="Arial"/>
          <w:sz w:val="20"/>
          <w:szCs w:val="20"/>
        </w:rPr>
      </w:pPr>
      <w:r w:rsidRPr="00920145">
        <w:rPr>
          <w:rFonts w:ascii="Verdana" w:hAnsi="Verdana" w:cs="Arial"/>
          <w:sz w:val="20"/>
          <w:szCs w:val="20"/>
        </w:rPr>
        <w:t>„1. Członek giełdy pośredniczący w przeprowadzeniu wezwania do zapisywania się na sprzedaż akcji notowanych na giełdzie (zwany dalej członkiem giełdy –</w:t>
      </w:r>
      <w:r w:rsidR="000750EB" w:rsidRPr="00920145">
        <w:rPr>
          <w:rFonts w:ascii="Verdana" w:hAnsi="Verdana" w:cs="Arial"/>
          <w:sz w:val="20"/>
          <w:szCs w:val="20"/>
        </w:rPr>
        <w:t xml:space="preserve"> </w:t>
      </w:r>
      <w:r w:rsidRPr="00920145">
        <w:rPr>
          <w:rFonts w:ascii="Verdana" w:hAnsi="Verdana" w:cs="Arial"/>
          <w:sz w:val="20"/>
          <w:szCs w:val="20"/>
        </w:rPr>
        <w:t>pośredniczącym) określa, po uzgodnieniu z Giełdą, dni przekazywania na giełdę zleceń maklerskich w celu realizacji wezwania i dzień realizacji wezwania oraz podaje te informacje do wiadomości uczestników obrotu.</w:t>
      </w:r>
      <w:r w:rsidR="000750EB" w:rsidRPr="00920145">
        <w:rPr>
          <w:rFonts w:ascii="Verdana" w:hAnsi="Verdana" w:cs="Arial"/>
          <w:sz w:val="20"/>
          <w:szCs w:val="20"/>
        </w:rPr>
        <w:t>”;</w:t>
      </w:r>
    </w:p>
    <w:p w14:paraId="6DB26A76" w14:textId="77777777" w:rsidR="009C4CBB" w:rsidRPr="00920145" w:rsidRDefault="009C4CBB" w:rsidP="00E44BFB">
      <w:pPr>
        <w:pStyle w:val="Akapitzlist"/>
        <w:spacing w:after="120" w:line="360" w:lineRule="auto"/>
        <w:ind w:left="1134"/>
        <w:contextualSpacing w:val="0"/>
        <w:jc w:val="both"/>
        <w:rPr>
          <w:rFonts w:ascii="Verdana" w:hAnsi="Verdana" w:cs="Arial"/>
          <w:sz w:val="20"/>
          <w:szCs w:val="20"/>
        </w:rPr>
      </w:pPr>
    </w:p>
    <w:p w14:paraId="46037E01" w14:textId="7EB4216E" w:rsidR="000750EB" w:rsidRPr="00920145" w:rsidRDefault="00C55D32" w:rsidP="00A23201">
      <w:pPr>
        <w:pStyle w:val="Akapitzlist"/>
        <w:spacing w:after="120" w:line="360" w:lineRule="auto"/>
        <w:ind w:left="709"/>
        <w:contextualSpacing w:val="0"/>
        <w:jc w:val="both"/>
        <w:rPr>
          <w:rFonts w:ascii="Verdana" w:hAnsi="Verdana" w:cs="Arial"/>
          <w:sz w:val="20"/>
          <w:szCs w:val="20"/>
        </w:rPr>
      </w:pPr>
      <w:r w:rsidRPr="00920145">
        <w:rPr>
          <w:rFonts w:ascii="Verdana" w:hAnsi="Verdana" w:cs="Arial"/>
          <w:sz w:val="20"/>
          <w:szCs w:val="20"/>
        </w:rPr>
        <w:lastRenderedPageBreak/>
        <w:t xml:space="preserve">b) </w:t>
      </w:r>
      <w:r w:rsidR="000750EB" w:rsidRPr="00920145">
        <w:rPr>
          <w:rFonts w:ascii="Verdana" w:hAnsi="Verdana" w:cs="Arial"/>
          <w:sz w:val="20"/>
          <w:szCs w:val="20"/>
        </w:rPr>
        <w:t>w ust. 2:</w:t>
      </w:r>
    </w:p>
    <w:p w14:paraId="491B0BA2" w14:textId="1C929C46" w:rsidR="000750EB" w:rsidRPr="00920145" w:rsidRDefault="00C55D32" w:rsidP="00E44BFB">
      <w:pPr>
        <w:pStyle w:val="Akapitzlist"/>
        <w:spacing w:after="120" w:line="360" w:lineRule="auto"/>
        <w:ind w:left="1134"/>
        <w:contextualSpacing w:val="0"/>
        <w:jc w:val="both"/>
        <w:rPr>
          <w:rFonts w:ascii="Verdana" w:hAnsi="Verdana" w:cs="Arial"/>
          <w:sz w:val="20"/>
          <w:szCs w:val="20"/>
        </w:rPr>
      </w:pPr>
      <w:r w:rsidRPr="00920145">
        <w:rPr>
          <w:rFonts w:ascii="Verdana" w:hAnsi="Verdana" w:cs="Arial"/>
          <w:sz w:val="20"/>
          <w:szCs w:val="20"/>
        </w:rPr>
        <w:t xml:space="preserve">-  </w:t>
      </w:r>
      <w:r w:rsidR="000750EB" w:rsidRPr="00920145">
        <w:rPr>
          <w:rFonts w:ascii="Verdana" w:hAnsi="Verdana" w:cs="Arial"/>
          <w:sz w:val="20"/>
          <w:szCs w:val="20"/>
        </w:rPr>
        <w:t>zdanie wprowadzające otrzymuje brzmienie:</w:t>
      </w:r>
    </w:p>
    <w:p w14:paraId="440F49D0" w14:textId="3E02916E" w:rsidR="000750EB" w:rsidRPr="00920145" w:rsidRDefault="00E44BFB" w:rsidP="009C4CBB">
      <w:pPr>
        <w:pStyle w:val="Tekstpodstawowywcity310"/>
        <w:spacing w:after="240" w:line="360" w:lineRule="auto"/>
        <w:ind w:left="1134" w:hanging="283"/>
        <w:rPr>
          <w:rFonts w:ascii="Verdana" w:hAnsi="Verdana" w:cs="Arial"/>
        </w:rPr>
      </w:pPr>
      <w:r w:rsidRPr="00920145">
        <w:rPr>
          <w:rFonts w:ascii="Verdana" w:hAnsi="Verdana" w:cs="Arial"/>
        </w:rPr>
        <w:tab/>
      </w:r>
      <w:r w:rsidR="000750EB" w:rsidRPr="00920145">
        <w:rPr>
          <w:rFonts w:ascii="Verdana" w:hAnsi="Verdana" w:cs="Arial"/>
        </w:rPr>
        <w:t xml:space="preserve">„Wniosek, o którym mowa w ust. 1, powinien zawierać w szczególności:”;    </w:t>
      </w:r>
    </w:p>
    <w:p w14:paraId="2DC0F80C" w14:textId="6D2CD543" w:rsidR="000750EB" w:rsidRPr="00920145" w:rsidRDefault="00E44BFB" w:rsidP="00E44BFB">
      <w:pPr>
        <w:pStyle w:val="Tekstpodstawowywcity310"/>
        <w:spacing w:line="360" w:lineRule="auto"/>
        <w:ind w:left="1134" w:hanging="283"/>
        <w:rPr>
          <w:rFonts w:ascii="Verdana" w:hAnsi="Verdana" w:cs="Arial"/>
        </w:rPr>
      </w:pPr>
      <w:r w:rsidRPr="00920145">
        <w:rPr>
          <w:rFonts w:ascii="Verdana" w:hAnsi="Verdana" w:cs="Arial"/>
        </w:rPr>
        <w:tab/>
      </w:r>
      <w:r w:rsidR="00FE13A8" w:rsidRPr="00920145">
        <w:rPr>
          <w:rFonts w:ascii="Verdana" w:hAnsi="Verdana" w:cs="Arial"/>
        </w:rPr>
        <w:t xml:space="preserve">- </w:t>
      </w:r>
      <w:r w:rsidR="002402FD" w:rsidRPr="00920145">
        <w:rPr>
          <w:rFonts w:ascii="Verdana" w:hAnsi="Verdana" w:cs="Arial"/>
        </w:rPr>
        <w:t xml:space="preserve">lit. </w:t>
      </w:r>
      <w:r w:rsidR="00FE13A8" w:rsidRPr="00920145">
        <w:rPr>
          <w:rFonts w:ascii="Verdana" w:hAnsi="Verdana" w:cs="Arial"/>
        </w:rPr>
        <w:t>c) otrzymuje</w:t>
      </w:r>
      <w:r w:rsidR="000750EB" w:rsidRPr="00920145">
        <w:rPr>
          <w:rFonts w:ascii="Verdana" w:hAnsi="Verdana" w:cs="Arial"/>
        </w:rPr>
        <w:t xml:space="preserve"> brzmieni</w:t>
      </w:r>
      <w:r w:rsidR="00FE13A8" w:rsidRPr="00920145">
        <w:rPr>
          <w:rFonts w:ascii="Verdana" w:hAnsi="Verdana" w:cs="Arial"/>
        </w:rPr>
        <w:t>e</w:t>
      </w:r>
      <w:r w:rsidR="000750EB" w:rsidRPr="00920145">
        <w:rPr>
          <w:rFonts w:ascii="Verdana" w:hAnsi="Verdana" w:cs="Arial"/>
        </w:rPr>
        <w:t>:</w:t>
      </w:r>
    </w:p>
    <w:p w14:paraId="21792699" w14:textId="6AFD4D7E" w:rsidR="000750EB" w:rsidRPr="00920145" w:rsidRDefault="00E44BFB" w:rsidP="00CF0805">
      <w:pPr>
        <w:pStyle w:val="Tekstpodstawowywcity310"/>
        <w:spacing w:after="240" w:line="360" w:lineRule="auto"/>
        <w:ind w:left="1276" w:hanging="283"/>
        <w:rPr>
          <w:rFonts w:ascii="Verdana" w:hAnsi="Verdana" w:cs="Arial"/>
        </w:rPr>
      </w:pPr>
      <w:r w:rsidRPr="00920145">
        <w:rPr>
          <w:rFonts w:ascii="Verdana" w:hAnsi="Verdana" w:cs="Arial"/>
        </w:rPr>
        <w:tab/>
      </w:r>
      <w:r w:rsidR="000750EB" w:rsidRPr="00920145">
        <w:rPr>
          <w:rFonts w:ascii="Verdana" w:hAnsi="Verdana" w:cs="Arial"/>
        </w:rPr>
        <w:t>„</w:t>
      </w:r>
      <w:r w:rsidR="00FE13A8" w:rsidRPr="00920145">
        <w:rPr>
          <w:rFonts w:ascii="Verdana" w:hAnsi="Verdana" w:cs="Arial"/>
        </w:rPr>
        <w:t>c</w:t>
      </w:r>
      <w:r w:rsidR="000750EB" w:rsidRPr="00920145">
        <w:rPr>
          <w:rFonts w:ascii="Verdana" w:hAnsi="Verdana" w:cs="Arial"/>
        </w:rPr>
        <w:t>) wskazanie planowanego dnia rozpoczęcia przekazywania na giełdę zleceń maklerskich w celu realizacji wezwania,”;</w:t>
      </w:r>
    </w:p>
    <w:p w14:paraId="57D9A92B" w14:textId="6BFE4B52" w:rsidR="00CF0BAE" w:rsidRPr="00920145" w:rsidRDefault="00C55D32" w:rsidP="00A23201">
      <w:pPr>
        <w:pStyle w:val="Akapitzlist"/>
        <w:spacing w:after="120" w:line="360" w:lineRule="auto"/>
        <w:ind w:left="709"/>
        <w:contextualSpacing w:val="0"/>
        <w:jc w:val="both"/>
        <w:rPr>
          <w:rFonts w:ascii="Verdana" w:hAnsi="Verdana" w:cs="Arial"/>
          <w:sz w:val="20"/>
          <w:szCs w:val="20"/>
        </w:rPr>
      </w:pPr>
      <w:r w:rsidRPr="00920145">
        <w:rPr>
          <w:rFonts w:ascii="Verdana" w:hAnsi="Verdana" w:cs="Arial"/>
          <w:sz w:val="20"/>
          <w:szCs w:val="20"/>
        </w:rPr>
        <w:t xml:space="preserve">c) </w:t>
      </w:r>
      <w:r w:rsidR="000750EB" w:rsidRPr="00920145">
        <w:rPr>
          <w:rFonts w:ascii="Verdana" w:hAnsi="Verdana" w:cs="Arial"/>
          <w:sz w:val="20"/>
          <w:szCs w:val="20"/>
        </w:rPr>
        <w:t>ust. 3 otrzymuje brzmienie:</w:t>
      </w:r>
    </w:p>
    <w:p w14:paraId="640B2A0E" w14:textId="2163D7D4" w:rsidR="000750EB" w:rsidRPr="00920145" w:rsidRDefault="000750EB" w:rsidP="00E44BFB">
      <w:pPr>
        <w:pStyle w:val="Akapitzlist"/>
        <w:spacing w:after="240" w:line="360" w:lineRule="auto"/>
        <w:ind w:left="993"/>
        <w:contextualSpacing w:val="0"/>
        <w:jc w:val="both"/>
        <w:rPr>
          <w:rFonts w:ascii="Verdana" w:hAnsi="Verdana" w:cs="Arial"/>
          <w:sz w:val="20"/>
          <w:szCs w:val="20"/>
        </w:rPr>
      </w:pPr>
      <w:r w:rsidRPr="00920145">
        <w:rPr>
          <w:rFonts w:ascii="Verdana" w:hAnsi="Verdana" w:cs="Arial"/>
          <w:sz w:val="20"/>
          <w:szCs w:val="20"/>
        </w:rPr>
        <w:t xml:space="preserve">„3. Wniosek, o którym mowa w ust. 2, powinien być przesłany na Giełdę nie później niż na 2 dni sesyjne przed planowanym dniem rozpoczęcia przekazywania na giełdę zleceń maklerskich w celu realizacji wezwania, </w:t>
      </w:r>
      <w:r w:rsidR="009C4CBB" w:rsidRPr="00920145">
        <w:rPr>
          <w:rFonts w:ascii="Verdana" w:hAnsi="Verdana" w:cs="Arial"/>
          <w:sz w:val="20"/>
          <w:szCs w:val="20"/>
        </w:rPr>
        <w:br/>
      </w:r>
      <w:r w:rsidRPr="00920145">
        <w:rPr>
          <w:rFonts w:ascii="Verdana" w:hAnsi="Verdana" w:cs="Arial"/>
          <w:sz w:val="20"/>
          <w:szCs w:val="20"/>
        </w:rPr>
        <w:t xml:space="preserve">o którym mowa w ust. 2 </w:t>
      </w:r>
      <w:r w:rsidR="002402FD" w:rsidRPr="00920145">
        <w:rPr>
          <w:rFonts w:ascii="Verdana" w:hAnsi="Verdana" w:cs="Arial"/>
          <w:sz w:val="20"/>
          <w:szCs w:val="20"/>
        </w:rPr>
        <w:t xml:space="preserve">lit. </w:t>
      </w:r>
      <w:r w:rsidR="00FE13A8" w:rsidRPr="00920145">
        <w:rPr>
          <w:rFonts w:ascii="Verdana" w:hAnsi="Verdana" w:cs="Arial"/>
          <w:sz w:val="20"/>
          <w:szCs w:val="20"/>
        </w:rPr>
        <w:t>c</w:t>
      </w:r>
      <w:r w:rsidRPr="00920145">
        <w:rPr>
          <w:rFonts w:ascii="Verdana" w:hAnsi="Verdana" w:cs="Arial"/>
          <w:sz w:val="20"/>
          <w:szCs w:val="20"/>
        </w:rPr>
        <w:t>).”;</w:t>
      </w:r>
    </w:p>
    <w:p w14:paraId="67F7642F" w14:textId="4FA2D700" w:rsidR="000750EB" w:rsidRPr="00920145" w:rsidRDefault="000750EB" w:rsidP="00F8716B">
      <w:pPr>
        <w:pStyle w:val="Akapitzlist"/>
        <w:numPr>
          <w:ilvl w:val="1"/>
          <w:numId w:val="79"/>
        </w:numPr>
        <w:tabs>
          <w:tab w:val="num" w:pos="567"/>
        </w:tabs>
        <w:spacing w:after="120" w:line="360" w:lineRule="auto"/>
        <w:ind w:left="709" w:hanging="425"/>
        <w:contextualSpacing w:val="0"/>
        <w:jc w:val="both"/>
        <w:rPr>
          <w:rFonts w:ascii="Verdana" w:hAnsi="Verdana" w:cs="Arial"/>
          <w:sz w:val="20"/>
          <w:szCs w:val="20"/>
        </w:rPr>
      </w:pPr>
      <w:r w:rsidRPr="00920145">
        <w:rPr>
          <w:rFonts w:ascii="Verdana" w:hAnsi="Verdana" w:cs="Arial"/>
          <w:sz w:val="20"/>
          <w:szCs w:val="20"/>
        </w:rPr>
        <w:t>po § 28 dodaje się § 28a, w brzmieniu:</w:t>
      </w:r>
    </w:p>
    <w:p w14:paraId="4586E818" w14:textId="511898A3" w:rsidR="000750EB" w:rsidRPr="00920145" w:rsidRDefault="000750EB" w:rsidP="00A23201">
      <w:pPr>
        <w:pStyle w:val="Akapitzlist"/>
        <w:spacing w:after="120" w:line="360" w:lineRule="auto"/>
        <w:ind w:left="709" w:hanging="142"/>
        <w:contextualSpacing w:val="0"/>
        <w:jc w:val="both"/>
        <w:rPr>
          <w:rFonts w:ascii="Verdana" w:hAnsi="Verdana" w:cs="Arial"/>
          <w:sz w:val="20"/>
          <w:szCs w:val="20"/>
        </w:rPr>
      </w:pPr>
      <w:r w:rsidRPr="00920145">
        <w:rPr>
          <w:rFonts w:ascii="Verdana" w:hAnsi="Verdana" w:cs="Arial"/>
          <w:sz w:val="20"/>
          <w:szCs w:val="20"/>
        </w:rPr>
        <w:t>„§ 28a</w:t>
      </w:r>
    </w:p>
    <w:p w14:paraId="766EB2C3" w14:textId="77777777" w:rsidR="000750EB" w:rsidRPr="00920145" w:rsidRDefault="000750EB" w:rsidP="00A23201">
      <w:pPr>
        <w:pStyle w:val="Tekstpodstawowy2"/>
        <w:tabs>
          <w:tab w:val="left" w:pos="567"/>
        </w:tabs>
        <w:spacing w:line="360" w:lineRule="auto"/>
        <w:ind w:left="567"/>
        <w:jc w:val="both"/>
        <w:rPr>
          <w:rFonts w:ascii="Verdana" w:hAnsi="Verdana" w:cs="Arial"/>
          <w:bCs/>
          <w:sz w:val="20"/>
          <w:szCs w:val="20"/>
        </w:rPr>
      </w:pPr>
      <w:r w:rsidRPr="00920145">
        <w:rPr>
          <w:rFonts w:ascii="Verdana" w:hAnsi="Verdana" w:cs="Arial"/>
          <w:bCs/>
          <w:sz w:val="20"/>
          <w:szCs w:val="20"/>
        </w:rPr>
        <w:t xml:space="preserve">Składanie zleceń oraz zawieranie transakcji w ramach realizacji wezwania może odbywać się w dniach, w którym odbywają się sesje giełdowe, według następujących harmonogramów: </w:t>
      </w:r>
    </w:p>
    <w:p w14:paraId="0FCCDA94" w14:textId="245F3FF3" w:rsidR="000750EB" w:rsidRPr="00920145" w:rsidRDefault="000750EB" w:rsidP="0063203D">
      <w:pPr>
        <w:pStyle w:val="Tekstpodstawowy2"/>
        <w:numPr>
          <w:ilvl w:val="1"/>
          <w:numId w:val="83"/>
        </w:numPr>
        <w:tabs>
          <w:tab w:val="left" w:pos="0"/>
          <w:tab w:val="num" w:pos="709"/>
          <w:tab w:val="left" w:pos="851"/>
        </w:tabs>
        <w:spacing w:after="240" w:line="360" w:lineRule="auto"/>
        <w:ind w:left="567" w:firstLine="0"/>
        <w:jc w:val="both"/>
        <w:rPr>
          <w:rFonts w:ascii="Verdana" w:hAnsi="Verdana" w:cs="Arial"/>
          <w:bCs/>
          <w:sz w:val="20"/>
          <w:szCs w:val="20"/>
        </w:rPr>
      </w:pPr>
      <w:r w:rsidRPr="00920145">
        <w:rPr>
          <w:rFonts w:ascii="Verdana" w:hAnsi="Verdana"/>
          <w:bCs/>
          <w:iCs/>
          <w:sz w:val="20"/>
          <w:szCs w:val="20"/>
        </w:rPr>
        <w:t xml:space="preserve">harmonogram w dniach poprzedzających dzień realizacji wezwania </w:t>
      </w:r>
      <w:r w:rsidR="00FE13A8" w:rsidRPr="00920145">
        <w:rPr>
          <w:rFonts w:ascii="Verdana" w:hAnsi="Verdana"/>
          <w:bCs/>
          <w:iCs/>
          <w:sz w:val="20"/>
          <w:szCs w:val="20"/>
        </w:rPr>
        <w:br/>
      </w:r>
      <w:r w:rsidRPr="00920145">
        <w:rPr>
          <w:rFonts w:ascii="Verdana" w:hAnsi="Verdana"/>
          <w:bCs/>
          <w:iCs/>
          <w:sz w:val="20"/>
          <w:szCs w:val="20"/>
        </w:rPr>
        <w:t>(z możliwością składania, modyfikowania i anulowania zleceń maklerskich, jednak bez możliwości zawierania transakcji giełdowych):</w:t>
      </w:r>
    </w:p>
    <w:tbl>
      <w:tblPr>
        <w:tblW w:w="793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4961"/>
      </w:tblGrid>
      <w:tr w:rsidR="000750EB" w:rsidRPr="00920145" w14:paraId="447CAFAF" w14:textId="77777777" w:rsidTr="000750EB">
        <w:trPr>
          <w:cantSplit/>
          <w:trHeight w:val="323"/>
        </w:trPr>
        <w:tc>
          <w:tcPr>
            <w:tcW w:w="2977" w:type="dxa"/>
          </w:tcPr>
          <w:p w14:paraId="40EA1D6F" w14:textId="77777777" w:rsidR="000750EB" w:rsidRPr="00920145" w:rsidRDefault="000750EB" w:rsidP="00A23201">
            <w:pPr>
              <w:pStyle w:val="Tekstpodstawowywcity"/>
              <w:tabs>
                <w:tab w:val="left" w:pos="426"/>
              </w:tabs>
              <w:spacing w:line="360" w:lineRule="auto"/>
              <w:jc w:val="both"/>
              <w:rPr>
                <w:rFonts w:ascii="Verdana" w:hAnsi="Verdana" w:cs="Arial"/>
                <w:bCs/>
                <w:sz w:val="20"/>
                <w:szCs w:val="20"/>
              </w:rPr>
            </w:pPr>
            <w:r w:rsidRPr="00920145">
              <w:rPr>
                <w:rFonts w:ascii="Verdana" w:hAnsi="Verdana" w:cs="Arial"/>
                <w:bCs/>
                <w:sz w:val="20"/>
                <w:szCs w:val="20"/>
              </w:rPr>
              <w:t>godz. 8.30 – 17.00</w:t>
            </w:r>
          </w:p>
        </w:tc>
        <w:tc>
          <w:tcPr>
            <w:tcW w:w="4961" w:type="dxa"/>
          </w:tcPr>
          <w:p w14:paraId="7077F19B" w14:textId="2F35DADC" w:rsidR="000750EB" w:rsidRPr="00920145" w:rsidRDefault="000750EB" w:rsidP="00A23201">
            <w:pPr>
              <w:pStyle w:val="Tekstpodstawowywcity"/>
              <w:tabs>
                <w:tab w:val="left" w:pos="426"/>
                <w:tab w:val="left" w:pos="2482"/>
              </w:tabs>
              <w:spacing w:line="360" w:lineRule="auto"/>
              <w:ind w:right="2486" w:hanging="426"/>
              <w:jc w:val="right"/>
              <w:rPr>
                <w:rFonts w:ascii="Verdana" w:hAnsi="Verdana" w:cs="Arial"/>
                <w:bCs/>
                <w:sz w:val="20"/>
                <w:szCs w:val="20"/>
              </w:rPr>
            </w:pPr>
            <w:r w:rsidRPr="00920145">
              <w:rPr>
                <w:rFonts w:ascii="Verdana" w:hAnsi="Verdana" w:cs="Arial"/>
                <w:bCs/>
                <w:sz w:val="20"/>
                <w:szCs w:val="20"/>
              </w:rPr>
              <w:t>Faza składania zleceń</w:t>
            </w:r>
          </w:p>
        </w:tc>
      </w:tr>
    </w:tbl>
    <w:p w14:paraId="7E6CA775" w14:textId="77777777" w:rsidR="000750EB" w:rsidRPr="00920145" w:rsidRDefault="000750EB" w:rsidP="00A23201">
      <w:pPr>
        <w:pStyle w:val="Tekstpodstawowywcity310"/>
        <w:tabs>
          <w:tab w:val="left" w:pos="426"/>
        </w:tabs>
        <w:spacing w:line="360" w:lineRule="auto"/>
        <w:ind w:hanging="426"/>
        <w:rPr>
          <w:rFonts w:ascii="Verdana" w:hAnsi="Verdana" w:cs="Arial"/>
          <w:bCs/>
        </w:rPr>
      </w:pPr>
    </w:p>
    <w:p w14:paraId="2961405F" w14:textId="77777777" w:rsidR="000750EB" w:rsidRPr="00920145" w:rsidRDefault="000750EB" w:rsidP="0063203D">
      <w:pPr>
        <w:pStyle w:val="Default"/>
        <w:numPr>
          <w:ilvl w:val="1"/>
          <w:numId w:val="83"/>
        </w:numPr>
        <w:tabs>
          <w:tab w:val="left" w:pos="709"/>
          <w:tab w:val="left" w:pos="851"/>
        </w:tabs>
        <w:spacing w:after="240" w:line="360" w:lineRule="auto"/>
        <w:ind w:left="567" w:firstLine="0"/>
        <w:jc w:val="both"/>
        <w:rPr>
          <w:bCs/>
          <w:iCs/>
          <w:color w:val="auto"/>
          <w:sz w:val="20"/>
          <w:szCs w:val="20"/>
        </w:rPr>
      </w:pPr>
      <w:r w:rsidRPr="00920145">
        <w:rPr>
          <w:bCs/>
          <w:iCs/>
          <w:color w:val="auto"/>
          <w:sz w:val="20"/>
          <w:szCs w:val="20"/>
        </w:rPr>
        <w:t>harmonogram w dniu realizacji wezwania (z możliwością składania, modyfikowania i anulowania zleceń maklerskich - w fazie składania zleceń oraz możliwością zawierania transakcji giełdowych - w fazie realizacji wezwania):</w:t>
      </w:r>
    </w:p>
    <w:tbl>
      <w:tblPr>
        <w:tblW w:w="8004"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3"/>
        <w:gridCol w:w="4961"/>
      </w:tblGrid>
      <w:tr w:rsidR="000750EB" w:rsidRPr="00920145" w14:paraId="5D089867" w14:textId="77777777" w:rsidTr="000750EB">
        <w:trPr>
          <w:cantSplit/>
          <w:trHeight w:val="323"/>
        </w:trPr>
        <w:tc>
          <w:tcPr>
            <w:tcW w:w="3043" w:type="dxa"/>
          </w:tcPr>
          <w:p w14:paraId="12EF4293" w14:textId="77777777" w:rsidR="000750EB" w:rsidRPr="00920145" w:rsidRDefault="000750EB" w:rsidP="00A23201">
            <w:pPr>
              <w:pStyle w:val="Tekstpodstawowywcity"/>
              <w:tabs>
                <w:tab w:val="left" w:pos="426"/>
              </w:tabs>
              <w:spacing w:line="360" w:lineRule="auto"/>
              <w:ind w:right="639" w:firstLine="71"/>
              <w:jc w:val="both"/>
              <w:rPr>
                <w:rFonts w:ascii="Verdana" w:hAnsi="Verdana" w:cs="Arial"/>
                <w:bCs/>
                <w:sz w:val="20"/>
                <w:szCs w:val="20"/>
              </w:rPr>
            </w:pPr>
            <w:r w:rsidRPr="00920145">
              <w:rPr>
                <w:rFonts w:ascii="Verdana" w:hAnsi="Verdana" w:cs="Arial"/>
                <w:bCs/>
                <w:sz w:val="20"/>
                <w:szCs w:val="20"/>
              </w:rPr>
              <w:t xml:space="preserve">godz. 8.30 – 14.00 </w:t>
            </w:r>
          </w:p>
        </w:tc>
        <w:tc>
          <w:tcPr>
            <w:tcW w:w="4961" w:type="dxa"/>
          </w:tcPr>
          <w:p w14:paraId="7FD9AE81" w14:textId="77777777" w:rsidR="000750EB" w:rsidRPr="00920145" w:rsidRDefault="000750EB" w:rsidP="00A23201">
            <w:pPr>
              <w:pStyle w:val="Tekstpodstawowywcity"/>
              <w:tabs>
                <w:tab w:val="left" w:pos="426"/>
              </w:tabs>
              <w:spacing w:line="360" w:lineRule="auto"/>
              <w:ind w:right="68" w:firstLine="210"/>
              <w:jc w:val="both"/>
              <w:rPr>
                <w:rFonts w:ascii="Verdana" w:hAnsi="Verdana" w:cs="Arial"/>
                <w:bCs/>
                <w:sz w:val="20"/>
                <w:szCs w:val="20"/>
              </w:rPr>
            </w:pPr>
            <w:r w:rsidRPr="00920145">
              <w:rPr>
                <w:rFonts w:ascii="Verdana" w:hAnsi="Verdana" w:cs="Arial"/>
                <w:bCs/>
                <w:sz w:val="20"/>
                <w:szCs w:val="20"/>
              </w:rPr>
              <w:t>Faza składania zleceń</w:t>
            </w:r>
          </w:p>
        </w:tc>
      </w:tr>
      <w:tr w:rsidR="000750EB" w:rsidRPr="00920145" w14:paraId="785668EA" w14:textId="77777777" w:rsidTr="000750EB">
        <w:trPr>
          <w:cantSplit/>
        </w:trPr>
        <w:tc>
          <w:tcPr>
            <w:tcW w:w="3043" w:type="dxa"/>
          </w:tcPr>
          <w:p w14:paraId="2DCB85E7" w14:textId="77777777" w:rsidR="000750EB" w:rsidRPr="00920145" w:rsidRDefault="000750EB" w:rsidP="00A23201">
            <w:pPr>
              <w:pStyle w:val="Tekstpodstawowywcity"/>
              <w:tabs>
                <w:tab w:val="left" w:pos="70"/>
              </w:tabs>
              <w:spacing w:line="360" w:lineRule="auto"/>
              <w:ind w:right="217" w:hanging="213"/>
              <w:jc w:val="both"/>
              <w:rPr>
                <w:rFonts w:ascii="Verdana" w:hAnsi="Verdana" w:cs="Arial"/>
                <w:bCs/>
                <w:sz w:val="20"/>
                <w:szCs w:val="20"/>
              </w:rPr>
            </w:pPr>
            <w:r w:rsidRPr="00920145">
              <w:rPr>
                <w:rFonts w:ascii="Verdana" w:hAnsi="Verdana" w:cs="Arial"/>
                <w:bCs/>
                <w:sz w:val="20"/>
                <w:szCs w:val="20"/>
              </w:rPr>
              <w:t xml:space="preserve">    godz. 14.00 – 17.00</w:t>
            </w:r>
          </w:p>
        </w:tc>
        <w:tc>
          <w:tcPr>
            <w:tcW w:w="4961" w:type="dxa"/>
          </w:tcPr>
          <w:p w14:paraId="73DCCAA1" w14:textId="77777777" w:rsidR="000750EB" w:rsidRPr="00920145" w:rsidRDefault="000750EB" w:rsidP="00A23201">
            <w:pPr>
              <w:pStyle w:val="Tekstpodstawowywcity"/>
              <w:tabs>
                <w:tab w:val="left" w:pos="66"/>
              </w:tabs>
              <w:spacing w:line="360" w:lineRule="auto"/>
              <w:ind w:right="66" w:firstLine="208"/>
              <w:jc w:val="both"/>
              <w:rPr>
                <w:rFonts w:ascii="Verdana" w:hAnsi="Verdana" w:cs="Arial"/>
                <w:bCs/>
                <w:sz w:val="20"/>
                <w:szCs w:val="20"/>
              </w:rPr>
            </w:pPr>
            <w:r w:rsidRPr="00920145">
              <w:rPr>
                <w:rFonts w:ascii="Verdana" w:hAnsi="Verdana" w:cs="Arial"/>
                <w:bCs/>
                <w:sz w:val="20"/>
                <w:szCs w:val="20"/>
              </w:rPr>
              <w:t>Faza realizacji wezwania</w:t>
            </w:r>
          </w:p>
        </w:tc>
      </w:tr>
    </w:tbl>
    <w:p w14:paraId="37A490BD" w14:textId="38315BE6" w:rsidR="000750EB" w:rsidRPr="00920145" w:rsidRDefault="000750EB" w:rsidP="00A23201">
      <w:pPr>
        <w:pStyle w:val="Akapitzlist"/>
        <w:spacing w:after="120" w:line="360" w:lineRule="auto"/>
        <w:ind w:left="709"/>
        <w:contextualSpacing w:val="0"/>
        <w:jc w:val="both"/>
        <w:rPr>
          <w:rFonts w:ascii="Verdana" w:hAnsi="Verdana" w:cs="Arial"/>
          <w:sz w:val="20"/>
          <w:szCs w:val="20"/>
        </w:rPr>
      </w:pPr>
    </w:p>
    <w:p w14:paraId="589F45B8" w14:textId="533065EF" w:rsidR="009C4CBB" w:rsidRPr="00920145" w:rsidRDefault="009C4CBB" w:rsidP="00A23201">
      <w:pPr>
        <w:pStyle w:val="Akapitzlist"/>
        <w:spacing w:after="120" w:line="360" w:lineRule="auto"/>
        <w:ind w:left="709"/>
        <w:contextualSpacing w:val="0"/>
        <w:jc w:val="both"/>
        <w:rPr>
          <w:rFonts w:ascii="Verdana" w:hAnsi="Verdana" w:cs="Arial"/>
          <w:sz w:val="20"/>
          <w:szCs w:val="20"/>
        </w:rPr>
      </w:pPr>
    </w:p>
    <w:p w14:paraId="02C35453" w14:textId="636E03B0" w:rsidR="009C4CBB" w:rsidRPr="00920145" w:rsidRDefault="009C4CBB" w:rsidP="00A23201">
      <w:pPr>
        <w:pStyle w:val="Akapitzlist"/>
        <w:spacing w:after="120" w:line="360" w:lineRule="auto"/>
        <w:ind w:left="709"/>
        <w:contextualSpacing w:val="0"/>
        <w:jc w:val="both"/>
        <w:rPr>
          <w:rFonts w:ascii="Verdana" w:hAnsi="Verdana" w:cs="Arial"/>
          <w:sz w:val="20"/>
          <w:szCs w:val="20"/>
        </w:rPr>
      </w:pPr>
    </w:p>
    <w:p w14:paraId="0E9071F9" w14:textId="77777777" w:rsidR="009C4CBB" w:rsidRPr="00920145" w:rsidRDefault="009C4CBB" w:rsidP="00A23201">
      <w:pPr>
        <w:pStyle w:val="Akapitzlist"/>
        <w:spacing w:after="120" w:line="360" w:lineRule="auto"/>
        <w:ind w:left="709"/>
        <w:contextualSpacing w:val="0"/>
        <w:jc w:val="both"/>
        <w:rPr>
          <w:rFonts w:ascii="Verdana" w:hAnsi="Verdana" w:cs="Arial"/>
          <w:sz w:val="20"/>
          <w:szCs w:val="20"/>
        </w:rPr>
      </w:pPr>
    </w:p>
    <w:p w14:paraId="1230F308" w14:textId="63EF4710" w:rsidR="00CF0BAE" w:rsidRPr="00920145" w:rsidRDefault="0087787B" w:rsidP="00F8716B">
      <w:pPr>
        <w:pStyle w:val="Akapitzlist"/>
        <w:numPr>
          <w:ilvl w:val="1"/>
          <w:numId w:val="79"/>
        </w:numPr>
        <w:tabs>
          <w:tab w:val="num" w:pos="567"/>
        </w:tabs>
        <w:spacing w:after="120" w:line="360" w:lineRule="auto"/>
        <w:ind w:left="709" w:hanging="425"/>
        <w:contextualSpacing w:val="0"/>
        <w:jc w:val="both"/>
        <w:rPr>
          <w:rFonts w:ascii="Verdana" w:hAnsi="Verdana" w:cs="Arial"/>
          <w:sz w:val="20"/>
          <w:szCs w:val="20"/>
        </w:rPr>
      </w:pPr>
      <w:r w:rsidRPr="00920145">
        <w:rPr>
          <w:rFonts w:ascii="Verdana" w:hAnsi="Verdana" w:cs="Arial"/>
          <w:sz w:val="20"/>
          <w:szCs w:val="20"/>
        </w:rPr>
        <w:lastRenderedPageBreak/>
        <w:t>§ 29 otrzymuje brzmienie:</w:t>
      </w:r>
    </w:p>
    <w:p w14:paraId="6D860AF3" w14:textId="2524B215" w:rsidR="0087787B" w:rsidRPr="00920145" w:rsidRDefault="0087787B" w:rsidP="009C4CBB">
      <w:pPr>
        <w:pStyle w:val="Akapitzlist"/>
        <w:spacing w:after="120" w:line="360" w:lineRule="auto"/>
        <w:ind w:left="709" w:hanging="1"/>
        <w:contextualSpacing w:val="0"/>
        <w:jc w:val="both"/>
        <w:rPr>
          <w:rFonts w:ascii="Verdana" w:hAnsi="Verdana" w:cs="Arial"/>
          <w:sz w:val="20"/>
          <w:szCs w:val="20"/>
        </w:rPr>
      </w:pPr>
      <w:r w:rsidRPr="00920145">
        <w:rPr>
          <w:rFonts w:ascii="Verdana" w:hAnsi="Verdana" w:cs="Arial"/>
          <w:sz w:val="20"/>
          <w:szCs w:val="20"/>
        </w:rPr>
        <w:t>„§ 29</w:t>
      </w:r>
    </w:p>
    <w:p w14:paraId="7FE88700" w14:textId="2060D139" w:rsidR="00190962" w:rsidRPr="00920145" w:rsidRDefault="0087787B" w:rsidP="009C4CBB">
      <w:pPr>
        <w:pStyle w:val="Tekstpodstawowywcity310"/>
        <w:tabs>
          <w:tab w:val="clear" w:pos="720"/>
          <w:tab w:val="left" w:pos="567"/>
        </w:tabs>
        <w:spacing w:after="240" w:line="360" w:lineRule="auto"/>
        <w:ind w:left="708" w:firstLine="0"/>
        <w:rPr>
          <w:rFonts w:ascii="Verdana" w:hAnsi="Verdana" w:cs="Arial"/>
        </w:rPr>
      </w:pPr>
      <w:r w:rsidRPr="00920145">
        <w:rPr>
          <w:rFonts w:ascii="Verdana" w:hAnsi="Verdana" w:cs="Arial"/>
        </w:rPr>
        <w:t>Zarząd Giełdy lub upoważniony przez Zarząd Giełdy pracownik Giełdy może w ciągu jednego dnia sesyjnego od dnia otrzymania wniosku, o którym mowa w § 28, wyrazić sprzeciw co do planowanego dnia rozpoczęcia przekazywania na giełdę zleceń maklerskich w celu realizacji wezwania lub planowanego dnia realizacji wezwania.”;</w:t>
      </w:r>
    </w:p>
    <w:p w14:paraId="72EAC5A0" w14:textId="7BE7002F" w:rsidR="0087787B" w:rsidRPr="00920145" w:rsidRDefault="0087787B" w:rsidP="0063203D">
      <w:pPr>
        <w:pStyle w:val="Akapitzlist"/>
        <w:numPr>
          <w:ilvl w:val="1"/>
          <w:numId w:val="79"/>
        </w:numPr>
        <w:spacing w:after="240" w:line="240" w:lineRule="auto"/>
        <w:ind w:left="709" w:hanging="425"/>
        <w:contextualSpacing w:val="0"/>
        <w:rPr>
          <w:rFonts w:ascii="Verdana" w:hAnsi="Verdana" w:cs="Arial"/>
        </w:rPr>
      </w:pPr>
      <w:r w:rsidRPr="00920145">
        <w:rPr>
          <w:rFonts w:ascii="Verdana" w:hAnsi="Verdana" w:cs="Arial"/>
          <w:sz w:val="20"/>
          <w:szCs w:val="20"/>
        </w:rPr>
        <w:t>§ 30 otrzymuje brzmienie:</w:t>
      </w:r>
    </w:p>
    <w:p w14:paraId="55D302FD" w14:textId="51B65799" w:rsidR="0087787B" w:rsidRPr="00920145" w:rsidRDefault="0087787B" w:rsidP="00A23201">
      <w:pPr>
        <w:pStyle w:val="Akapitzlist"/>
        <w:spacing w:after="120" w:line="360" w:lineRule="auto"/>
        <w:ind w:left="709"/>
        <w:contextualSpacing w:val="0"/>
        <w:jc w:val="both"/>
        <w:rPr>
          <w:rFonts w:ascii="Verdana" w:hAnsi="Verdana" w:cs="Arial"/>
          <w:sz w:val="20"/>
          <w:szCs w:val="20"/>
        </w:rPr>
      </w:pPr>
      <w:r w:rsidRPr="00920145">
        <w:rPr>
          <w:rFonts w:ascii="Verdana" w:hAnsi="Verdana" w:cs="Arial"/>
          <w:sz w:val="20"/>
          <w:szCs w:val="20"/>
        </w:rPr>
        <w:t>„§ 30</w:t>
      </w:r>
    </w:p>
    <w:p w14:paraId="5ADE9E24" w14:textId="584B62FA" w:rsidR="0087787B" w:rsidRPr="00920145" w:rsidRDefault="0087787B" w:rsidP="00FE13A8">
      <w:pPr>
        <w:spacing w:after="240" w:line="360" w:lineRule="auto"/>
        <w:ind w:left="709"/>
        <w:jc w:val="both"/>
        <w:rPr>
          <w:rFonts w:ascii="Verdana" w:hAnsi="Verdana" w:cs="Arial"/>
          <w:sz w:val="20"/>
          <w:szCs w:val="18"/>
        </w:rPr>
      </w:pPr>
      <w:r w:rsidRPr="00920145">
        <w:rPr>
          <w:rFonts w:ascii="Verdana" w:hAnsi="Verdana" w:cs="Arial"/>
          <w:sz w:val="20"/>
          <w:szCs w:val="18"/>
        </w:rPr>
        <w:t xml:space="preserve">Członek giełdy-pośredniczący zobowiązany jest do przekazania Giełdzie,  przed planowanym dniem rozpoczęcia przekazywania </w:t>
      </w:r>
      <w:r w:rsidRPr="00920145">
        <w:rPr>
          <w:rFonts w:ascii="Verdana" w:hAnsi="Verdana" w:cs="Arial"/>
          <w:sz w:val="20"/>
          <w:szCs w:val="20"/>
        </w:rPr>
        <w:t>na giełdę zleceń maklerskich w celu</w:t>
      </w:r>
      <w:r w:rsidRPr="00920145">
        <w:rPr>
          <w:rFonts w:ascii="Verdana" w:hAnsi="Verdana" w:cs="Arial"/>
          <w:sz w:val="20"/>
          <w:szCs w:val="18"/>
        </w:rPr>
        <w:t xml:space="preserve"> realizacji wezwania, </w:t>
      </w:r>
      <w:r w:rsidRPr="00920145">
        <w:rPr>
          <w:rFonts w:ascii="Verdana" w:hAnsi="Verdana" w:cs="Arial"/>
          <w:sz w:val="20"/>
          <w:szCs w:val="20"/>
        </w:rPr>
        <w:t xml:space="preserve">o którym mowa w § 28 ust. 2 </w:t>
      </w:r>
      <w:r w:rsidR="002402FD" w:rsidRPr="00920145">
        <w:rPr>
          <w:rFonts w:ascii="Verdana" w:hAnsi="Verdana" w:cs="Arial"/>
          <w:sz w:val="20"/>
          <w:szCs w:val="20"/>
        </w:rPr>
        <w:t xml:space="preserve">lit. </w:t>
      </w:r>
      <w:r w:rsidR="00FE13A8" w:rsidRPr="00920145">
        <w:rPr>
          <w:rFonts w:ascii="Verdana" w:hAnsi="Verdana" w:cs="Arial"/>
          <w:sz w:val="20"/>
          <w:szCs w:val="20"/>
        </w:rPr>
        <w:t>c</w:t>
      </w:r>
      <w:r w:rsidR="002402FD" w:rsidRPr="00920145">
        <w:rPr>
          <w:rFonts w:ascii="Verdana" w:hAnsi="Verdana" w:cs="Arial"/>
          <w:sz w:val="20"/>
          <w:szCs w:val="20"/>
        </w:rPr>
        <w:t>)</w:t>
      </w:r>
      <w:r w:rsidRPr="00920145">
        <w:rPr>
          <w:rFonts w:ascii="Verdana" w:hAnsi="Verdana" w:cs="Arial"/>
          <w:sz w:val="20"/>
          <w:szCs w:val="20"/>
        </w:rPr>
        <w:t>,</w:t>
      </w:r>
      <w:r w:rsidRPr="00920145">
        <w:rPr>
          <w:rFonts w:ascii="Verdana" w:hAnsi="Verdana" w:cs="Arial"/>
          <w:sz w:val="20"/>
          <w:szCs w:val="18"/>
        </w:rPr>
        <w:t xml:space="preserve"> zestawienia obejmującego liczbę i wolumen zleceń maklerskich podlegających realizacji w ramach wezwania, przekazanych przez poszczególnych członków giełdy. Zestawienie to przekazywane jest w uzgodnionej z Giełdą formie elektronicznej.”;</w:t>
      </w:r>
    </w:p>
    <w:p w14:paraId="1DBF7C36" w14:textId="439A2552" w:rsidR="0087787B" w:rsidRPr="00920145" w:rsidRDefault="0087787B" w:rsidP="00F8716B">
      <w:pPr>
        <w:pStyle w:val="Akapitzlist"/>
        <w:numPr>
          <w:ilvl w:val="1"/>
          <w:numId w:val="79"/>
        </w:numPr>
        <w:tabs>
          <w:tab w:val="num" w:pos="567"/>
        </w:tabs>
        <w:spacing w:after="240" w:line="360" w:lineRule="auto"/>
        <w:ind w:left="709" w:hanging="425"/>
        <w:contextualSpacing w:val="0"/>
        <w:jc w:val="both"/>
        <w:rPr>
          <w:rFonts w:ascii="Verdana" w:hAnsi="Verdana" w:cs="Arial"/>
          <w:sz w:val="20"/>
          <w:szCs w:val="18"/>
        </w:rPr>
      </w:pPr>
      <w:r w:rsidRPr="00920145">
        <w:rPr>
          <w:rFonts w:ascii="Verdana" w:hAnsi="Verdana" w:cs="Arial"/>
          <w:sz w:val="20"/>
          <w:szCs w:val="18"/>
        </w:rPr>
        <w:t>uchyla się § 32 i § 33;</w:t>
      </w:r>
    </w:p>
    <w:p w14:paraId="2E35E4D6" w14:textId="62D9E839" w:rsidR="00F07ACE" w:rsidRPr="00920145" w:rsidRDefault="00F07ACE" w:rsidP="00F8716B">
      <w:pPr>
        <w:pStyle w:val="Akapitzlist"/>
        <w:numPr>
          <w:ilvl w:val="1"/>
          <w:numId w:val="79"/>
        </w:numPr>
        <w:tabs>
          <w:tab w:val="num" w:pos="567"/>
        </w:tabs>
        <w:spacing w:after="120" w:line="360" w:lineRule="auto"/>
        <w:ind w:left="709" w:hanging="425"/>
        <w:contextualSpacing w:val="0"/>
        <w:jc w:val="both"/>
        <w:rPr>
          <w:rFonts w:ascii="Verdana" w:hAnsi="Verdana" w:cs="Arial"/>
          <w:sz w:val="20"/>
          <w:szCs w:val="18"/>
        </w:rPr>
      </w:pPr>
      <w:r w:rsidRPr="00920145">
        <w:rPr>
          <w:rFonts w:ascii="Verdana" w:hAnsi="Verdana" w:cs="Arial"/>
          <w:sz w:val="20"/>
          <w:szCs w:val="18"/>
        </w:rPr>
        <w:t>tytuł Rozdziału 6 otrzymuje brzmienie:</w:t>
      </w:r>
    </w:p>
    <w:p w14:paraId="3A6F5A12" w14:textId="6957EC65" w:rsidR="00F07ACE" w:rsidRPr="00920145" w:rsidRDefault="00F07ACE" w:rsidP="00FE13A8">
      <w:pPr>
        <w:pStyle w:val="Akapitzlist"/>
        <w:spacing w:after="240" w:line="360" w:lineRule="auto"/>
        <w:ind w:left="709" w:hanging="142"/>
        <w:contextualSpacing w:val="0"/>
        <w:jc w:val="both"/>
        <w:rPr>
          <w:rFonts w:ascii="Verdana" w:hAnsi="Verdana" w:cs="Arial"/>
          <w:sz w:val="20"/>
          <w:szCs w:val="18"/>
        </w:rPr>
      </w:pPr>
      <w:r w:rsidRPr="00920145">
        <w:rPr>
          <w:rFonts w:ascii="Verdana" w:hAnsi="Verdana" w:cs="Arial"/>
          <w:sz w:val="20"/>
          <w:szCs w:val="18"/>
        </w:rPr>
        <w:t>„Szczegółowy tryb postępowania przy realizacji transakcji skupu akcji notowanych na giełdzie”;</w:t>
      </w:r>
    </w:p>
    <w:p w14:paraId="02CC47D9" w14:textId="16E7F674" w:rsidR="00F07ACE" w:rsidRPr="00920145" w:rsidRDefault="00F07ACE" w:rsidP="00F8716B">
      <w:pPr>
        <w:pStyle w:val="Akapitzlist"/>
        <w:numPr>
          <w:ilvl w:val="1"/>
          <w:numId w:val="79"/>
        </w:numPr>
        <w:tabs>
          <w:tab w:val="num" w:pos="567"/>
        </w:tabs>
        <w:spacing w:after="240" w:line="360" w:lineRule="auto"/>
        <w:ind w:left="709" w:hanging="425"/>
        <w:contextualSpacing w:val="0"/>
        <w:jc w:val="both"/>
        <w:rPr>
          <w:rFonts w:ascii="Verdana" w:hAnsi="Verdana" w:cs="Arial"/>
          <w:sz w:val="20"/>
          <w:szCs w:val="18"/>
        </w:rPr>
      </w:pPr>
      <w:r w:rsidRPr="00920145">
        <w:rPr>
          <w:rFonts w:ascii="Verdana" w:hAnsi="Verdana" w:cs="Arial"/>
          <w:sz w:val="20"/>
          <w:szCs w:val="18"/>
        </w:rPr>
        <w:t>w Rozdziale 6 przed § 36 dodaje się § 35a i 35b, w brzmieniu:</w:t>
      </w:r>
    </w:p>
    <w:p w14:paraId="5A17D7A2" w14:textId="1E8CD178" w:rsidR="00F07ACE" w:rsidRPr="00920145" w:rsidRDefault="00F07ACE" w:rsidP="00A23201">
      <w:pPr>
        <w:pStyle w:val="Akapitzlist"/>
        <w:spacing w:after="120" w:line="360" w:lineRule="auto"/>
        <w:ind w:left="709" w:hanging="142"/>
        <w:contextualSpacing w:val="0"/>
        <w:jc w:val="both"/>
        <w:rPr>
          <w:rFonts w:ascii="Verdana" w:hAnsi="Verdana" w:cs="Arial"/>
          <w:sz w:val="20"/>
          <w:szCs w:val="18"/>
        </w:rPr>
      </w:pPr>
      <w:r w:rsidRPr="00920145">
        <w:rPr>
          <w:rFonts w:ascii="Verdana" w:hAnsi="Verdana" w:cs="Arial"/>
          <w:sz w:val="20"/>
          <w:szCs w:val="18"/>
        </w:rPr>
        <w:t>„§ 35a</w:t>
      </w:r>
    </w:p>
    <w:p w14:paraId="51B86C19" w14:textId="77777777" w:rsidR="00F07ACE" w:rsidRPr="00920145" w:rsidRDefault="00F07ACE" w:rsidP="00A23201">
      <w:pPr>
        <w:spacing w:after="120" w:line="360" w:lineRule="auto"/>
        <w:ind w:left="567"/>
        <w:jc w:val="both"/>
        <w:rPr>
          <w:rFonts w:ascii="Verdana" w:hAnsi="Verdana"/>
          <w:sz w:val="20"/>
          <w:szCs w:val="20"/>
        </w:rPr>
      </w:pPr>
      <w:r w:rsidRPr="00920145">
        <w:rPr>
          <w:rFonts w:ascii="Verdana" w:hAnsi="Verdana"/>
          <w:sz w:val="20"/>
          <w:szCs w:val="20"/>
        </w:rPr>
        <w:t xml:space="preserve">Z zastrzeżeniem postanowień niniejszego Działu,  do zleceń maklerskich i zawieranych na ich podstawie transakcji skupu akcji </w:t>
      </w:r>
      <w:r w:rsidRPr="00920145">
        <w:rPr>
          <w:rFonts w:ascii="Verdana" w:hAnsi="Verdana" w:cs="Arial"/>
          <w:sz w:val="20"/>
          <w:szCs w:val="18"/>
        </w:rPr>
        <w:t>notowanych na giełdzie</w:t>
      </w:r>
      <w:r w:rsidRPr="00920145">
        <w:rPr>
          <w:rFonts w:ascii="Verdana" w:hAnsi="Verdana"/>
          <w:sz w:val="20"/>
          <w:szCs w:val="20"/>
        </w:rPr>
        <w:t xml:space="preserve"> („transakcje skupu”) stosuje się odpowiednio przepisy Działu IV.</w:t>
      </w:r>
    </w:p>
    <w:p w14:paraId="4C55F326" w14:textId="77777777" w:rsidR="00F07ACE" w:rsidRPr="00920145" w:rsidRDefault="00F07ACE" w:rsidP="00FE13A8">
      <w:pPr>
        <w:spacing w:after="120" w:line="360" w:lineRule="auto"/>
        <w:ind w:firstLine="567"/>
        <w:rPr>
          <w:rFonts w:ascii="Verdana" w:hAnsi="Verdana" w:cs="Arial"/>
          <w:sz w:val="20"/>
          <w:szCs w:val="20"/>
        </w:rPr>
      </w:pPr>
      <w:r w:rsidRPr="00920145">
        <w:rPr>
          <w:rFonts w:ascii="Verdana" w:hAnsi="Verdana" w:cs="Arial"/>
          <w:sz w:val="20"/>
          <w:szCs w:val="20"/>
        </w:rPr>
        <w:t>§ 35b</w:t>
      </w:r>
    </w:p>
    <w:p w14:paraId="185DC9F4" w14:textId="77777777" w:rsidR="00F07ACE" w:rsidRPr="00920145" w:rsidRDefault="00F07ACE" w:rsidP="00F8716B">
      <w:pPr>
        <w:numPr>
          <w:ilvl w:val="0"/>
          <w:numId w:val="84"/>
        </w:numPr>
        <w:tabs>
          <w:tab w:val="clear" w:pos="397"/>
          <w:tab w:val="num" w:pos="567"/>
          <w:tab w:val="left" w:pos="851"/>
        </w:tabs>
        <w:spacing w:after="120" w:line="360" w:lineRule="auto"/>
        <w:ind w:left="567" w:firstLine="0"/>
        <w:jc w:val="both"/>
        <w:rPr>
          <w:rFonts w:ascii="Verdana" w:hAnsi="Verdana"/>
          <w:sz w:val="20"/>
          <w:szCs w:val="20"/>
        </w:rPr>
      </w:pPr>
      <w:r w:rsidRPr="00920145">
        <w:rPr>
          <w:rFonts w:ascii="Verdana" w:hAnsi="Verdana"/>
          <w:sz w:val="20"/>
          <w:szCs w:val="20"/>
        </w:rPr>
        <w:t>W ramach realizacji transakcji skupu można składać wyłącznie zlecenia LIMIT.</w:t>
      </w:r>
    </w:p>
    <w:p w14:paraId="6119649D" w14:textId="77777777" w:rsidR="00F07ACE" w:rsidRPr="00920145" w:rsidRDefault="00F07ACE" w:rsidP="00F8716B">
      <w:pPr>
        <w:numPr>
          <w:ilvl w:val="0"/>
          <w:numId w:val="84"/>
        </w:numPr>
        <w:tabs>
          <w:tab w:val="clear" w:pos="397"/>
          <w:tab w:val="num" w:pos="567"/>
          <w:tab w:val="left" w:pos="709"/>
          <w:tab w:val="left" w:pos="851"/>
        </w:tabs>
        <w:spacing w:after="120" w:line="360" w:lineRule="auto"/>
        <w:ind w:left="567" w:firstLine="0"/>
        <w:jc w:val="both"/>
        <w:rPr>
          <w:rFonts w:ascii="Verdana" w:hAnsi="Verdana"/>
          <w:sz w:val="20"/>
          <w:szCs w:val="20"/>
        </w:rPr>
      </w:pPr>
      <w:r w:rsidRPr="00920145">
        <w:rPr>
          <w:rFonts w:ascii="Verdana" w:hAnsi="Verdana"/>
          <w:sz w:val="20"/>
          <w:szCs w:val="20"/>
        </w:rPr>
        <w:t xml:space="preserve">Zlecenie LIMIT może być realizowane wyłącznie po cenie określonej w </w:t>
      </w:r>
      <w:r w:rsidRPr="00920145">
        <w:rPr>
          <w:rFonts w:ascii="Verdana" w:hAnsi="Verdana"/>
          <w:sz w:val="20"/>
          <w:szCs w:val="18"/>
        </w:rPr>
        <w:t>zaproszeniu do składania ofert sprzedaży akcji lub podobnego w skutkach ogłoszenia niebędącego wezwaniem</w:t>
      </w:r>
      <w:r w:rsidRPr="00920145">
        <w:rPr>
          <w:rFonts w:ascii="Verdana" w:hAnsi="Verdana"/>
          <w:sz w:val="20"/>
          <w:szCs w:val="20"/>
        </w:rPr>
        <w:t xml:space="preserve">, będącego podstawą do realizacji danej </w:t>
      </w:r>
      <w:r w:rsidRPr="00920145">
        <w:rPr>
          <w:rFonts w:ascii="Verdana" w:hAnsi="Verdana"/>
          <w:sz w:val="20"/>
          <w:szCs w:val="20"/>
        </w:rPr>
        <w:lastRenderedPageBreak/>
        <w:t xml:space="preserve">transakcji skupu, przy czym </w:t>
      </w:r>
      <w:r w:rsidRPr="00920145">
        <w:rPr>
          <w:rFonts w:ascii="Verdana" w:hAnsi="Verdana" w:cs="Arial"/>
          <w:sz w:val="20"/>
          <w:szCs w:val="18"/>
        </w:rPr>
        <w:t>limit ten powinien zostać określony z dokładnością do 0,01 waluty notowania.</w:t>
      </w:r>
    </w:p>
    <w:p w14:paraId="2635C61C" w14:textId="77777777" w:rsidR="00F07ACE" w:rsidRPr="00920145" w:rsidRDefault="00F07ACE" w:rsidP="00F8716B">
      <w:pPr>
        <w:numPr>
          <w:ilvl w:val="0"/>
          <w:numId w:val="84"/>
        </w:numPr>
        <w:tabs>
          <w:tab w:val="clear" w:pos="397"/>
          <w:tab w:val="num" w:pos="567"/>
          <w:tab w:val="left" w:pos="851"/>
        </w:tabs>
        <w:spacing w:after="120" w:line="360" w:lineRule="auto"/>
        <w:ind w:left="567" w:firstLine="0"/>
        <w:jc w:val="both"/>
        <w:rPr>
          <w:rFonts w:ascii="Verdana" w:hAnsi="Verdana"/>
          <w:sz w:val="20"/>
          <w:szCs w:val="20"/>
        </w:rPr>
      </w:pPr>
      <w:r w:rsidRPr="00920145">
        <w:rPr>
          <w:rFonts w:ascii="Verdana" w:hAnsi="Verdana"/>
          <w:sz w:val="20"/>
          <w:szCs w:val="20"/>
        </w:rPr>
        <w:t xml:space="preserve">Zlecenie Limit może zawierać wyłącznie następujące oznaczenia maksymalnego okresu ich ważności: </w:t>
      </w:r>
    </w:p>
    <w:p w14:paraId="77FDE94C" w14:textId="77777777" w:rsidR="00F07ACE" w:rsidRPr="00920145" w:rsidRDefault="00F07ACE" w:rsidP="00A23201">
      <w:pPr>
        <w:tabs>
          <w:tab w:val="num" w:pos="567"/>
        </w:tabs>
        <w:spacing w:after="120" w:line="360" w:lineRule="auto"/>
        <w:ind w:left="567"/>
        <w:rPr>
          <w:rFonts w:ascii="Verdana" w:hAnsi="Verdana"/>
          <w:sz w:val="20"/>
          <w:szCs w:val="20"/>
        </w:rPr>
      </w:pPr>
      <w:r w:rsidRPr="00920145">
        <w:rPr>
          <w:rFonts w:ascii="Verdana" w:hAnsi="Verdana"/>
          <w:sz w:val="20"/>
          <w:szCs w:val="20"/>
        </w:rPr>
        <w:t>1) „Ważne do oznaczonego dnia” (WDD),</w:t>
      </w:r>
    </w:p>
    <w:p w14:paraId="62EC1399" w14:textId="264CC7B0" w:rsidR="00F07ACE" w:rsidRPr="00920145" w:rsidRDefault="00F07ACE" w:rsidP="00FE13A8">
      <w:pPr>
        <w:tabs>
          <w:tab w:val="num" w:pos="567"/>
        </w:tabs>
        <w:spacing w:after="240" w:line="360" w:lineRule="auto"/>
        <w:ind w:left="567"/>
        <w:rPr>
          <w:rFonts w:ascii="Verdana" w:hAnsi="Verdana"/>
          <w:sz w:val="20"/>
          <w:szCs w:val="20"/>
        </w:rPr>
      </w:pPr>
      <w:r w:rsidRPr="00920145">
        <w:rPr>
          <w:rFonts w:ascii="Verdana" w:hAnsi="Verdana"/>
          <w:sz w:val="20"/>
          <w:szCs w:val="20"/>
        </w:rPr>
        <w:t>2) „Ważne na czas nieoznaczony” (WDA).”;</w:t>
      </w:r>
    </w:p>
    <w:p w14:paraId="33B7800F" w14:textId="20661F56" w:rsidR="006A69C0" w:rsidRPr="00920145" w:rsidRDefault="004438D6" w:rsidP="00F8716B">
      <w:pPr>
        <w:pStyle w:val="Akapitzlist"/>
        <w:numPr>
          <w:ilvl w:val="1"/>
          <w:numId w:val="79"/>
        </w:numPr>
        <w:tabs>
          <w:tab w:val="num" w:pos="567"/>
        </w:tabs>
        <w:spacing w:after="120" w:line="360" w:lineRule="auto"/>
        <w:ind w:left="709" w:hanging="425"/>
        <w:contextualSpacing w:val="0"/>
        <w:jc w:val="both"/>
        <w:rPr>
          <w:rFonts w:ascii="Verdana" w:hAnsi="Verdana" w:cs="Arial"/>
          <w:sz w:val="20"/>
          <w:szCs w:val="18"/>
        </w:rPr>
      </w:pPr>
      <w:r w:rsidRPr="00920145">
        <w:rPr>
          <w:rFonts w:ascii="Verdana" w:hAnsi="Verdana" w:cs="Arial"/>
          <w:sz w:val="20"/>
          <w:szCs w:val="18"/>
        </w:rPr>
        <w:t>w § 36</w:t>
      </w:r>
      <w:r w:rsidR="006A69C0" w:rsidRPr="00920145">
        <w:rPr>
          <w:rFonts w:ascii="Verdana" w:hAnsi="Verdana" w:cs="Arial"/>
          <w:sz w:val="20"/>
          <w:szCs w:val="18"/>
        </w:rPr>
        <w:t xml:space="preserve"> </w:t>
      </w:r>
      <w:r w:rsidR="002402FD" w:rsidRPr="00920145">
        <w:rPr>
          <w:rFonts w:ascii="Verdana" w:hAnsi="Verdana" w:cs="Arial"/>
          <w:sz w:val="20"/>
          <w:szCs w:val="18"/>
        </w:rPr>
        <w:t>ust. 2</w:t>
      </w:r>
      <w:r w:rsidR="006A69C0" w:rsidRPr="00920145">
        <w:rPr>
          <w:rFonts w:ascii="Verdana" w:hAnsi="Verdana" w:cs="Arial"/>
          <w:sz w:val="20"/>
          <w:szCs w:val="18"/>
        </w:rPr>
        <w:t xml:space="preserve"> i 3 otrzymują brzmienie: </w:t>
      </w:r>
    </w:p>
    <w:p w14:paraId="4B42C694" w14:textId="5FCA8E0E" w:rsidR="006A69C0" w:rsidRPr="00920145" w:rsidRDefault="002402FD" w:rsidP="00BA63DC">
      <w:pPr>
        <w:spacing w:before="120" w:after="120" w:line="360" w:lineRule="auto"/>
        <w:ind w:left="709"/>
        <w:jc w:val="both"/>
        <w:rPr>
          <w:rFonts w:ascii="Verdana" w:hAnsi="Verdana" w:cs="Arial"/>
          <w:sz w:val="20"/>
          <w:szCs w:val="20"/>
        </w:rPr>
      </w:pPr>
      <w:r w:rsidRPr="00920145">
        <w:rPr>
          <w:rFonts w:ascii="Verdana" w:hAnsi="Verdana" w:cs="Arial"/>
          <w:sz w:val="20"/>
          <w:szCs w:val="18"/>
        </w:rPr>
        <w:t>„</w:t>
      </w:r>
      <w:r w:rsidR="006A69C0" w:rsidRPr="00920145">
        <w:rPr>
          <w:rFonts w:ascii="Verdana" w:hAnsi="Verdana" w:cs="Arial"/>
          <w:sz w:val="20"/>
          <w:szCs w:val="18"/>
        </w:rPr>
        <w:t>2</w:t>
      </w:r>
      <w:r w:rsidR="006A69C0" w:rsidRPr="00920145">
        <w:rPr>
          <w:rFonts w:ascii="Verdana" w:hAnsi="Verdana" w:cs="Arial"/>
          <w:sz w:val="20"/>
          <w:szCs w:val="20"/>
        </w:rPr>
        <w:t xml:space="preserve">. Dzień realizacji transakcji skupu akcji, o którym mowa w ust. 1, określany jest na podstawie przesłanego na Giełdę wniosku zawierającego </w:t>
      </w:r>
      <w:r w:rsidR="0063203D" w:rsidRPr="00920145">
        <w:rPr>
          <w:rFonts w:ascii="Verdana" w:hAnsi="Verdana" w:cs="Arial"/>
          <w:sz w:val="20"/>
          <w:szCs w:val="20"/>
        </w:rPr>
        <w:br/>
      </w:r>
      <w:r w:rsidR="006A69C0" w:rsidRPr="00920145">
        <w:rPr>
          <w:rFonts w:ascii="Verdana" w:hAnsi="Verdana" w:cs="Arial"/>
          <w:sz w:val="20"/>
          <w:szCs w:val="20"/>
        </w:rPr>
        <w:t xml:space="preserve">w szczególności:    </w:t>
      </w:r>
    </w:p>
    <w:p w14:paraId="5BC9008B" w14:textId="77777777" w:rsidR="006A69C0" w:rsidRPr="00920145" w:rsidRDefault="006A69C0" w:rsidP="00C41D20">
      <w:pPr>
        <w:numPr>
          <w:ilvl w:val="0"/>
          <w:numId w:val="105"/>
        </w:numPr>
        <w:spacing w:before="120" w:after="120" w:line="360" w:lineRule="auto"/>
        <w:rPr>
          <w:rFonts w:ascii="Verdana" w:hAnsi="Verdana" w:cs="Arial"/>
          <w:sz w:val="20"/>
          <w:szCs w:val="20"/>
        </w:rPr>
      </w:pPr>
      <w:r w:rsidRPr="00920145">
        <w:rPr>
          <w:rFonts w:ascii="Verdana" w:hAnsi="Verdana" w:cs="Arial"/>
          <w:sz w:val="20"/>
          <w:szCs w:val="20"/>
        </w:rPr>
        <w:t>oznaczenie akcji będących przedmiotem transakcji skupu (nazwa, kod ISIN),</w:t>
      </w:r>
    </w:p>
    <w:p w14:paraId="4926BA19" w14:textId="77777777" w:rsidR="006A69C0" w:rsidRPr="00920145" w:rsidRDefault="006A69C0" w:rsidP="00C41D20">
      <w:pPr>
        <w:numPr>
          <w:ilvl w:val="0"/>
          <w:numId w:val="105"/>
        </w:numPr>
        <w:spacing w:before="120" w:after="120" w:line="360" w:lineRule="auto"/>
        <w:rPr>
          <w:rFonts w:ascii="Verdana" w:hAnsi="Verdana" w:cs="Arial"/>
          <w:sz w:val="20"/>
          <w:szCs w:val="20"/>
        </w:rPr>
      </w:pPr>
      <w:r w:rsidRPr="00920145">
        <w:rPr>
          <w:rFonts w:ascii="Verdana" w:hAnsi="Verdana" w:cs="Arial"/>
          <w:sz w:val="20"/>
          <w:szCs w:val="20"/>
        </w:rPr>
        <w:t xml:space="preserve">wskazanie liczby i ceny akcji będących przedmiotem transakcji skupu, </w:t>
      </w:r>
    </w:p>
    <w:p w14:paraId="6DBE369B" w14:textId="77777777" w:rsidR="006A69C0" w:rsidRPr="00920145" w:rsidRDefault="006A69C0" w:rsidP="00C41D20">
      <w:pPr>
        <w:numPr>
          <w:ilvl w:val="0"/>
          <w:numId w:val="105"/>
        </w:numPr>
        <w:spacing w:after="120" w:line="360" w:lineRule="auto"/>
        <w:rPr>
          <w:rFonts w:ascii="Verdana" w:hAnsi="Verdana" w:cs="Arial"/>
          <w:sz w:val="20"/>
          <w:szCs w:val="20"/>
        </w:rPr>
      </w:pPr>
      <w:r w:rsidRPr="00920145">
        <w:rPr>
          <w:rFonts w:ascii="Verdana" w:hAnsi="Verdana" w:cs="Arial"/>
          <w:sz w:val="20"/>
          <w:szCs w:val="20"/>
        </w:rPr>
        <w:t>wskazanie planowanego dnia rozpoczęcia przekazywania na giełdę zleceń maklerskich w celu realizacji transakcji skupu,</w:t>
      </w:r>
    </w:p>
    <w:p w14:paraId="3541DD3B" w14:textId="77777777" w:rsidR="006A69C0" w:rsidRPr="00920145" w:rsidRDefault="006A69C0" w:rsidP="00C41D20">
      <w:pPr>
        <w:numPr>
          <w:ilvl w:val="0"/>
          <w:numId w:val="105"/>
        </w:numPr>
        <w:spacing w:after="120" w:line="360" w:lineRule="auto"/>
        <w:rPr>
          <w:rFonts w:ascii="Verdana" w:hAnsi="Verdana" w:cs="Arial"/>
          <w:sz w:val="20"/>
          <w:szCs w:val="20"/>
        </w:rPr>
      </w:pPr>
      <w:r w:rsidRPr="00920145">
        <w:rPr>
          <w:rFonts w:ascii="Verdana" w:hAnsi="Verdana" w:cs="Arial"/>
          <w:sz w:val="20"/>
          <w:szCs w:val="20"/>
        </w:rPr>
        <w:t>wskazanie planowanego dnia realizacji transakcji skupu,</w:t>
      </w:r>
    </w:p>
    <w:p w14:paraId="3AD10344" w14:textId="77777777" w:rsidR="006A69C0" w:rsidRPr="00920145" w:rsidRDefault="006A69C0" w:rsidP="00C41D20">
      <w:pPr>
        <w:numPr>
          <w:ilvl w:val="0"/>
          <w:numId w:val="105"/>
        </w:numPr>
        <w:spacing w:after="120" w:line="360" w:lineRule="auto"/>
        <w:rPr>
          <w:rFonts w:ascii="Verdana" w:hAnsi="Verdana" w:cs="Arial"/>
          <w:sz w:val="20"/>
          <w:szCs w:val="20"/>
        </w:rPr>
      </w:pPr>
      <w:r w:rsidRPr="00920145">
        <w:rPr>
          <w:rFonts w:ascii="Verdana" w:hAnsi="Verdana" w:cs="Arial"/>
          <w:sz w:val="20"/>
          <w:szCs w:val="20"/>
        </w:rPr>
        <w:t xml:space="preserve">wskazanie planowanego terminu rozliczenia transakcji skupu. </w:t>
      </w:r>
    </w:p>
    <w:p w14:paraId="7B297B9A" w14:textId="238015E5" w:rsidR="002402FD" w:rsidRPr="00920145" w:rsidRDefault="002402FD" w:rsidP="00C41D20">
      <w:pPr>
        <w:pStyle w:val="Akapitzlist"/>
        <w:spacing w:after="240" w:line="360" w:lineRule="auto"/>
        <w:ind w:left="709"/>
        <w:contextualSpacing w:val="0"/>
        <w:jc w:val="both"/>
        <w:rPr>
          <w:rFonts w:ascii="Verdana" w:hAnsi="Verdana" w:cs="Arial"/>
          <w:sz w:val="20"/>
          <w:szCs w:val="18"/>
        </w:rPr>
      </w:pPr>
      <w:r w:rsidRPr="00920145">
        <w:rPr>
          <w:rFonts w:ascii="Verdana" w:hAnsi="Verdana" w:cs="Arial"/>
          <w:sz w:val="20"/>
          <w:szCs w:val="18"/>
        </w:rPr>
        <w:t xml:space="preserve">3. Wniosek, o którym mowa w ust. 2, powinien być przesłany na Giełdę nie później niż na 2 dni sesyjne przed planowanym </w:t>
      </w:r>
      <w:r w:rsidRPr="00920145">
        <w:rPr>
          <w:rFonts w:ascii="Verdana" w:hAnsi="Verdana" w:cs="Arial"/>
          <w:sz w:val="20"/>
          <w:szCs w:val="20"/>
        </w:rPr>
        <w:t>rozpoczęciem przekazywania na giełdę zleceń maklerskich w celu</w:t>
      </w:r>
      <w:r w:rsidRPr="00920145">
        <w:rPr>
          <w:rFonts w:ascii="Verdana" w:hAnsi="Verdana" w:cs="Arial"/>
          <w:sz w:val="20"/>
          <w:szCs w:val="18"/>
        </w:rPr>
        <w:t xml:space="preserve"> realizacji transakcji skupu, </w:t>
      </w:r>
      <w:r w:rsidRPr="00920145">
        <w:rPr>
          <w:rFonts w:ascii="Verdana" w:hAnsi="Verdana" w:cs="Arial"/>
          <w:sz w:val="20"/>
          <w:szCs w:val="20"/>
        </w:rPr>
        <w:t xml:space="preserve">o którym mowa w ust. 2 lit. </w:t>
      </w:r>
      <w:r w:rsidR="006A69C0" w:rsidRPr="00920145">
        <w:rPr>
          <w:rFonts w:ascii="Verdana" w:hAnsi="Verdana" w:cs="Arial"/>
          <w:sz w:val="20"/>
          <w:szCs w:val="20"/>
        </w:rPr>
        <w:t>c</w:t>
      </w:r>
      <w:r w:rsidRPr="00920145">
        <w:rPr>
          <w:rFonts w:ascii="Verdana" w:hAnsi="Verdana" w:cs="Arial"/>
          <w:sz w:val="20"/>
          <w:szCs w:val="20"/>
        </w:rPr>
        <w:t>)</w:t>
      </w:r>
      <w:r w:rsidRPr="00920145">
        <w:rPr>
          <w:rFonts w:ascii="Verdana" w:hAnsi="Verdana" w:cs="Arial"/>
          <w:sz w:val="20"/>
          <w:szCs w:val="18"/>
        </w:rPr>
        <w:t>.”;</w:t>
      </w:r>
    </w:p>
    <w:p w14:paraId="5A5E3E5E" w14:textId="529CFBE9" w:rsidR="004438D6" w:rsidRPr="00920145" w:rsidRDefault="00422E63" w:rsidP="00F8716B">
      <w:pPr>
        <w:pStyle w:val="Akapitzlist"/>
        <w:numPr>
          <w:ilvl w:val="1"/>
          <w:numId w:val="79"/>
        </w:numPr>
        <w:tabs>
          <w:tab w:val="num" w:pos="567"/>
        </w:tabs>
        <w:spacing w:after="120" w:line="360" w:lineRule="auto"/>
        <w:ind w:left="709" w:hanging="425"/>
        <w:contextualSpacing w:val="0"/>
        <w:jc w:val="both"/>
        <w:rPr>
          <w:rFonts w:ascii="Verdana" w:hAnsi="Verdana" w:cs="Arial"/>
          <w:sz w:val="20"/>
          <w:szCs w:val="18"/>
        </w:rPr>
      </w:pPr>
      <w:r w:rsidRPr="00920145">
        <w:rPr>
          <w:rFonts w:ascii="Verdana" w:hAnsi="Verdana" w:cs="Arial"/>
          <w:sz w:val="20"/>
          <w:szCs w:val="18"/>
        </w:rPr>
        <w:t>po § 36 dodaje się § 36a, w brzmieniu:</w:t>
      </w:r>
    </w:p>
    <w:p w14:paraId="6B78F222" w14:textId="407FE3A6" w:rsidR="00422E63" w:rsidRPr="00920145" w:rsidRDefault="00422E63" w:rsidP="00A23201">
      <w:pPr>
        <w:pStyle w:val="Akapitzlist"/>
        <w:spacing w:after="120" w:line="360" w:lineRule="auto"/>
        <w:ind w:left="709" w:hanging="142"/>
        <w:contextualSpacing w:val="0"/>
        <w:jc w:val="both"/>
        <w:rPr>
          <w:rFonts w:ascii="Verdana" w:hAnsi="Verdana" w:cs="Arial"/>
          <w:sz w:val="20"/>
          <w:szCs w:val="18"/>
        </w:rPr>
      </w:pPr>
      <w:r w:rsidRPr="00920145">
        <w:rPr>
          <w:rFonts w:ascii="Verdana" w:hAnsi="Verdana" w:cs="Arial"/>
          <w:sz w:val="20"/>
          <w:szCs w:val="18"/>
        </w:rPr>
        <w:t>„§ 36a</w:t>
      </w:r>
    </w:p>
    <w:p w14:paraId="0D0AE918" w14:textId="4AA99A4F" w:rsidR="00422E63" w:rsidRPr="00920145" w:rsidRDefault="00422E63" w:rsidP="00A23201">
      <w:pPr>
        <w:pStyle w:val="Tekstpodstawowy2"/>
        <w:tabs>
          <w:tab w:val="left" w:pos="1134"/>
        </w:tabs>
        <w:spacing w:line="360" w:lineRule="auto"/>
        <w:ind w:left="567"/>
        <w:jc w:val="both"/>
        <w:rPr>
          <w:rFonts w:ascii="Verdana" w:hAnsi="Verdana" w:cs="Arial"/>
          <w:bCs/>
          <w:sz w:val="20"/>
          <w:szCs w:val="20"/>
        </w:rPr>
      </w:pPr>
      <w:r w:rsidRPr="00920145">
        <w:rPr>
          <w:rFonts w:ascii="Verdana" w:hAnsi="Verdana" w:cs="Arial"/>
          <w:bCs/>
          <w:sz w:val="20"/>
          <w:szCs w:val="20"/>
        </w:rPr>
        <w:t xml:space="preserve">Składanie zleceń oraz zawieranie transakcji skupu może odbywać się w dniach, w którym odbywają się sesje giełdowe, według następujących </w:t>
      </w:r>
      <w:r w:rsidR="00E015AE" w:rsidRPr="00920145">
        <w:rPr>
          <w:rFonts w:ascii="Verdana" w:hAnsi="Verdana" w:cs="Arial"/>
          <w:bCs/>
          <w:sz w:val="20"/>
          <w:szCs w:val="20"/>
        </w:rPr>
        <w:t>h</w:t>
      </w:r>
      <w:r w:rsidRPr="00920145">
        <w:rPr>
          <w:rFonts w:ascii="Verdana" w:hAnsi="Verdana" w:cs="Arial"/>
          <w:bCs/>
          <w:sz w:val="20"/>
          <w:szCs w:val="20"/>
        </w:rPr>
        <w:t xml:space="preserve">armonogramów: </w:t>
      </w:r>
    </w:p>
    <w:p w14:paraId="769D08A5" w14:textId="618CD822" w:rsidR="00422E63" w:rsidRPr="00920145" w:rsidRDefault="00BA63DC" w:rsidP="00F909B2">
      <w:pPr>
        <w:pStyle w:val="Tekstpodstawowy2"/>
        <w:tabs>
          <w:tab w:val="left" w:pos="851"/>
        </w:tabs>
        <w:spacing w:after="240" w:line="360" w:lineRule="auto"/>
        <w:ind w:left="567"/>
        <w:jc w:val="both"/>
        <w:rPr>
          <w:rFonts w:ascii="Verdana" w:hAnsi="Verdana" w:cs="Arial"/>
          <w:bCs/>
          <w:sz w:val="20"/>
          <w:szCs w:val="20"/>
        </w:rPr>
      </w:pPr>
      <w:r w:rsidRPr="00920145">
        <w:rPr>
          <w:rFonts w:ascii="Verdana" w:hAnsi="Verdana"/>
          <w:bCs/>
          <w:iCs/>
          <w:sz w:val="20"/>
          <w:szCs w:val="20"/>
        </w:rPr>
        <w:t xml:space="preserve">1) </w:t>
      </w:r>
      <w:r w:rsidR="00422E63" w:rsidRPr="00920145">
        <w:rPr>
          <w:rFonts w:ascii="Verdana" w:hAnsi="Verdana"/>
          <w:bCs/>
          <w:iCs/>
          <w:sz w:val="20"/>
          <w:szCs w:val="20"/>
        </w:rPr>
        <w:t xml:space="preserve">harmonogram w dniach poprzedzających dzień realizacji </w:t>
      </w:r>
      <w:r w:rsidR="00422E63" w:rsidRPr="00920145">
        <w:rPr>
          <w:rFonts w:ascii="Verdana" w:hAnsi="Verdana" w:cs="Arial"/>
          <w:bCs/>
          <w:sz w:val="20"/>
          <w:szCs w:val="20"/>
        </w:rPr>
        <w:t>transakcji skupu</w:t>
      </w:r>
      <w:r w:rsidR="00422E63" w:rsidRPr="00920145">
        <w:rPr>
          <w:rFonts w:ascii="Verdana" w:hAnsi="Verdana"/>
          <w:bCs/>
          <w:iCs/>
          <w:sz w:val="20"/>
          <w:szCs w:val="20"/>
        </w:rPr>
        <w:t xml:space="preserve"> </w:t>
      </w:r>
      <w:r w:rsidR="00422E63" w:rsidRPr="00920145">
        <w:rPr>
          <w:rFonts w:ascii="Verdana" w:hAnsi="Verdana"/>
          <w:bCs/>
          <w:iCs/>
          <w:sz w:val="20"/>
          <w:szCs w:val="20"/>
        </w:rPr>
        <w:br/>
        <w:t>(z możliwością składania, modyfikowania i anulowania zleceń maklerskich, jednak bez możliwości zawierania transakcji giełdowych):</w:t>
      </w:r>
    </w:p>
    <w:tbl>
      <w:tblPr>
        <w:tblW w:w="858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10"/>
        <w:gridCol w:w="5670"/>
      </w:tblGrid>
      <w:tr w:rsidR="00422E63" w:rsidRPr="00920145" w14:paraId="7033F0E9" w14:textId="77777777" w:rsidTr="00422E63">
        <w:trPr>
          <w:cantSplit/>
          <w:trHeight w:val="323"/>
        </w:trPr>
        <w:tc>
          <w:tcPr>
            <w:tcW w:w="2910" w:type="dxa"/>
          </w:tcPr>
          <w:p w14:paraId="0161945C" w14:textId="77777777" w:rsidR="00422E63" w:rsidRPr="00920145" w:rsidRDefault="00422E63" w:rsidP="00A23201">
            <w:pPr>
              <w:pStyle w:val="Tekstpodstawowywcity"/>
              <w:tabs>
                <w:tab w:val="left" w:pos="426"/>
                <w:tab w:val="left" w:pos="1134"/>
              </w:tabs>
              <w:spacing w:line="360" w:lineRule="auto"/>
              <w:ind w:left="567" w:hanging="356"/>
              <w:rPr>
                <w:rFonts w:ascii="Verdana" w:hAnsi="Verdana" w:cs="Arial"/>
                <w:bCs/>
                <w:sz w:val="20"/>
                <w:szCs w:val="20"/>
              </w:rPr>
            </w:pPr>
            <w:r w:rsidRPr="00920145">
              <w:rPr>
                <w:rFonts w:ascii="Verdana" w:hAnsi="Verdana" w:cs="Arial"/>
                <w:bCs/>
                <w:sz w:val="20"/>
                <w:szCs w:val="20"/>
              </w:rPr>
              <w:t>godz. 8.30 – 17.00</w:t>
            </w:r>
          </w:p>
        </w:tc>
        <w:tc>
          <w:tcPr>
            <w:tcW w:w="5670" w:type="dxa"/>
          </w:tcPr>
          <w:p w14:paraId="17854EFD" w14:textId="77777777" w:rsidR="00422E63" w:rsidRPr="00920145" w:rsidRDefault="00422E63" w:rsidP="00A23201">
            <w:pPr>
              <w:pStyle w:val="Tekstpodstawowywcity"/>
              <w:tabs>
                <w:tab w:val="left" w:pos="426"/>
                <w:tab w:val="left" w:pos="1134"/>
                <w:tab w:val="left" w:pos="2482"/>
              </w:tabs>
              <w:spacing w:line="360" w:lineRule="auto"/>
              <w:ind w:right="3053"/>
              <w:rPr>
                <w:rFonts w:ascii="Verdana" w:hAnsi="Verdana" w:cs="Arial"/>
                <w:bCs/>
                <w:sz w:val="20"/>
                <w:szCs w:val="20"/>
              </w:rPr>
            </w:pPr>
            <w:r w:rsidRPr="00920145">
              <w:rPr>
                <w:rFonts w:ascii="Verdana" w:hAnsi="Verdana" w:cs="Arial"/>
                <w:bCs/>
                <w:sz w:val="20"/>
                <w:szCs w:val="20"/>
              </w:rPr>
              <w:t xml:space="preserve">Faza składania zleceń </w:t>
            </w:r>
          </w:p>
        </w:tc>
      </w:tr>
    </w:tbl>
    <w:p w14:paraId="2A252526" w14:textId="77777777" w:rsidR="00422E63" w:rsidRPr="00920145" w:rsidRDefault="00422E63" w:rsidP="00A23201">
      <w:pPr>
        <w:pStyle w:val="Default"/>
        <w:tabs>
          <w:tab w:val="left" w:pos="426"/>
          <w:tab w:val="left" w:pos="1134"/>
        </w:tabs>
        <w:spacing w:after="120" w:line="360" w:lineRule="auto"/>
        <w:ind w:left="567"/>
        <w:jc w:val="both"/>
        <w:rPr>
          <w:bCs/>
          <w:iCs/>
          <w:color w:val="auto"/>
          <w:sz w:val="20"/>
          <w:szCs w:val="20"/>
        </w:rPr>
      </w:pPr>
    </w:p>
    <w:p w14:paraId="13AE1E69" w14:textId="18351074" w:rsidR="00422E63" w:rsidRPr="00920145" w:rsidRDefault="00BA63DC" w:rsidP="00BA63DC">
      <w:pPr>
        <w:pStyle w:val="Default"/>
        <w:tabs>
          <w:tab w:val="left" w:pos="426"/>
          <w:tab w:val="left" w:pos="851"/>
        </w:tabs>
        <w:spacing w:after="120" w:line="360" w:lineRule="auto"/>
        <w:ind w:left="567"/>
        <w:jc w:val="both"/>
        <w:rPr>
          <w:bCs/>
          <w:iCs/>
          <w:color w:val="auto"/>
          <w:sz w:val="20"/>
          <w:szCs w:val="20"/>
        </w:rPr>
      </w:pPr>
      <w:r w:rsidRPr="00920145">
        <w:rPr>
          <w:bCs/>
          <w:iCs/>
          <w:color w:val="auto"/>
          <w:sz w:val="20"/>
          <w:szCs w:val="20"/>
        </w:rPr>
        <w:lastRenderedPageBreak/>
        <w:t xml:space="preserve">2) </w:t>
      </w:r>
      <w:r w:rsidR="00422E63" w:rsidRPr="00920145">
        <w:rPr>
          <w:bCs/>
          <w:iCs/>
          <w:color w:val="auto"/>
          <w:sz w:val="20"/>
          <w:szCs w:val="20"/>
        </w:rPr>
        <w:t>harmonogram w dniu realizacji transakcji skupu (z możliwością składania, modyfikowania i anulowania zleceń maklerskich - w fazie składania zleceń oraz możliwością zawierania transakcji giełdowych - w fazie realizacji transakcji skupu):</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6"/>
        <w:gridCol w:w="5670"/>
      </w:tblGrid>
      <w:tr w:rsidR="00422E63" w:rsidRPr="00920145" w14:paraId="0C7ACA4F" w14:textId="77777777" w:rsidTr="00124582">
        <w:trPr>
          <w:cantSplit/>
          <w:trHeight w:val="323"/>
        </w:trPr>
        <w:tc>
          <w:tcPr>
            <w:tcW w:w="2976" w:type="dxa"/>
          </w:tcPr>
          <w:p w14:paraId="19D1527A" w14:textId="05DA4198" w:rsidR="00422E63" w:rsidRPr="00920145" w:rsidRDefault="00422E63" w:rsidP="00A23201">
            <w:pPr>
              <w:pStyle w:val="Tekstpodstawowywcity"/>
              <w:tabs>
                <w:tab w:val="left" w:pos="426"/>
                <w:tab w:val="left" w:pos="1134"/>
              </w:tabs>
              <w:spacing w:line="360" w:lineRule="auto"/>
              <w:ind w:left="567" w:right="639" w:hanging="428"/>
              <w:rPr>
                <w:rFonts w:ascii="Verdana" w:hAnsi="Verdana" w:cs="Arial"/>
                <w:bCs/>
                <w:sz w:val="20"/>
                <w:szCs w:val="20"/>
              </w:rPr>
            </w:pPr>
            <w:r w:rsidRPr="00920145">
              <w:rPr>
                <w:rFonts w:ascii="Verdana" w:hAnsi="Verdana" w:cs="Arial"/>
                <w:bCs/>
                <w:sz w:val="20"/>
                <w:szCs w:val="20"/>
              </w:rPr>
              <w:t xml:space="preserve">godz. 8.30 – 14.00 </w:t>
            </w:r>
          </w:p>
        </w:tc>
        <w:tc>
          <w:tcPr>
            <w:tcW w:w="5670" w:type="dxa"/>
          </w:tcPr>
          <w:p w14:paraId="0E55CBDE" w14:textId="77777777" w:rsidR="00422E63" w:rsidRPr="00920145" w:rsidRDefault="00422E63" w:rsidP="00A23201">
            <w:pPr>
              <w:pStyle w:val="Tekstpodstawowywcity"/>
              <w:tabs>
                <w:tab w:val="left" w:pos="426"/>
                <w:tab w:val="left" w:pos="1134"/>
              </w:tabs>
              <w:spacing w:line="360" w:lineRule="auto"/>
              <w:ind w:left="567" w:right="68"/>
              <w:rPr>
                <w:rFonts w:ascii="Verdana" w:hAnsi="Verdana" w:cs="Arial"/>
                <w:bCs/>
                <w:sz w:val="20"/>
                <w:szCs w:val="20"/>
              </w:rPr>
            </w:pPr>
            <w:r w:rsidRPr="00920145">
              <w:rPr>
                <w:rFonts w:ascii="Verdana" w:hAnsi="Verdana" w:cs="Arial"/>
                <w:bCs/>
                <w:sz w:val="20"/>
                <w:szCs w:val="20"/>
              </w:rPr>
              <w:t>Faza składania zleceń</w:t>
            </w:r>
          </w:p>
        </w:tc>
      </w:tr>
      <w:tr w:rsidR="00422E63" w:rsidRPr="00920145" w14:paraId="2F540322" w14:textId="77777777" w:rsidTr="00124582">
        <w:trPr>
          <w:cantSplit/>
        </w:trPr>
        <w:tc>
          <w:tcPr>
            <w:tcW w:w="2976" w:type="dxa"/>
          </w:tcPr>
          <w:p w14:paraId="5DAFF730" w14:textId="77777777" w:rsidR="00422E63" w:rsidRPr="00920145" w:rsidRDefault="00422E63" w:rsidP="00A23201">
            <w:pPr>
              <w:pStyle w:val="Tekstpodstawowywcity"/>
              <w:tabs>
                <w:tab w:val="left" w:pos="70"/>
                <w:tab w:val="left" w:pos="1134"/>
              </w:tabs>
              <w:spacing w:line="360" w:lineRule="auto"/>
              <w:ind w:left="139" w:right="217" w:hanging="286"/>
              <w:rPr>
                <w:rFonts w:ascii="Verdana" w:hAnsi="Verdana" w:cs="Arial"/>
                <w:bCs/>
                <w:sz w:val="20"/>
                <w:szCs w:val="20"/>
              </w:rPr>
            </w:pPr>
            <w:r w:rsidRPr="00920145">
              <w:rPr>
                <w:rFonts w:ascii="Verdana" w:hAnsi="Verdana" w:cs="Arial"/>
                <w:bCs/>
                <w:sz w:val="20"/>
                <w:szCs w:val="20"/>
              </w:rPr>
              <w:t xml:space="preserve">    godz. 14.00 – 17.00</w:t>
            </w:r>
          </w:p>
        </w:tc>
        <w:tc>
          <w:tcPr>
            <w:tcW w:w="5670" w:type="dxa"/>
          </w:tcPr>
          <w:p w14:paraId="42AAD902" w14:textId="77777777" w:rsidR="00422E63" w:rsidRPr="00920145" w:rsidRDefault="00422E63" w:rsidP="00A23201">
            <w:pPr>
              <w:pStyle w:val="Tekstpodstawowywcity"/>
              <w:tabs>
                <w:tab w:val="left" w:pos="66"/>
                <w:tab w:val="left" w:pos="1134"/>
              </w:tabs>
              <w:spacing w:line="360" w:lineRule="auto"/>
              <w:ind w:left="567" w:right="66"/>
              <w:rPr>
                <w:rFonts w:ascii="Verdana" w:hAnsi="Verdana" w:cs="Arial"/>
                <w:bCs/>
                <w:sz w:val="20"/>
                <w:szCs w:val="20"/>
              </w:rPr>
            </w:pPr>
            <w:r w:rsidRPr="00920145">
              <w:rPr>
                <w:rFonts w:ascii="Verdana" w:hAnsi="Verdana" w:cs="Arial"/>
                <w:bCs/>
                <w:sz w:val="20"/>
                <w:szCs w:val="20"/>
              </w:rPr>
              <w:t>Faza realizacji transakcji skupu</w:t>
            </w:r>
          </w:p>
        </w:tc>
      </w:tr>
    </w:tbl>
    <w:p w14:paraId="054D25AF" w14:textId="00CE4AE5" w:rsidR="00422E63" w:rsidRPr="00920145" w:rsidRDefault="00422E63" w:rsidP="00A23201">
      <w:pPr>
        <w:pStyle w:val="Akapitzlist"/>
        <w:spacing w:after="120" w:line="360" w:lineRule="auto"/>
        <w:ind w:left="709" w:hanging="142"/>
        <w:contextualSpacing w:val="0"/>
        <w:jc w:val="both"/>
        <w:rPr>
          <w:rFonts w:ascii="Verdana" w:hAnsi="Verdana" w:cs="Arial"/>
          <w:sz w:val="20"/>
          <w:szCs w:val="18"/>
        </w:rPr>
      </w:pPr>
    </w:p>
    <w:p w14:paraId="5B4B67D1" w14:textId="5351F19C" w:rsidR="0087787B" w:rsidRPr="00920145" w:rsidRDefault="002A4483" w:rsidP="00F8716B">
      <w:pPr>
        <w:pStyle w:val="Akapitzlist"/>
        <w:numPr>
          <w:ilvl w:val="1"/>
          <w:numId w:val="79"/>
        </w:numPr>
        <w:tabs>
          <w:tab w:val="num" w:pos="567"/>
        </w:tabs>
        <w:spacing w:after="120" w:line="360" w:lineRule="auto"/>
        <w:ind w:left="709" w:hanging="425"/>
        <w:contextualSpacing w:val="0"/>
        <w:jc w:val="both"/>
        <w:rPr>
          <w:rFonts w:ascii="Verdana" w:hAnsi="Verdana" w:cs="Arial"/>
          <w:sz w:val="20"/>
          <w:szCs w:val="20"/>
        </w:rPr>
      </w:pPr>
      <w:r w:rsidRPr="00920145">
        <w:rPr>
          <w:rFonts w:ascii="Verdana" w:hAnsi="Verdana" w:cs="Arial"/>
          <w:sz w:val="20"/>
          <w:szCs w:val="20"/>
        </w:rPr>
        <w:t>§ 37 otrzymuje brzmienie:</w:t>
      </w:r>
    </w:p>
    <w:p w14:paraId="2A1CD710" w14:textId="6EAE0729" w:rsidR="002A4483" w:rsidRPr="00920145" w:rsidRDefault="002A4483" w:rsidP="0063203D">
      <w:pPr>
        <w:pStyle w:val="Akapitzlist"/>
        <w:spacing w:after="120" w:line="360" w:lineRule="auto"/>
        <w:ind w:left="709" w:hanging="1"/>
        <w:contextualSpacing w:val="0"/>
        <w:jc w:val="both"/>
        <w:rPr>
          <w:rFonts w:ascii="Verdana" w:hAnsi="Verdana" w:cs="Arial"/>
          <w:sz w:val="20"/>
          <w:szCs w:val="20"/>
        </w:rPr>
      </w:pPr>
      <w:r w:rsidRPr="00920145">
        <w:rPr>
          <w:rFonts w:ascii="Verdana" w:hAnsi="Verdana" w:cs="Arial"/>
          <w:sz w:val="20"/>
          <w:szCs w:val="20"/>
        </w:rPr>
        <w:t>„§ 37</w:t>
      </w:r>
    </w:p>
    <w:p w14:paraId="71096D55" w14:textId="67FF10BF" w:rsidR="002A4483" w:rsidRPr="00920145" w:rsidRDefault="002A4483" w:rsidP="0063203D">
      <w:pPr>
        <w:spacing w:before="120" w:after="240" w:line="360" w:lineRule="auto"/>
        <w:ind w:left="708"/>
        <w:jc w:val="both"/>
        <w:rPr>
          <w:rFonts w:ascii="Verdana" w:hAnsi="Verdana" w:cs="Arial"/>
          <w:sz w:val="20"/>
          <w:szCs w:val="18"/>
        </w:rPr>
      </w:pPr>
      <w:r w:rsidRPr="00920145">
        <w:rPr>
          <w:rFonts w:ascii="Verdana" w:hAnsi="Verdana" w:cs="Arial"/>
          <w:sz w:val="20"/>
          <w:szCs w:val="18"/>
        </w:rPr>
        <w:t xml:space="preserve">Zarząd Giełdy lub upoważniony przez Zarząd Giełdy pracownik Giełdy może </w:t>
      </w:r>
      <w:r w:rsidRPr="00920145">
        <w:rPr>
          <w:rFonts w:ascii="Verdana" w:hAnsi="Verdana" w:cs="Arial"/>
          <w:sz w:val="20"/>
          <w:szCs w:val="18"/>
        </w:rPr>
        <w:br/>
        <w:t xml:space="preserve">w ciągu jednego dnia sesyjnego od dnia otrzymania wniosku, o którym mowa </w:t>
      </w:r>
      <w:r w:rsidRPr="00920145">
        <w:rPr>
          <w:rFonts w:ascii="Verdana" w:hAnsi="Verdana" w:cs="Arial"/>
          <w:sz w:val="20"/>
          <w:szCs w:val="18"/>
        </w:rPr>
        <w:br/>
        <w:t xml:space="preserve">w § 36, wyrazić sprzeciw co do planowanego </w:t>
      </w:r>
      <w:r w:rsidRPr="00920145">
        <w:rPr>
          <w:rFonts w:ascii="Verdana" w:hAnsi="Verdana" w:cs="Arial"/>
          <w:sz w:val="20"/>
          <w:szCs w:val="20"/>
        </w:rPr>
        <w:t xml:space="preserve">dnia rozpoczęcia przekazywania na giełdę zleceń maklerskich w celu realizacji transakcji skupu lub </w:t>
      </w:r>
      <w:r w:rsidRPr="00920145">
        <w:rPr>
          <w:rFonts w:ascii="Verdana" w:hAnsi="Verdana" w:cs="Arial"/>
          <w:sz w:val="20"/>
          <w:szCs w:val="18"/>
        </w:rPr>
        <w:t>planowanego dnia realizacji transakcji skupu.”;</w:t>
      </w:r>
    </w:p>
    <w:p w14:paraId="68E9FDE4" w14:textId="12D50AFF" w:rsidR="002A4483" w:rsidRPr="00920145" w:rsidRDefault="002A4483" w:rsidP="00F8716B">
      <w:pPr>
        <w:pStyle w:val="Akapitzlist"/>
        <w:numPr>
          <w:ilvl w:val="1"/>
          <w:numId w:val="79"/>
        </w:numPr>
        <w:tabs>
          <w:tab w:val="num" w:pos="567"/>
        </w:tabs>
        <w:spacing w:after="120" w:line="360" w:lineRule="auto"/>
        <w:ind w:left="709" w:hanging="425"/>
        <w:contextualSpacing w:val="0"/>
        <w:jc w:val="both"/>
        <w:rPr>
          <w:rFonts w:ascii="Verdana" w:hAnsi="Verdana" w:cs="Arial"/>
          <w:sz w:val="20"/>
          <w:szCs w:val="18"/>
        </w:rPr>
      </w:pPr>
      <w:r w:rsidRPr="00920145">
        <w:rPr>
          <w:rFonts w:ascii="Verdana" w:hAnsi="Verdana" w:cs="Arial"/>
          <w:sz w:val="20"/>
          <w:szCs w:val="18"/>
        </w:rPr>
        <w:t>§ 38 otrzymuje brzmienie:</w:t>
      </w:r>
    </w:p>
    <w:p w14:paraId="2D3B106E" w14:textId="59265E87" w:rsidR="002A4483" w:rsidRPr="00920145" w:rsidRDefault="002A4483" w:rsidP="00A23201">
      <w:pPr>
        <w:pStyle w:val="Akapitzlist"/>
        <w:spacing w:after="120" w:line="360" w:lineRule="auto"/>
        <w:ind w:left="709"/>
        <w:contextualSpacing w:val="0"/>
        <w:jc w:val="both"/>
        <w:rPr>
          <w:rFonts w:ascii="Verdana" w:hAnsi="Verdana" w:cs="Arial"/>
          <w:sz w:val="20"/>
          <w:szCs w:val="18"/>
        </w:rPr>
      </w:pPr>
      <w:r w:rsidRPr="00920145">
        <w:rPr>
          <w:rFonts w:ascii="Verdana" w:hAnsi="Verdana" w:cs="Arial"/>
          <w:sz w:val="20"/>
          <w:szCs w:val="18"/>
        </w:rPr>
        <w:t>„§ 38</w:t>
      </w:r>
    </w:p>
    <w:p w14:paraId="2831E187" w14:textId="78B8937D" w:rsidR="002A4483" w:rsidRPr="00920145" w:rsidRDefault="002A4483" w:rsidP="006A69C0">
      <w:pPr>
        <w:spacing w:before="120" w:after="240" w:line="360" w:lineRule="auto"/>
        <w:ind w:left="709"/>
        <w:jc w:val="both"/>
        <w:rPr>
          <w:rFonts w:ascii="Verdana" w:hAnsi="Verdana" w:cs="Arial"/>
          <w:sz w:val="20"/>
          <w:szCs w:val="18"/>
        </w:rPr>
      </w:pPr>
      <w:r w:rsidRPr="00920145">
        <w:rPr>
          <w:rFonts w:ascii="Verdana" w:hAnsi="Verdana" w:cs="Arial"/>
          <w:sz w:val="20"/>
          <w:szCs w:val="18"/>
        </w:rPr>
        <w:t xml:space="preserve">Członek giełdy-pośredniczący zobowiązany jest do przekazania Giełdzie, przed planowanym dniem rozpoczęcia przekazywania </w:t>
      </w:r>
      <w:r w:rsidRPr="00920145">
        <w:rPr>
          <w:rFonts w:ascii="Verdana" w:hAnsi="Verdana" w:cs="Arial"/>
          <w:sz w:val="20"/>
          <w:szCs w:val="20"/>
        </w:rPr>
        <w:t>na giełdę zleceń maklerskich w celu</w:t>
      </w:r>
      <w:r w:rsidRPr="00920145">
        <w:rPr>
          <w:rFonts w:ascii="Verdana" w:hAnsi="Verdana" w:cs="Arial"/>
          <w:sz w:val="20"/>
          <w:szCs w:val="18"/>
        </w:rPr>
        <w:t xml:space="preserve"> realizacji transakcji skupu, </w:t>
      </w:r>
      <w:r w:rsidRPr="00920145">
        <w:rPr>
          <w:rFonts w:ascii="Verdana" w:hAnsi="Verdana" w:cs="Arial"/>
          <w:sz w:val="20"/>
          <w:szCs w:val="20"/>
        </w:rPr>
        <w:t xml:space="preserve">o którym mowa w § 36 ust. 2 </w:t>
      </w:r>
      <w:r w:rsidR="002402FD" w:rsidRPr="00920145">
        <w:rPr>
          <w:rFonts w:ascii="Verdana" w:hAnsi="Verdana" w:cs="Arial"/>
          <w:sz w:val="20"/>
          <w:szCs w:val="20"/>
        </w:rPr>
        <w:t xml:space="preserve">lit. </w:t>
      </w:r>
      <w:r w:rsidR="006A69C0" w:rsidRPr="00920145">
        <w:rPr>
          <w:rFonts w:ascii="Verdana" w:hAnsi="Verdana" w:cs="Arial"/>
          <w:sz w:val="20"/>
          <w:szCs w:val="20"/>
        </w:rPr>
        <w:t>c</w:t>
      </w:r>
      <w:r w:rsidRPr="00920145">
        <w:rPr>
          <w:rFonts w:ascii="Verdana" w:hAnsi="Verdana" w:cs="Arial"/>
          <w:sz w:val="20"/>
          <w:szCs w:val="20"/>
        </w:rPr>
        <w:t xml:space="preserve">), </w:t>
      </w:r>
      <w:r w:rsidRPr="00920145">
        <w:rPr>
          <w:rFonts w:ascii="Verdana" w:hAnsi="Verdana" w:cs="Arial"/>
          <w:sz w:val="20"/>
          <w:szCs w:val="18"/>
        </w:rPr>
        <w:t>zestawienia obejmującego liczbę i wolumen zleceń maklerskich podlegających realizacji w ramach transakcji skupu, przekazanych przez poszczególnych członków giełdy. Zestawienie to przekazywane jest w uzgodnionej z Giełdą formie elektronicznej.”;</w:t>
      </w:r>
    </w:p>
    <w:p w14:paraId="30053B8F" w14:textId="0B789A84" w:rsidR="00A12C83" w:rsidRPr="00920145" w:rsidRDefault="002A4483" w:rsidP="00F8716B">
      <w:pPr>
        <w:pStyle w:val="Akapitzlist"/>
        <w:numPr>
          <w:ilvl w:val="1"/>
          <w:numId w:val="79"/>
        </w:numPr>
        <w:tabs>
          <w:tab w:val="num" w:pos="567"/>
        </w:tabs>
        <w:spacing w:after="240" w:line="360" w:lineRule="auto"/>
        <w:ind w:left="709" w:hanging="425"/>
        <w:contextualSpacing w:val="0"/>
        <w:jc w:val="both"/>
        <w:rPr>
          <w:rFonts w:ascii="Verdana" w:hAnsi="Verdana" w:cs="Arial"/>
          <w:sz w:val="20"/>
          <w:szCs w:val="18"/>
        </w:rPr>
      </w:pPr>
      <w:r w:rsidRPr="00920145">
        <w:rPr>
          <w:rFonts w:ascii="Verdana" w:hAnsi="Verdana" w:cs="Arial"/>
          <w:sz w:val="20"/>
          <w:szCs w:val="18"/>
        </w:rPr>
        <w:t>uchyla się § 40 i § 41</w:t>
      </w:r>
      <w:r w:rsidR="00BE07F7" w:rsidRPr="00920145">
        <w:rPr>
          <w:rFonts w:ascii="Verdana" w:hAnsi="Verdana" w:cs="Arial"/>
          <w:sz w:val="20"/>
          <w:szCs w:val="18"/>
        </w:rPr>
        <w:t>.</w:t>
      </w:r>
    </w:p>
    <w:p w14:paraId="25559713" w14:textId="4566E06F" w:rsidR="002A4483" w:rsidRPr="00920145" w:rsidRDefault="00433726" w:rsidP="00F8716B">
      <w:pPr>
        <w:pStyle w:val="Akapitzlist"/>
        <w:numPr>
          <w:ilvl w:val="0"/>
          <w:numId w:val="1"/>
        </w:numPr>
        <w:tabs>
          <w:tab w:val="clear" w:pos="567"/>
          <w:tab w:val="num" w:pos="284"/>
        </w:tabs>
        <w:spacing w:after="240" w:line="360" w:lineRule="auto"/>
        <w:ind w:left="284" w:hanging="284"/>
        <w:contextualSpacing w:val="0"/>
        <w:jc w:val="both"/>
        <w:rPr>
          <w:rFonts w:ascii="Verdana" w:hAnsi="Verdana" w:cs="Arial"/>
          <w:sz w:val="20"/>
          <w:szCs w:val="20"/>
        </w:rPr>
      </w:pPr>
      <w:r w:rsidRPr="00920145">
        <w:rPr>
          <w:rFonts w:ascii="Verdana" w:hAnsi="Verdana" w:cs="Arial"/>
          <w:sz w:val="20"/>
          <w:szCs w:val="20"/>
        </w:rPr>
        <w:t>Załącznik Nr 1</w:t>
      </w:r>
      <w:r w:rsidR="00D17AD8" w:rsidRPr="00920145">
        <w:rPr>
          <w:rFonts w:ascii="Verdana" w:hAnsi="Verdana" w:cs="Arial"/>
          <w:sz w:val="20"/>
          <w:szCs w:val="20"/>
        </w:rPr>
        <w:t xml:space="preserve"> </w:t>
      </w:r>
      <w:r w:rsidRPr="00920145">
        <w:rPr>
          <w:rFonts w:ascii="Verdana" w:hAnsi="Verdana" w:cs="Arial"/>
          <w:sz w:val="20"/>
          <w:szCs w:val="20"/>
        </w:rPr>
        <w:t xml:space="preserve">(„Stosowanie i łączenie oznaczeń ważności </w:t>
      </w:r>
      <w:r w:rsidR="00C21762" w:rsidRPr="00920145">
        <w:rPr>
          <w:rFonts w:ascii="Verdana" w:hAnsi="Verdana"/>
          <w:sz w:val="20"/>
          <w:szCs w:val="20"/>
        </w:rPr>
        <w:t xml:space="preserve">lub dodatkowych warunków realizacji </w:t>
      </w:r>
      <w:r w:rsidRPr="00920145">
        <w:rPr>
          <w:rFonts w:ascii="Verdana" w:hAnsi="Verdana" w:cs="Arial"/>
          <w:sz w:val="20"/>
          <w:szCs w:val="20"/>
        </w:rPr>
        <w:t xml:space="preserve">zleceń maklerskich </w:t>
      </w:r>
      <w:r w:rsidR="00A12C83" w:rsidRPr="00920145">
        <w:rPr>
          <w:rFonts w:ascii="Verdana" w:hAnsi="Verdana" w:cs="Arial"/>
          <w:sz w:val="20"/>
          <w:szCs w:val="20"/>
        </w:rPr>
        <w:t xml:space="preserve">przy ich składaniu </w:t>
      </w:r>
      <w:r w:rsidRPr="00920145">
        <w:rPr>
          <w:rFonts w:ascii="Verdana" w:hAnsi="Verdana" w:cs="Arial"/>
          <w:sz w:val="20"/>
          <w:szCs w:val="20"/>
        </w:rPr>
        <w:t xml:space="preserve">na rynku kasowym </w:t>
      </w:r>
      <w:r w:rsidR="00C21762" w:rsidRPr="00920145">
        <w:rPr>
          <w:rFonts w:ascii="Verdana" w:hAnsi="Verdana" w:cs="Arial"/>
          <w:sz w:val="20"/>
          <w:szCs w:val="20"/>
        </w:rPr>
        <w:br/>
      </w:r>
      <w:r w:rsidRPr="00920145">
        <w:rPr>
          <w:rFonts w:ascii="Verdana" w:hAnsi="Verdana" w:cs="Arial"/>
          <w:sz w:val="20"/>
          <w:szCs w:val="20"/>
        </w:rPr>
        <w:t xml:space="preserve">i terminowym”) otrzymuje brzmienie </w:t>
      </w:r>
      <w:r w:rsidR="00D17AD8" w:rsidRPr="00920145">
        <w:rPr>
          <w:rFonts w:ascii="Verdana" w:hAnsi="Verdana" w:cs="Arial"/>
          <w:sz w:val="20"/>
          <w:szCs w:val="20"/>
        </w:rPr>
        <w:t>określone</w:t>
      </w:r>
      <w:r w:rsidRPr="00920145">
        <w:rPr>
          <w:rFonts w:ascii="Verdana" w:hAnsi="Verdana" w:cs="Arial"/>
          <w:sz w:val="20"/>
          <w:szCs w:val="20"/>
        </w:rPr>
        <w:t xml:space="preserve"> w załączniku nr 1 do niniejszej uchwały</w:t>
      </w:r>
      <w:r w:rsidR="006E0D43" w:rsidRPr="00920145">
        <w:rPr>
          <w:rFonts w:ascii="Verdana" w:hAnsi="Verdana" w:cs="Arial"/>
          <w:sz w:val="20"/>
          <w:szCs w:val="20"/>
        </w:rPr>
        <w:t>.</w:t>
      </w:r>
    </w:p>
    <w:p w14:paraId="7FE8451E" w14:textId="5BE05AF9" w:rsidR="00433726" w:rsidRPr="00920145" w:rsidRDefault="00433726" w:rsidP="00F8716B">
      <w:pPr>
        <w:pStyle w:val="Akapitzlist"/>
        <w:numPr>
          <w:ilvl w:val="0"/>
          <w:numId w:val="1"/>
        </w:numPr>
        <w:tabs>
          <w:tab w:val="clear" w:pos="567"/>
          <w:tab w:val="num" w:pos="284"/>
        </w:tabs>
        <w:spacing w:after="240" w:line="360" w:lineRule="auto"/>
        <w:ind w:left="284" w:hanging="284"/>
        <w:contextualSpacing w:val="0"/>
        <w:jc w:val="both"/>
        <w:rPr>
          <w:rFonts w:ascii="Verdana" w:hAnsi="Verdana" w:cs="Arial"/>
          <w:sz w:val="20"/>
          <w:szCs w:val="20"/>
        </w:rPr>
      </w:pPr>
      <w:r w:rsidRPr="00920145">
        <w:rPr>
          <w:rFonts w:ascii="Verdana" w:hAnsi="Verdana" w:cs="Arial"/>
          <w:sz w:val="20"/>
          <w:szCs w:val="20"/>
        </w:rPr>
        <w:t>Załącznik Nr 2 („</w:t>
      </w:r>
      <w:r w:rsidRPr="00920145">
        <w:rPr>
          <w:rFonts w:ascii="Verdana" w:hAnsi="Verdana"/>
          <w:sz w:val="20"/>
          <w:szCs w:val="20"/>
        </w:rPr>
        <w:t xml:space="preserve">Stosowanie i łączenie oznaczeń ważności </w:t>
      </w:r>
      <w:r w:rsidR="00C21762" w:rsidRPr="00920145">
        <w:rPr>
          <w:rFonts w:ascii="Verdana" w:hAnsi="Verdana"/>
          <w:sz w:val="20"/>
          <w:szCs w:val="20"/>
        </w:rPr>
        <w:t xml:space="preserve">lub dodatkowych warunków realizacji </w:t>
      </w:r>
      <w:r w:rsidRPr="00920145">
        <w:rPr>
          <w:rFonts w:ascii="Verdana" w:hAnsi="Verdana"/>
          <w:sz w:val="20"/>
          <w:szCs w:val="20"/>
        </w:rPr>
        <w:t xml:space="preserve">zleceń maklerskich przy ich modyfikacji na rynku kasowym i terminowym”) otrzymuje brzmienie </w:t>
      </w:r>
      <w:r w:rsidR="00D17AD8" w:rsidRPr="00920145">
        <w:rPr>
          <w:rFonts w:ascii="Verdana" w:hAnsi="Verdana"/>
          <w:sz w:val="20"/>
          <w:szCs w:val="20"/>
        </w:rPr>
        <w:t>określone</w:t>
      </w:r>
      <w:r w:rsidRPr="00920145">
        <w:rPr>
          <w:rFonts w:ascii="Verdana" w:hAnsi="Verdana"/>
          <w:sz w:val="20"/>
          <w:szCs w:val="20"/>
        </w:rPr>
        <w:t xml:space="preserve"> w załączniku nr 2 do niniejszej uchwały</w:t>
      </w:r>
      <w:r w:rsidR="006E0D43" w:rsidRPr="00920145">
        <w:rPr>
          <w:rFonts w:ascii="Verdana" w:hAnsi="Verdana"/>
          <w:sz w:val="20"/>
          <w:szCs w:val="20"/>
        </w:rPr>
        <w:t>.</w:t>
      </w:r>
    </w:p>
    <w:p w14:paraId="213CA2D9" w14:textId="085B7218" w:rsidR="00D17AD8" w:rsidRPr="00920145" w:rsidRDefault="00F8716B" w:rsidP="00F8716B">
      <w:pPr>
        <w:pStyle w:val="Akapitzlist"/>
        <w:numPr>
          <w:ilvl w:val="0"/>
          <w:numId w:val="1"/>
        </w:numPr>
        <w:tabs>
          <w:tab w:val="clear" w:pos="567"/>
          <w:tab w:val="num" w:pos="284"/>
          <w:tab w:val="left" w:pos="426"/>
        </w:tabs>
        <w:spacing w:after="240" w:line="360" w:lineRule="auto"/>
        <w:ind w:left="284" w:hanging="284"/>
        <w:contextualSpacing w:val="0"/>
        <w:jc w:val="both"/>
        <w:rPr>
          <w:rFonts w:ascii="Verdana" w:hAnsi="Verdana" w:cs="Arial"/>
          <w:sz w:val="20"/>
          <w:szCs w:val="20"/>
        </w:rPr>
      </w:pPr>
      <w:r w:rsidRPr="00920145">
        <w:rPr>
          <w:rFonts w:ascii="Verdana" w:hAnsi="Verdana" w:cs="Arial"/>
          <w:sz w:val="20"/>
          <w:szCs w:val="20"/>
        </w:rPr>
        <w:lastRenderedPageBreak/>
        <w:t>W</w:t>
      </w:r>
      <w:r w:rsidR="00D17AD8" w:rsidRPr="00920145">
        <w:rPr>
          <w:rFonts w:ascii="Verdana" w:hAnsi="Verdana" w:cs="Arial"/>
          <w:sz w:val="20"/>
          <w:szCs w:val="20"/>
        </w:rPr>
        <w:t xml:space="preserve"> Załączniku Nr 6a („Informacja członka giełdy o rozpoczęciu</w:t>
      </w:r>
      <w:r w:rsidR="00C50140" w:rsidRPr="00920145">
        <w:rPr>
          <w:rFonts w:ascii="Verdana" w:hAnsi="Verdana" w:cs="Arial"/>
          <w:sz w:val="20"/>
          <w:szCs w:val="20"/>
        </w:rPr>
        <w:t xml:space="preserve"> udostępniania dostępu bezpośredniego”) wprowadza się następujące zmiany:</w:t>
      </w:r>
    </w:p>
    <w:p w14:paraId="0AFBD7DE" w14:textId="6CAAD928" w:rsidR="00C50140" w:rsidRPr="00920145" w:rsidRDefault="00C50140" w:rsidP="00F8716B">
      <w:pPr>
        <w:pStyle w:val="Akapitzlist"/>
        <w:numPr>
          <w:ilvl w:val="0"/>
          <w:numId w:val="85"/>
        </w:numPr>
        <w:tabs>
          <w:tab w:val="left" w:pos="426"/>
        </w:tabs>
        <w:spacing w:after="120" w:line="360" w:lineRule="auto"/>
        <w:contextualSpacing w:val="0"/>
        <w:jc w:val="both"/>
        <w:rPr>
          <w:rFonts w:ascii="Verdana" w:hAnsi="Verdana" w:cs="Arial"/>
          <w:sz w:val="20"/>
          <w:szCs w:val="20"/>
        </w:rPr>
      </w:pPr>
      <w:r w:rsidRPr="00920145">
        <w:rPr>
          <w:rFonts w:ascii="Verdana" w:hAnsi="Verdana" w:cs="Arial"/>
          <w:sz w:val="20"/>
          <w:szCs w:val="20"/>
        </w:rPr>
        <w:t>w pkt I w lit. d) wyrazy „klasy notowań, o której mowa” zastępuje się wyrazami „segmentu notowań, o którym mowa”;</w:t>
      </w:r>
    </w:p>
    <w:p w14:paraId="3793C218" w14:textId="77777777" w:rsidR="00F578E9" w:rsidRPr="00920145" w:rsidRDefault="00F578E9" w:rsidP="00F578E9">
      <w:pPr>
        <w:pStyle w:val="Akapitzlist"/>
        <w:numPr>
          <w:ilvl w:val="0"/>
          <w:numId w:val="85"/>
        </w:numPr>
        <w:tabs>
          <w:tab w:val="left" w:pos="426"/>
        </w:tabs>
        <w:spacing w:after="120" w:line="360" w:lineRule="auto"/>
        <w:contextualSpacing w:val="0"/>
        <w:jc w:val="both"/>
        <w:rPr>
          <w:rFonts w:ascii="Verdana" w:hAnsi="Verdana" w:cs="Arial"/>
          <w:sz w:val="20"/>
          <w:szCs w:val="20"/>
        </w:rPr>
      </w:pPr>
      <w:r w:rsidRPr="00920145">
        <w:rPr>
          <w:rFonts w:ascii="Verdana" w:hAnsi="Verdana" w:cs="Arial"/>
          <w:sz w:val="20"/>
          <w:szCs w:val="20"/>
        </w:rPr>
        <w:t xml:space="preserve">w przypisie 1 dotychczasowy </w:t>
      </w:r>
      <w:r w:rsidRPr="00920145">
        <w:rPr>
          <w:rFonts w:ascii="Verdana" w:hAnsi="Verdana"/>
          <w:sz w:val="20"/>
          <w:szCs w:val="20"/>
        </w:rPr>
        <w:t xml:space="preserve">ppkt (iv) oznacza się jako ppkt (v), a przed nim dodaje się nowy </w:t>
      </w:r>
      <w:r w:rsidRPr="00920145">
        <w:rPr>
          <w:rFonts w:ascii="Verdana" w:hAnsi="Verdana" w:cs="Arial"/>
          <w:sz w:val="20"/>
          <w:szCs w:val="20"/>
        </w:rPr>
        <w:t xml:space="preserve">ppkt (iv)  w brzmieniu: </w:t>
      </w:r>
    </w:p>
    <w:p w14:paraId="3A89D807" w14:textId="77777777" w:rsidR="00F578E9" w:rsidRPr="00920145" w:rsidRDefault="00F578E9" w:rsidP="00F578E9">
      <w:pPr>
        <w:pStyle w:val="Akapitzlist"/>
        <w:tabs>
          <w:tab w:val="left" w:pos="426"/>
        </w:tabs>
        <w:spacing w:after="240" w:line="360" w:lineRule="auto"/>
        <w:ind w:left="567"/>
        <w:contextualSpacing w:val="0"/>
        <w:jc w:val="both"/>
        <w:rPr>
          <w:rFonts w:ascii="Verdana" w:hAnsi="Verdana"/>
          <w:sz w:val="20"/>
          <w:szCs w:val="20"/>
        </w:rPr>
      </w:pPr>
      <w:r w:rsidRPr="00920145">
        <w:rPr>
          <w:rFonts w:ascii="Verdana" w:hAnsi="Verdana" w:cs="Arial"/>
          <w:sz w:val="20"/>
          <w:szCs w:val="20"/>
        </w:rPr>
        <w:t xml:space="preserve">„(iv) </w:t>
      </w:r>
      <w:r w:rsidRPr="00920145">
        <w:rPr>
          <w:rFonts w:ascii="Verdana" w:hAnsi="Verdana"/>
          <w:sz w:val="20"/>
          <w:szCs w:val="20"/>
        </w:rPr>
        <w:t xml:space="preserve">zagraniczną osobą prawną, o której mowa w art. 70 ust. 1 pkt 18)  ustawy z dnia 29 lipca 2005 r. o obrocie instrumentami finansowymi,”; </w:t>
      </w:r>
    </w:p>
    <w:p w14:paraId="46D55A57" w14:textId="77777777" w:rsidR="00F578E9" w:rsidRPr="00920145" w:rsidRDefault="00C50140" w:rsidP="00F578E9">
      <w:pPr>
        <w:pStyle w:val="Akapitzlist"/>
        <w:numPr>
          <w:ilvl w:val="0"/>
          <w:numId w:val="85"/>
        </w:numPr>
        <w:tabs>
          <w:tab w:val="left" w:pos="426"/>
        </w:tabs>
        <w:spacing w:after="120" w:line="360" w:lineRule="auto"/>
        <w:contextualSpacing w:val="0"/>
        <w:jc w:val="both"/>
        <w:rPr>
          <w:rFonts w:ascii="Verdana" w:hAnsi="Verdana" w:cs="Arial"/>
          <w:sz w:val="20"/>
          <w:szCs w:val="20"/>
        </w:rPr>
      </w:pPr>
      <w:r w:rsidRPr="00920145">
        <w:rPr>
          <w:rFonts w:ascii="Verdana" w:hAnsi="Verdana" w:cs="Arial"/>
          <w:sz w:val="20"/>
          <w:szCs w:val="20"/>
        </w:rPr>
        <w:t>w przypisie 4 wyrazy „klasy notowań, o której mowa” zastępuje się wyrazami „segmentu notowań, o którym mowa”;</w:t>
      </w:r>
    </w:p>
    <w:p w14:paraId="40619670" w14:textId="57967D52" w:rsidR="00C50140" w:rsidRPr="00920145" w:rsidRDefault="00C50140" w:rsidP="00950E6C">
      <w:pPr>
        <w:pStyle w:val="Akapitzlist"/>
        <w:numPr>
          <w:ilvl w:val="0"/>
          <w:numId w:val="85"/>
        </w:numPr>
        <w:tabs>
          <w:tab w:val="left" w:pos="426"/>
        </w:tabs>
        <w:spacing w:after="240" w:line="360" w:lineRule="auto"/>
        <w:contextualSpacing w:val="0"/>
        <w:jc w:val="both"/>
        <w:rPr>
          <w:rFonts w:ascii="Verdana" w:hAnsi="Verdana" w:cs="Arial"/>
          <w:sz w:val="20"/>
          <w:szCs w:val="20"/>
        </w:rPr>
      </w:pPr>
      <w:r w:rsidRPr="00920145">
        <w:rPr>
          <w:rFonts w:ascii="Verdana" w:hAnsi="Verdana" w:cs="Arial"/>
          <w:sz w:val="20"/>
          <w:szCs w:val="20"/>
        </w:rPr>
        <w:t xml:space="preserve">skreśla się </w:t>
      </w:r>
      <w:r w:rsidR="006E0D43" w:rsidRPr="00920145">
        <w:rPr>
          <w:rFonts w:ascii="Verdana" w:hAnsi="Verdana" w:cs="Arial"/>
          <w:sz w:val="20"/>
          <w:szCs w:val="20"/>
        </w:rPr>
        <w:t>wyraz</w:t>
      </w:r>
      <w:r w:rsidR="00B80A84" w:rsidRPr="00920145">
        <w:rPr>
          <w:rFonts w:ascii="Verdana" w:hAnsi="Verdana" w:cs="Arial"/>
          <w:sz w:val="20"/>
          <w:szCs w:val="20"/>
        </w:rPr>
        <w:t>y</w:t>
      </w:r>
      <w:r w:rsidR="006E0D43" w:rsidRPr="00920145">
        <w:rPr>
          <w:rFonts w:ascii="Verdana" w:hAnsi="Verdana" w:cs="Arial"/>
          <w:sz w:val="20"/>
          <w:szCs w:val="20"/>
        </w:rPr>
        <w:t xml:space="preserve"> </w:t>
      </w:r>
      <w:r w:rsidRPr="00920145">
        <w:rPr>
          <w:rFonts w:ascii="Verdana" w:hAnsi="Verdana" w:cs="Arial"/>
          <w:sz w:val="20"/>
          <w:szCs w:val="20"/>
        </w:rPr>
        <w:t>„Załączniki</w:t>
      </w:r>
      <w:r w:rsidR="00B80A84" w:rsidRPr="00920145">
        <w:rPr>
          <w:rFonts w:ascii="Verdana" w:hAnsi="Verdana" w:cs="Arial"/>
          <w:sz w:val="20"/>
          <w:szCs w:val="20"/>
        </w:rPr>
        <w:t xml:space="preserve">. </w:t>
      </w:r>
      <w:r w:rsidR="00F578E9" w:rsidRPr="00920145">
        <w:rPr>
          <w:rFonts w:ascii="Verdana" w:hAnsi="Verdana"/>
          <w:iCs/>
          <w:sz w:val="20"/>
          <w:szCs w:val="20"/>
        </w:rPr>
        <w:t>1) Informacja o obowiązujących u członka giełdy zasadach zawieszania dostępu bezpośredniego, o których mowa w § 105 ust. 2 pkt 5 i 7 Regulaminu Giełdy</w:t>
      </w:r>
      <w:r w:rsidR="006E0D43" w:rsidRPr="00920145">
        <w:rPr>
          <w:rFonts w:ascii="Verdana" w:hAnsi="Verdana" w:cs="Arial"/>
          <w:sz w:val="20"/>
          <w:szCs w:val="20"/>
        </w:rPr>
        <w:t>.</w:t>
      </w:r>
      <w:r w:rsidR="00B80A84" w:rsidRPr="00920145">
        <w:rPr>
          <w:rFonts w:ascii="Verdana" w:hAnsi="Verdana" w:cs="Arial"/>
          <w:sz w:val="20"/>
          <w:szCs w:val="20"/>
        </w:rPr>
        <w:t xml:space="preserve">”; </w:t>
      </w:r>
    </w:p>
    <w:p w14:paraId="5F8850D1" w14:textId="180015D7" w:rsidR="00C50140" w:rsidRPr="00920145" w:rsidRDefault="00F8716B" w:rsidP="00950E6C">
      <w:pPr>
        <w:pStyle w:val="Akapitzlist"/>
        <w:numPr>
          <w:ilvl w:val="0"/>
          <w:numId w:val="1"/>
        </w:numPr>
        <w:tabs>
          <w:tab w:val="clear" w:pos="567"/>
          <w:tab w:val="num" w:pos="284"/>
          <w:tab w:val="left" w:pos="426"/>
        </w:tabs>
        <w:spacing w:after="240" w:line="360" w:lineRule="auto"/>
        <w:ind w:left="284" w:hanging="284"/>
        <w:contextualSpacing w:val="0"/>
        <w:jc w:val="both"/>
        <w:rPr>
          <w:rFonts w:ascii="Verdana" w:hAnsi="Verdana" w:cs="Arial"/>
          <w:sz w:val="20"/>
          <w:szCs w:val="20"/>
        </w:rPr>
      </w:pPr>
      <w:r w:rsidRPr="00920145">
        <w:rPr>
          <w:rFonts w:ascii="Verdana" w:hAnsi="Verdana" w:cs="Arial"/>
          <w:sz w:val="20"/>
          <w:szCs w:val="20"/>
        </w:rPr>
        <w:t>W</w:t>
      </w:r>
      <w:r w:rsidR="00C50140" w:rsidRPr="00920145">
        <w:rPr>
          <w:rFonts w:ascii="Verdana" w:hAnsi="Verdana" w:cs="Arial"/>
          <w:sz w:val="20"/>
          <w:szCs w:val="20"/>
        </w:rPr>
        <w:t xml:space="preserve"> Załączniku Nr 6b („Wniosek członka giełdy o wyrażenie zgody na udostępnienie dostępu sponsorowanego”) wprowadza się następujące zmiany:</w:t>
      </w:r>
    </w:p>
    <w:p w14:paraId="242AC4EA" w14:textId="644F5658" w:rsidR="00C50140" w:rsidRPr="00920145" w:rsidRDefault="00C50140" w:rsidP="00950E6C">
      <w:pPr>
        <w:pStyle w:val="Akapitzlist"/>
        <w:numPr>
          <w:ilvl w:val="0"/>
          <w:numId w:val="106"/>
        </w:numPr>
        <w:tabs>
          <w:tab w:val="left" w:pos="709"/>
        </w:tabs>
        <w:spacing w:after="240" w:line="360" w:lineRule="auto"/>
        <w:ind w:left="709" w:hanging="425"/>
        <w:contextualSpacing w:val="0"/>
        <w:jc w:val="both"/>
        <w:rPr>
          <w:rFonts w:ascii="Verdana" w:hAnsi="Verdana" w:cs="Arial"/>
          <w:sz w:val="20"/>
          <w:szCs w:val="20"/>
        </w:rPr>
      </w:pPr>
      <w:r w:rsidRPr="00920145">
        <w:rPr>
          <w:rFonts w:ascii="Verdana" w:hAnsi="Verdana" w:cs="Arial"/>
          <w:sz w:val="20"/>
          <w:szCs w:val="20"/>
        </w:rPr>
        <w:t>w pkt I w lit. f) wyrazy „klasy notowań, o której mowa” zastępuje się wyrazami „segmentu notowań, o którym mowa”;</w:t>
      </w:r>
    </w:p>
    <w:p w14:paraId="5724DFE1" w14:textId="174F6EEF" w:rsidR="001800DF" w:rsidRPr="00920145" w:rsidRDefault="00996C84" w:rsidP="00950E6C">
      <w:pPr>
        <w:pStyle w:val="Akapitzlist"/>
        <w:numPr>
          <w:ilvl w:val="0"/>
          <w:numId w:val="106"/>
        </w:numPr>
        <w:tabs>
          <w:tab w:val="left" w:pos="709"/>
        </w:tabs>
        <w:spacing w:after="240" w:line="360" w:lineRule="auto"/>
        <w:ind w:left="709" w:hanging="425"/>
        <w:contextualSpacing w:val="0"/>
        <w:jc w:val="both"/>
        <w:rPr>
          <w:rFonts w:ascii="Verdana" w:hAnsi="Verdana" w:cs="Arial"/>
          <w:sz w:val="20"/>
          <w:szCs w:val="20"/>
        </w:rPr>
      </w:pPr>
      <w:r w:rsidRPr="00920145">
        <w:rPr>
          <w:rFonts w:ascii="Verdana" w:hAnsi="Verdana" w:cs="Arial"/>
          <w:sz w:val="20"/>
          <w:szCs w:val="20"/>
        </w:rPr>
        <w:t xml:space="preserve"> </w:t>
      </w:r>
      <w:r w:rsidR="004A646F" w:rsidRPr="00920145">
        <w:rPr>
          <w:rFonts w:ascii="Verdana" w:hAnsi="Verdana" w:cs="Arial"/>
          <w:sz w:val="20"/>
          <w:szCs w:val="20"/>
        </w:rPr>
        <w:t xml:space="preserve">w przypisie 1 </w:t>
      </w:r>
      <w:r w:rsidR="001800DF" w:rsidRPr="00920145">
        <w:rPr>
          <w:rFonts w:ascii="Verdana" w:hAnsi="Verdana" w:cs="Arial"/>
          <w:sz w:val="20"/>
          <w:szCs w:val="20"/>
        </w:rPr>
        <w:t xml:space="preserve">dotychczasowy </w:t>
      </w:r>
      <w:r w:rsidR="001800DF" w:rsidRPr="00920145">
        <w:rPr>
          <w:rFonts w:ascii="Verdana" w:hAnsi="Verdana"/>
          <w:sz w:val="20"/>
          <w:szCs w:val="20"/>
        </w:rPr>
        <w:t xml:space="preserve">ppkt (iv) oznacza się jako ppkt (v), a przed nim dodaje się nowy </w:t>
      </w:r>
      <w:r w:rsidR="004A646F" w:rsidRPr="00920145">
        <w:rPr>
          <w:rFonts w:ascii="Verdana" w:hAnsi="Verdana" w:cs="Arial"/>
          <w:sz w:val="20"/>
          <w:szCs w:val="20"/>
        </w:rPr>
        <w:t xml:space="preserve">ppkt (iv) </w:t>
      </w:r>
      <w:r w:rsidR="001800DF" w:rsidRPr="00920145">
        <w:rPr>
          <w:rFonts w:ascii="Verdana" w:hAnsi="Verdana" w:cs="Arial"/>
          <w:sz w:val="20"/>
          <w:szCs w:val="20"/>
        </w:rPr>
        <w:t xml:space="preserve"> w brzmieniu: </w:t>
      </w:r>
    </w:p>
    <w:p w14:paraId="5767284F" w14:textId="0CB3AF0E" w:rsidR="00996C84" w:rsidRPr="00920145" w:rsidRDefault="00BE07F7" w:rsidP="00950E6C">
      <w:pPr>
        <w:pStyle w:val="Akapitzlist"/>
        <w:tabs>
          <w:tab w:val="left" w:pos="709"/>
        </w:tabs>
        <w:spacing w:after="240" w:line="360" w:lineRule="auto"/>
        <w:ind w:left="709" w:hanging="425"/>
        <w:contextualSpacing w:val="0"/>
        <w:jc w:val="both"/>
        <w:rPr>
          <w:rFonts w:ascii="Verdana" w:hAnsi="Verdana"/>
          <w:sz w:val="20"/>
          <w:szCs w:val="20"/>
        </w:rPr>
      </w:pPr>
      <w:r w:rsidRPr="00920145">
        <w:rPr>
          <w:rFonts w:ascii="Verdana" w:hAnsi="Verdana" w:cs="Arial"/>
          <w:sz w:val="20"/>
          <w:szCs w:val="20"/>
        </w:rPr>
        <w:tab/>
      </w:r>
      <w:r w:rsidR="004A646F" w:rsidRPr="00920145">
        <w:rPr>
          <w:rFonts w:ascii="Verdana" w:hAnsi="Verdana" w:cs="Arial"/>
          <w:sz w:val="20"/>
          <w:szCs w:val="20"/>
        </w:rPr>
        <w:t xml:space="preserve">„(iv) </w:t>
      </w:r>
      <w:r w:rsidR="004A646F" w:rsidRPr="00920145">
        <w:rPr>
          <w:rFonts w:ascii="Verdana" w:hAnsi="Verdana"/>
          <w:sz w:val="20"/>
          <w:szCs w:val="20"/>
        </w:rPr>
        <w:t>zagraniczną osobą prawną, o której mowa w art. 70 ust. 1 pkt 18)  ustawy z dnia 29 lipca 2005 r. o obrocie instrumentami finansowymi,”</w:t>
      </w:r>
      <w:r w:rsidR="00996C84" w:rsidRPr="00920145">
        <w:rPr>
          <w:rFonts w:ascii="Verdana" w:hAnsi="Verdana"/>
          <w:sz w:val="20"/>
          <w:szCs w:val="20"/>
        </w:rPr>
        <w:t xml:space="preserve">; </w:t>
      </w:r>
    </w:p>
    <w:p w14:paraId="17D0FABC" w14:textId="6A7D76A1" w:rsidR="00C50140" w:rsidRPr="00920145" w:rsidRDefault="00C50140" w:rsidP="00950E6C">
      <w:pPr>
        <w:pStyle w:val="Akapitzlist"/>
        <w:numPr>
          <w:ilvl w:val="0"/>
          <w:numId w:val="106"/>
        </w:numPr>
        <w:tabs>
          <w:tab w:val="left" w:pos="709"/>
        </w:tabs>
        <w:spacing w:after="240" w:line="360" w:lineRule="auto"/>
        <w:ind w:left="709" w:hanging="425"/>
        <w:contextualSpacing w:val="0"/>
        <w:jc w:val="both"/>
        <w:rPr>
          <w:rFonts w:ascii="Verdana" w:hAnsi="Verdana" w:cs="Arial"/>
          <w:sz w:val="20"/>
          <w:szCs w:val="20"/>
        </w:rPr>
      </w:pPr>
      <w:r w:rsidRPr="00920145">
        <w:rPr>
          <w:rFonts w:ascii="Verdana" w:hAnsi="Verdana" w:cs="Arial"/>
          <w:sz w:val="20"/>
          <w:szCs w:val="20"/>
        </w:rPr>
        <w:t>w przypisie 6 wyrazy „klasy notowań, o której mowa” zastępuje się wyrazami „segmentu notowań, o którym mowa”</w:t>
      </w:r>
      <w:r w:rsidR="006E0D43" w:rsidRPr="00920145">
        <w:rPr>
          <w:rFonts w:ascii="Verdana" w:hAnsi="Verdana" w:cs="Arial"/>
          <w:sz w:val="20"/>
          <w:szCs w:val="20"/>
        </w:rPr>
        <w:t>.</w:t>
      </w:r>
    </w:p>
    <w:p w14:paraId="1740CEB0" w14:textId="190C87FB" w:rsidR="00996C84" w:rsidRPr="00920145" w:rsidRDefault="00996C84" w:rsidP="00996C84">
      <w:pPr>
        <w:pStyle w:val="Akapitzlist"/>
        <w:numPr>
          <w:ilvl w:val="0"/>
          <w:numId w:val="1"/>
        </w:numPr>
        <w:tabs>
          <w:tab w:val="clear" w:pos="567"/>
          <w:tab w:val="left" w:pos="426"/>
          <w:tab w:val="num" w:pos="709"/>
        </w:tabs>
        <w:spacing w:after="120" w:line="360" w:lineRule="auto"/>
        <w:ind w:left="426" w:hanging="426"/>
        <w:contextualSpacing w:val="0"/>
        <w:jc w:val="both"/>
        <w:rPr>
          <w:rFonts w:ascii="Verdana" w:hAnsi="Verdana" w:cs="Arial"/>
          <w:sz w:val="20"/>
          <w:szCs w:val="20"/>
        </w:rPr>
      </w:pPr>
      <w:r w:rsidRPr="00920145">
        <w:rPr>
          <w:rFonts w:ascii="Verdana" w:hAnsi="Verdana" w:cs="Arial"/>
          <w:sz w:val="20"/>
          <w:szCs w:val="20"/>
        </w:rPr>
        <w:t>W Załączniku Nr 6c („</w:t>
      </w:r>
      <w:bookmarkStart w:id="28" w:name="_Toc501379281"/>
      <w:bookmarkStart w:id="29" w:name="_Toc195716919"/>
      <w:r w:rsidRPr="00920145">
        <w:rPr>
          <w:rFonts w:ascii="Verdana" w:hAnsi="Verdana"/>
          <w:sz w:val="20"/>
          <w:szCs w:val="20"/>
        </w:rPr>
        <w:t>Informacja o zamiarze wykorzystywania handlu algorytmicznego</w:t>
      </w:r>
      <w:bookmarkEnd w:id="28"/>
      <w:bookmarkEnd w:id="29"/>
      <w:r w:rsidRPr="00920145">
        <w:rPr>
          <w:rFonts w:ascii="Verdana" w:hAnsi="Verdana" w:cs="Arial"/>
          <w:sz w:val="20"/>
          <w:szCs w:val="20"/>
        </w:rPr>
        <w:t>”) wprowadza się następujące zmiany:</w:t>
      </w:r>
    </w:p>
    <w:p w14:paraId="275C33ED" w14:textId="2EFD6523" w:rsidR="00996C84" w:rsidRPr="00920145" w:rsidRDefault="00AB767D" w:rsidP="009762AD">
      <w:pPr>
        <w:pStyle w:val="Akapitzlist"/>
        <w:numPr>
          <w:ilvl w:val="1"/>
          <w:numId w:val="104"/>
        </w:numPr>
        <w:tabs>
          <w:tab w:val="left" w:pos="426"/>
        </w:tabs>
        <w:spacing w:after="120" w:line="360" w:lineRule="auto"/>
        <w:contextualSpacing w:val="0"/>
        <w:jc w:val="both"/>
        <w:rPr>
          <w:rFonts w:ascii="Verdana" w:hAnsi="Verdana" w:cs="Arial"/>
          <w:sz w:val="20"/>
          <w:szCs w:val="20"/>
        </w:rPr>
      </w:pPr>
      <w:r w:rsidRPr="00920145">
        <w:rPr>
          <w:rFonts w:ascii="Verdana" w:hAnsi="Verdana" w:cs="Arial"/>
          <w:sz w:val="20"/>
          <w:szCs w:val="20"/>
        </w:rPr>
        <w:t>w lit. b zdanie wprowadzające otrzymuje brzmienie:</w:t>
      </w:r>
    </w:p>
    <w:p w14:paraId="7A3D7085" w14:textId="1AF6F04F" w:rsidR="00AB767D" w:rsidRPr="00920145" w:rsidRDefault="00AB767D" w:rsidP="00BE07F7">
      <w:pPr>
        <w:tabs>
          <w:tab w:val="num" w:pos="709"/>
        </w:tabs>
        <w:spacing w:after="120" w:line="360" w:lineRule="auto"/>
        <w:ind w:left="786"/>
        <w:jc w:val="both"/>
        <w:rPr>
          <w:rFonts w:ascii="Verdana" w:hAnsi="Verdana"/>
          <w:sz w:val="20"/>
          <w:szCs w:val="20"/>
        </w:rPr>
      </w:pPr>
      <w:r w:rsidRPr="00920145">
        <w:rPr>
          <w:szCs w:val="20"/>
        </w:rPr>
        <w:t>„</w:t>
      </w:r>
      <w:r w:rsidRPr="00920145">
        <w:rPr>
          <w:rFonts w:ascii="Verdana" w:hAnsi="Verdana"/>
          <w:sz w:val="20"/>
          <w:szCs w:val="20"/>
        </w:rPr>
        <w:t>b) przed wdrożeniem algorytmów lub w wyniku materialnej zmiany algorytmów, wymienionych w  załączniku do niniejszego dokumentu lub w kolejnych tego rodzaju załącznikach, w celu uniknięcia możliwości przyczynienia się danych algorytmów do zakłóceń obrotu,  każdorazowo przeprowadzamy testy:”</w:t>
      </w:r>
      <w:r w:rsidR="00414CC9" w:rsidRPr="00920145">
        <w:rPr>
          <w:rFonts w:ascii="Verdana" w:hAnsi="Verdana"/>
          <w:sz w:val="20"/>
          <w:szCs w:val="20"/>
        </w:rPr>
        <w:t>;</w:t>
      </w:r>
    </w:p>
    <w:p w14:paraId="28FDFEB7" w14:textId="6C705908" w:rsidR="00AB767D" w:rsidRPr="00920145" w:rsidRDefault="00AB767D" w:rsidP="009762AD">
      <w:pPr>
        <w:pStyle w:val="Akapitzlist"/>
        <w:numPr>
          <w:ilvl w:val="1"/>
          <w:numId w:val="104"/>
        </w:numPr>
        <w:tabs>
          <w:tab w:val="left" w:pos="426"/>
        </w:tabs>
        <w:spacing w:after="120" w:line="360" w:lineRule="auto"/>
        <w:contextualSpacing w:val="0"/>
        <w:jc w:val="both"/>
        <w:rPr>
          <w:rFonts w:ascii="Verdana" w:hAnsi="Verdana" w:cs="Arial"/>
          <w:sz w:val="20"/>
          <w:szCs w:val="20"/>
        </w:rPr>
      </w:pPr>
      <w:r w:rsidRPr="00920145">
        <w:rPr>
          <w:rFonts w:ascii="Verdana" w:hAnsi="Verdana" w:cs="Arial"/>
          <w:sz w:val="20"/>
          <w:szCs w:val="20"/>
        </w:rPr>
        <w:lastRenderedPageBreak/>
        <w:t xml:space="preserve">po lit. c) dodaje się akapit w brzmieniu: </w:t>
      </w:r>
    </w:p>
    <w:p w14:paraId="02B7458C" w14:textId="3D9160AB" w:rsidR="00190962" w:rsidRPr="00920145" w:rsidRDefault="00AB767D" w:rsidP="00A12C83">
      <w:pPr>
        <w:pStyle w:val="Akapitzlist"/>
        <w:spacing w:after="120" w:line="360" w:lineRule="auto"/>
        <w:ind w:left="788"/>
        <w:contextualSpacing w:val="0"/>
        <w:jc w:val="both"/>
        <w:rPr>
          <w:rFonts w:ascii="Verdana" w:hAnsi="Verdana" w:cs="Arial"/>
          <w:sz w:val="20"/>
          <w:szCs w:val="20"/>
        </w:rPr>
      </w:pPr>
      <w:r w:rsidRPr="00920145">
        <w:rPr>
          <w:rFonts w:ascii="Verdana" w:hAnsi="Verdana" w:cs="Arial"/>
          <w:sz w:val="20"/>
          <w:szCs w:val="20"/>
        </w:rPr>
        <w:t>„W załączniku do niniejszej Informacji przekazujemy listę algorytmów, które zamierzamy wykorzystywać w działalności prowadzonej na GPW (odpowiednio w alternatywnym systemie obrotu*) oraz zobowiązujemy się do bieżącej aktualizacji tego załącznika przed zastosowaniem kolejnych nowych algorytmów na GPW lub w przypadku istotnej modyfikacji uprzednio zgłoszonych algorytmów.”</w:t>
      </w:r>
      <w:r w:rsidR="00414CC9" w:rsidRPr="00920145">
        <w:rPr>
          <w:rFonts w:ascii="Verdana" w:hAnsi="Verdana" w:cs="Arial"/>
          <w:sz w:val="20"/>
          <w:szCs w:val="20"/>
        </w:rPr>
        <w:t>;</w:t>
      </w:r>
      <w:r w:rsidRPr="00920145">
        <w:rPr>
          <w:rFonts w:ascii="Verdana" w:hAnsi="Verdana" w:cs="Arial"/>
          <w:sz w:val="20"/>
          <w:szCs w:val="20"/>
        </w:rPr>
        <w:t xml:space="preserve"> </w:t>
      </w:r>
    </w:p>
    <w:p w14:paraId="0D3658B1" w14:textId="17D51A46" w:rsidR="00190962" w:rsidRPr="00920145" w:rsidRDefault="00190962">
      <w:pPr>
        <w:spacing w:after="0" w:line="240" w:lineRule="auto"/>
        <w:rPr>
          <w:rFonts w:ascii="Verdana" w:hAnsi="Verdana" w:cs="Arial"/>
          <w:sz w:val="20"/>
          <w:szCs w:val="20"/>
        </w:rPr>
      </w:pPr>
    </w:p>
    <w:p w14:paraId="60ACF55F" w14:textId="08487B7D" w:rsidR="00996C84" w:rsidRPr="00920145" w:rsidRDefault="00AB767D" w:rsidP="00A12C83">
      <w:pPr>
        <w:pStyle w:val="Akapitzlist"/>
        <w:numPr>
          <w:ilvl w:val="1"/>
          <w:numId w:val="104"/>
        </w:numPr>
        <w:tabs>
          <w:tab w:val="left" w:pos="426"/>
        </w:tabs>
        <w:spacing w:after="120" w:line="360" w:lineRule="auto"/>
        <w:contextualSpacing w:val="0"/>
        <w:jc w:val="both"/>
        <w:rPr>
          <w:rFonts w:ascii="Verdana" w:hAnsi="Verdana" w:cs="Arial"/>
          <w:sz w:val="20"/>
          <w:szCs w:val="20"/>
        </w:rPr>
      </w:pPr>
      <w:r w:rsidRPr="00920145">
        <w:rPr>
          <w:rFonts w:ascii="Verdana" w:hAnsi="Verdana" w:cs="Arial"/>
          <w:sz w:val="20"/>
          <w:szCs w:val="20"/>
        </w:rPr>
        <w:t xml:space="preserve">przypis 1 otrzymuje brzmienie: </w:t>
      </w:r>
    </w:p>
    <w:p w14:paraId="7311F462" w14:textId="7DEC7555" w:rsidR="00AB767D" w:rsidRPr="00920145" w:rsidRDefault="00AB767D" w:rsidP="00A12C83">
      <w:pPr>
        <w:pStyle w:val="Tekstprzypisudolnego"/>
        <w:spacing w:line="360" w:lineRule="auto"/>
        <w:ind w:left="772"/>
        <w:rPr>
          <w:rFonts w:ascii="Verdana" w:hAnsi="Verdana"/>
          <w:iCs/>
        </w:rPr>
      </w:pPr>
      <w:r w:rsidRPr="00920145">
        <w:rPr>
          <w:rFonts w:ascii="Verdana" w:hAnsi="Verdana"/>
        </w:rPr>
        <w:t xml:space="preserve">„Informację  tę członek giełdy składa przed  użyciem przez tego członka giełdy pierwszego algorytmu na GPW. </w:t>
      </w:r>
      <w:r w:rsidRPr="00920145">
        <w:rPr>
          <w:rFonts w:ascii="Verdana" w:hAnsi="Verdana"/>
          <w:iCs/>
        </w:rPr>
        <w:t xml:space="preserve">W przypadku późniejszej zmiany maklera nadzorującego odpowiedzialnego za nadzór nad przekazywaniem zleceń maklerskich składanych przy wykorzystaniu handlu algorytmicznego Informacja powinna zostać zaktualizowana w zakresie, o którym mowa w pkt I poniżej.”; </w:t>
      </w:r>
    </w:p>
    <w:p w14:paraId="735E384F" w14:textId="0EFEC208" w:rsidR="006010B3" w:rsidRPr="00920145" w:rsidRDefault="006010B3" w:rsidP="00414CC9">
      <w:pPr>
        <w:pStyle w:val="Tekstprzypisudolnego"/>
        <w:numPr>
          <w:ilvl w:val="1"/>
          <w:numId w:val="104"/>
        </w:numPr>
        <w:spacing w:after="240"/>
        <w:rPr>
          <w:rFonts w:ascii="Verdana" w:hAnsi="Verdana"/>
          <w:iCs/>
        </w:rPr>
      </w:pPr>
      <w:r w:rsidRPr="00920145">
        <w:rPr>
          <w:rFonts w:ascii="Verdana" w:hAnsi="Verdana"/>
          <w:iCs/>
        </w:rPr>
        <w:t xml:space="preserve">pkt II otrzymuje brzmienie: </w:t>
      </w:r>
    </w:p>
    <w:p w14:paraId="698F3CD8" w14:textId="04AE608A" w:rsidR="006010B3" w:rsidRPr="00920145" w:rsidRDefault="006010B3" w:rsidP="006010B3">
      <w:pPr>
        <w:pStyle w:val="Akapitzlist"/>
        <w:spacing w:after="240" w:line="360" w:lineRule="auto"/>
        <w:ind w:left="644"/>
        <w:jc w:val="both"/>
        <w:rPr>
          <w:rFonts w:ascii="Verdana" w:eastAsia="Verdana" w:hAnsi="Verdana" w:cstheme="minorHAnsi"/>
          <w:sz w:val="20"/>
          <w:szCs w:val="20"/>
        </w:rPr>
      </w:pPr>
      <w:r w:rsidRPr="00920145">
        <w:rPr>
          <w:rFonts w:eastAsia="Verdana" w:cs="Verdana"/>
        </w:rPr>
        <w:t>„</w:t>
      </w:r>
      <w:r w:rsidRPr="00920145">
        <w:rPr>
          <w:rFonts w:ascii="Verdana" w:eastAsia="Verdana" w:hAnsi="Verdana" w:cstheme="minorHAnsi"/>
          <w:sz w:val="20"/>
          <w:szCs w:val="20"/>
        </w:rPr>
        <w:t xml:space="preserve">II. Wzór załącznika zawierającego  listę zgłaszanych/istotnie modyfikowanych algorytmów: </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
        <w:gridCol w:w="709"/>
        <w:gridCol w:w="992"/>
        <w:gridCol w:w="992"/>
        <w:gridCol w:w="1418"/>
        <w:gridCol w:w="1134"/>
        <w:gridCol w:w="850"/>
        <w:gridCol w:w="1276"/>
        <w:gridCol w:w="992"/>
      </w:tblGrid>
      <w:tr w:rsidR="006010B3" w:rsidRPr="00920145" w14:paraId="15F8578C" w14:textId="77777777" w:rsidTr="006010B3">
        <w:trPr>
          <w:trHeight w:val="507"/>
        </w:trPr>
        <w:tc>
          <w:tcPr>
            <w:tcW w:w="567" w:type="dxa"/>
            <w:shd w:val="clear" w:color="auto" w:fill="auto"/>
          </w:tcPr>
          <w:p w14:paraId="5469EDF2" w14:textId="77777777" w:rsidR="006010B3" w:rsidRPr="00920145" w:rsidRDefault="006010B3" w:rsidP="00A40684">
            <w:pPr>
              <w:spacing w:after="0"/>
              <w:rPr>
                <w:rFonts w:eastAsia="Verdana" w:cs="Verdana"/>
                <w:sz w:val="16"/>
                <w:szCs w:val="16"/>
              </w:rPr>
            </w:pPr>
            <w:r w:rsidRPr="00920145">
              <w:rPr>
                <w:rFonts w:eastAsia="Verdana" w:cs="Verdana"/>
                <w:sz w:val="16"/>
                <w:szCs w:val="16"/>
              </w:rPr>
              <w:t>L.p.</w:t>
            </w:r>
          </w:p>
        </w:tc>
        <w:tc>
          <w:tcPr>
            <w:tcW w:w="567" w:type="dxa"/>
            <w:shd w:val="clear" w:color="auto" w:fill="auto"/>
            <w:noWrap/>
            <w:hideMark/>
          </w:tcPr>
          <w:p w14:paraId="7EDA4B6E" w14:textId="77777777" w:rsidR="006010B3" w:rsidRPr="00920145" w:rsidRDefault="006010B3" w:rsidP="00A40684">
            <w:pPr>
              <w:spacing w:after="0"/>
              <w:rPr>
                <w:rFonts w:eastAsia="Verdana" w:cs="Verdana"/>
                <w:sz w:val="16"/>
                <w:szCs w:val="16"/>
              </w:rPr>
            </w:pPr>
            <w:r w:rsidRPr="00920145">
              <w:rPr>
                <w:rFonts w:eastAsia="Verdana" w:cs="Verdana"/>
                <w:sz w:val="16"/>
                <w:szCs w:val="16"/>
              </w:rPr>
              <w:t>Kod CzG</w:t>
            </w:r>
          </w:p>
        </w:tc>
        <w:tc>
          <w:tcPr>
            <w:tcW w:w="709" w:type="dxa"/>
            <w:shd w:val="clear" w:color="auto" w:fill="auto"/>
            <w:noWrap/>
            <w:hideMark/>
          </w:tcPr>
          <w:p w14:paraId="178CB818" w14:textId="77777777" w:rsidR="006010B3" w:rsidRPr="00920145" w:rsidRDefault="006010B3" w:rsidP="00A40684">
            <w:pPr>
              <w:spacing w:after="0"/>
              <w:rPr>
                <w:rFonts w:eastAsia="Verdana" w:cs="Verdana"/>
                <w:sz w:val="16"/>
                <w:szCs w:val="16"/>
              </w:rPr>
            </w:pPr>
            <w:r w:rsidRPr="00920145">
              <w:rPr>
                <w:rFonts w:eastAsia="Verdana" w:cs="Verdana"/>
                <w:sz w:val="16"/>
                <w:szCs w:val="16"/>
              </w:rPr>
              <w:t>Nazwa CzG</w:t>
            </w:r>
          </w:p>
        </w:tc>
        <w:tc>
          <w:tcPr>
            <w:tcW w:w="992" w:type="dxa"/>
            <w:shd w:val="clear" w:color="auto" w:fill="auto"/>
            <w:hideMark/>
          </w:tcPr>
          <w:p w14:paraId="0C7F3163" w14:textId="77777777" w:rsidR="006010B3" w:rsidRPr="00920145" w:rsidRDefault="006010B3" w:rsidP="00A40684">
            <w:pPr>
              <w:spacing w:after="0"/>
              <w:rPr>
                <w:rFonts w:eastAsia="Verdana" w:cs="Verdana"/>
                <w:sz w:val="16"/>
                <w:szCs w:val="16"/>
              </w:rPr>
            </w:pPr>
            <w:r w:rsidRPr="00920145">
              <w:rPr>
                <w:rFonts w:eastAsia="Verdana" w:cs="Verdana"/>
                <w:sz w:val="16"/>
                <w:szCs w:val="16"/>
              </w:rPr>
              <w:t>ID Algorytmu</w:t>
            </w:r>
            <w:r w:rsidRPr="00920145">
              <w:rPr>
                <w:rFonts w:eastAsia="Verdana" w:cs="Verdana"/>
                <w:sz w:val="16"/>
                <w:szCs w:val="16"/>
              </w:rPr>
              <w:br/>
              <w:t>SHORT CODE</w:t>
            </w:r>
          </w:p>
        </w:tc>
        <w:tc>
          <w:tcPr>
            <w:tcW w:w="992" w:type="dxa"/>
            <w:shd w:val="clear" w:color="auto" w:fill="auto"/>
            <w:hideMark/>
          </w:tcPr>
          <w:p w14:paraId="06964D14" w14:textId="77777777" w:rsidR="006010B3" w:rsidRPr="00920145" w:rsidRDefault="006010B3" w:rsidP="00A40684">
            <w:pPr>
              <w:spacing w:after="0"/>
              <w:rPr>
                <w:rFonts w:eastAsia="Verdana" w:cs="Verdana"/>
                <w:sz w:val="16"/>
                <w:szCs w:val="16"/>
              </w:rPr>
            </w:pPr>
            <w:r w:rsidRPr="00920145">
              <w:rPr>
                <w:rFonts w:eastAsia="Verdana" w:cs="Verdana"/>
                <w:sz w:val="16"/>
                <w:szCs w:val="16"/>
              </w:rPr>
              <w:t>ID Algorytmu</w:t>
            </w:r>
            <w:r w:rsidRPr="00920145">
              <w:rPr>
                <w:rFonts w:eastAsia="Verdana" w:cs="Verdana"/>
                <w:sz w:val="16"/>
                <w:szCs w:val="16"/>
              </w:rPr>
              <w:br/>
              <w:t>LONG CODE</w:t>
            </w:r>
          </w:p>
        </w:tc>
        <w:tc>
          <w:tcPr>
            <w:tcW w:w="1418" w:type="dxa"/>
            <w:shd w:val="clear" w:color="auto" w:fill="auto"/>
            <w:noWrap/>
            <w:hideMark/>
          </w:tcPr>
          <w:p w14:paraId="4F17AEE3" w14:textId="77777777" w:rsidR="006010B3" w:rsidRPr="00920145" w:rsidRDefault="006010B3" w:rsidP="00A40684">
            <w:pPr>
              <w:spacing w:after="0"/>
              <w:rPr>
                <w:rFonts w:eastAsia="Verdana" w:cs="Verdana"/>
                <w:sz w:val="16"/>
                <w:szCs w:val="16"/>
              </w:rPr>
            </w:pPr>
            <w:r w:rsidRPr="00920145">
              <w:rPr>
                <w:rFonts w:eastAsia="Verdana" w:cs="Verdana"/>
                <w:sz w:val="16"/>
                <w:szCs w:val="16"/>
              </w:rPr>
              <w:t xml:space="preserve">Powód przekazania: </w:t>
            </w:r>
          </w:p>
          <w:p w14:paraId="5A9D2443" w14:textId="77777777" w:rsidR="006010B3" w:rsidRPr="00920145" w:rsidRDefault="006010B3" w:rsidP="00A40684">
            <w:pPr>
              <w:spacing w:after="0"/>
              <w:rPr>
                <w:rFonts w:eastAsia="Verdana" w:cs="Verdana"/>
                <w:sz w:val="16"/>
                <w:szCs w:val="16"/>
              </w:rPr>
            </w:pPr>
            <w:r w:rsidRPr="00920145">
              <w:rPr>
                <w:rFonts w:eastAsia="Verdana" w:cs="Verdana"/>
                <w:sz w:val="16"/>
                <w:szCs w:val="16"/>
              </w:rPr>
              <w:t xml:space="preserve">zgłoszenie nowego algorytmu /modyfikacja / zaprzestanie korzystania z algorytmu </w:t>
            </w:r>
          </w:p>
        </w:tc>
        <w:tc>
          <w:tcPr>
            <w:tcW w:w="1134" w:type="dxa"/>
            <w:shd w:val="clear" w:color="auto" w:fill="auto"/>
            <w:noWrap/>
            <w:hideMark/>
          </w:tcPr>
          <w:p w14:paraId="59850A76" w14:textId="77777777" w:rsidR="006010B3" w:rsidRPr="00920145" w:rsidRDefault="006010B3" w:rsidP="00A40684">
            <w:pPr>
              <w:spacing w:after="0"/>
              <w:rPr>
                <w:rFonts w:eastAsia="Verdana" w:cs="Verdana"/>
                <w:sz w:val="16"/>
                <w:szCs w:val="16"/>
              </w:rPr>
            </w:pPr>
            <w:r w:rsidRPr="00920145">
              <w:rPr>
                <w:rFonts w:eastAsia="Verdana" w:cs="Verdana"/>
                <w:sz w:val="16"/>
                <w:szCs w:val="16"/>
              </w:rPr>
              <w:t xml:space="preserve">Opis </w:t>
            </w:r>
          </w:p>
          <w:p w14:paraId="5FEF2ED3" w14:textId="77777777" w:rsidR="006010B3" w:rsidRPr="00920145" w:rsidRDefault="006010B3" w:rsidP="00A40684">
            <w:pPr>
              <w:spacing w:after="0"/>
              <w:rPr>
                <w:rFonts w:eastAsia="Verdana" w:cs="Verdana"/>
                <w:sz w:val="16"/>
                <w:szCs w:val="16"/>
              </w:rPr>
            </w:pPr>
            <w:r w:rsidRPr="00920145">
              <w:rPr>
                <w:rFonts w:eastAsia="Verdana" w:cs="Verdana"/>
                <w:sz w:val="16"/>
                <w:szCs w:val="16"/>
              </w:rPr>
              <w:t xml:space="preserve">mechanizmu </w:t>
            </w:r>
          </w:p>
          <w:p w14:paraId="75E44C4F" w14:textId="77777777" w:rsidR="006010B3" w:rsidRPr="00920145" w:rsidRDefault="006010B3" w:rsidP="00A40684">
            <w:pPr>
              <w:spacing w:after="0"/>
              <w:rPr>
                <w:rFonts w:eastAsia="Verdana" w:cs="Verdana"/>
                <w:sz w:val="16"/>
                <w:szCs w:val="16"/>
              </w:rPr>
            </w:pPr>
            <w:r w:rsidRPr="00920145">
              <w:rPr>
                <w:rFonts w:eastAsia="Verdana" w:cs="Verdana"/>
                <w:sz w:val="16"/>
                <w:szCs w:val="16"/>
              </w:rPr>
              <w:t>testowania</w:t>
            </w:r>
          </w:p>
        </w:tc>
        <w:tc>
          <w:tcPr>
            <w:tcW w:w="850" w:type="dxa"/>
            <w:shd w:val="clear" w:color="auto" w:fill="auto"/>
            <w:noWrap/>
            <w:hideMark/>
          </w:tcPr>
          <w:p w14:paraId="525075F9" w14:textId="77777777" w:rsidR="006010B3" w:rsidRPr="00920145" w:rsidRDefault="006010B3" w:rsidP="00A40684">
            <w:pPr>
              <w:spacing w:after="0"/>
              <w:rPr>
                <w:rFonts w:eastAsia="Verdana" w:cs="Verdana"/>
                <w:sz w:val="16"/>
                <w:szCs w:val="16"/>
              </w:rPr>
            </w:pPr>
            <w:r w:rsidRPr="00920145">
              <w:rPr>
                <w:rFonts w:eastAsia="Verdana" w:cs="Verdana"/>
                <w:sz w:val="16"/>
                <w:szCs w:val="16"/>
              </w:rPr>
              <w:t xml:space="preserve">Data </w:t>
            </w:r>
          </w:p>
          <w:p w14:paraId="73CAB449" w14:textId="77777777" w:rsidR="006010B3" w:rsidRPr="00920145" w:rsidRDefault="006010B3" w:rsidP="00A40684">
            <w:pPr>
              <w:spacing w:after="0"/>
              <w:rPr>
                <w:rFonts w:eastAsia="Verdana" w:cs="Verdana"/>
                <w:sz w:val="16"/>
                <w:szCs w:val="16"/>
              </w:rPr>
            </w:pPr>
            <w:r w:rsidRPr="00920145">
              <w:rPr>
                <w:rFonts w:eastAsia="Verdana" w:cs="Verdana"/>
                <w:sz w:val="16"/>
                <w:szCs w:val="16"/>
              </w:rPr>
              <w:t>zgłoszenia</w:t>
            </w:r>
          </w:p>
        </w:tc>
        <w:tc>
          <w:tcPr>
            <w:tcW w:w="1276" w:type="dxa"/>
            <w:shd w:val="clear" w:color="auto" w:fill="auto"/>
            <w:noWrap/>
            <w:hideMark/>
          </w:tcPr>
          <w:p w14:paraId="427344C3" w14:textId="77777777" w:rsidR="006010B3" w:rsidRPr="00920145" w:rsidRDefault="006010B3" w:rsidP="00A40684">
            <w:pPr>
              <w:spacing w:after="0"/>
              <w:rPr>
                <w:rFonts w:eastAsia="Verdana" w:cs="Verdana"/>
                <w:sz w:val="16"/>
                <w:szCs w:val="16"/>
              </w:rPr>
            </w:pPr>
            <w:r w:rsidRPr="00920145">
              <w:rPr>
                <w:rFonts w:eastAsia="Verdana" w:cs="Verdana"/>
                <w:sz w:val="16"/>
                <w:szCs w:val="16"/>
              </w:rPr>
              <w:t xml:space="preserve">Data </w:t>
            </w:r>
          </w:p>
          <w:p w14:paraId="5B21CA93" w14:textId="77777777" w:rsidR="006010B3" w:rsidRPr="00920145" w:rsidRDefault="006010B3" w:rsidP="00A40684">
            <w:pPr>
              <w:spacing w:after="0"/>
              <w:rPr>
                <w:rFonts w:eastAsia="Verdana" w:cs="Verdana"/>
                <w:sz w:val="16"/>
                <w:szCs w:val="16"/>
              </w:rPr>
            </w:pPr>
            <w:r w:rsidRPr="00920145">
              <w:rPr>
                <w:rFonts w:eastAsia="Verdana" w:cs="Verdana"/>
                <w:sz w:val="16"/>
                <w:szCs w:val="16"/>
              </w:rPr>
              <w:t>obowiązywania</w:t>
            </w:r>
          </w:p>
        </w:tc>
        <w:tc>
          <w:tcPr>
            <w:tcW w:w="992" w:type="dxa"/>
            <w:shd w:val="clear" w:color="auto" w:fill="auto"/>
          </w:tcPr>
          <w:p w14:paraId="3A654C29" w14:textId="77777777" w:rsidR="006010B3" w:rsidRPr="00920145" w:rsidRDefault="006010B3" w:rsidP="00A40684">
            <w:pPr>
              <w:spacing w:after="0"/>
              <w:rPr>
                <w:rFonts w:eastAsia="Verdana" w:cs="Verdana"/>
                <w:sz w:val="16"/>
                <w:szCs w:val="16"/>
              </w:rPr>
            </w:pPr>
            <w:r w:rsidRPr="00920145">
              <w:rPr>
                <w:rFonts w:eastAsia="Verdana" w:cs="Verdana"/>
                <w:sz w:val="16"/>
                <w:szCs w:val="16"/>
              </w:rPr>
              <w:t xml:space="preserve">Data </w:t>
            </w:r>
          </w:p>
          <w:p w14:paraId="5B2783CE" w14:textId="77777777" w:rsidR="006010B3" w:rsidRPr="00920145" w:rsidRDefault="006010B3" w:rsidP="00A40684">
            <w:pPr>
              <w:spacing w:after="0"/>
              <w:rPr>
                <w:rFonts w:eastAsia="Verdana" w:cs="Verdana"/>
                <w:sz w:val="16"/>
                <w:szCs w:val="16"/>
              </w:rPr>
            </w:pPr>
            <w:r w:rsidRPr="00920145">
              <w:rPr>
                <w:rFonts w:eastAsia="Verdana" w:cs="Verdana"/>
                <w:sz w:val="16"/>
                <w:szCs w:val="16"/>
              </w:rPr>
              <w:t xml:space="preserve">modyfikacji </w:t>
            </w:r>
          </w:p>
        </w:tc>
      </w:tr>
    </w:tbl>
    <w:p w14:paraId="36C153F6" w14:textId="3158DCD2" w:rsidR="00AB767D" w:rsidRPr="00920145" w:rsidRDefault="00AB767D" w:rsidP="00AB767D">
      <w:pPr>
        <w:pStyle w:val="Akapitzlist"/>
        <w:tabs>
          <w:tab w:val="left" w:pos="426"/>
        </w:tabs>
        <w:spacing w:after="120" w:line="360" w:lineRule="auto"/>
        <w:ind w:left="644"/>
        <w:contextualSpacing w:val="0"/>
        <w:jc w:val="both"/>
        <w:rPr>
          <w:rFonts w:ascii="Verdana" w:hAnsi="Verdana" w:cs="Arial"/>
          <w:sz w:val="20"/>
          <w:szCs w:val="20"/>
        </w:rPr>
      </w:pPr>
    </w:p>
    <w:p w14:paraId="56B69B09" w14:textId="2B0A7C6D" w:rsidR="007B70F1" w:rsidRPr="00920145" w:rsidRDefault="007B70F1" w:rsidP="009762AD">
      <w:pPr>
        <w:pStyle w:val="Akapitzlist"/>
        <w:numPr>
          <w:ilvl w:val="1"/>
          <w:numId w:val="104"/>
        </w:numPr>
        <w:tabs>
          <w:tab w:val="left" w:pos="426"/>
        </w:tabs>
        <w:spacing w:after="120" w:line="360" w:lineRule="auto"/>
        <w:contextualSpacing w:val="0"/>
        <w:jc w:val="both"/>
        <w:rPr>
          <w:rFonts w:ascii="Verdana" w:hAnsi="Verdana" w:cs="Arial"/>
          <w:sz w:val="20"/>
          <w:szCs w:val="20"/>
        </w:rPr>
      </w:pPr>
      <w:r w:rsidRPr="00920145">
        <w:rPr>
          <w:rFonts w:ascii="Verdana" w:hAnsi="Verdana" w:cs="Arial"/>
          <w:sz w:val="20"/>
          <w:szCs w:val="20"/>
        </w:rPr>
        <w:t xml:space="preserve">po miejscu na podpisy dodaje się wyrazy: </w:t>
      </w:r>
    </w:p>
    <w:p w14:paraId="55EC897F" w14:textId="7180F8AF" w:rsidR="007B70F1" w:rsidRPr="00920145" w:rsidRDefault="007B70F1" w:rsidP="007B70F1">
      <w:pPr>
        <w:pStyle w:val="Akapitzlist"/>
        <w:spacing w:after="120" w:line="360" w:lineRule="auto"/>
        <w:ind w:left="646" w:firstLine="62"/>
        <w:contextualSpacing w:val="0"/>
        <w:rPr>
          <w:rFonts w:ascii="Verdana" w:hAnsi="Verdana"/>
          <w:sz w:val="20"/>
          <w:szCs w:val="20"/>
        </w:rPr>
      </w:pPr>
      <w:r w:rsidRPr="00920145">
        <w:rPr>
          <w:rFonts w:ascii="Verdana" w:hAnsi="Verdana"/>
          <w:sz w:val="20"/>
          <w:szCs w:val="20"/>
        </w:rPr>
        <w:t>„Załącznik:</w:t>
      </w:r>
    </w:p>
    <w:p w14:paraId="6E63A2C7" w14:textId="6EEA0890" w:rsidR="007B70F1" w:rsidRPr="00920145" w:rsidRDefault="007B70F1" w:rsidP="00414CC9">
      <w:pPr>
        <w:pStyle w:val="Akapitzlist"/>
        <w:spacing w:after="240" w:line="360" w:lineRule="auto"/>
        <w:ind w:left="646" w:firstLine="62"/>
        <w:contextualSpacing w:val="0"/>
        <w:rPr>
          <w:rFonts w:ascii="Verdana" w:eastAsia="Verdana" w:hAnsi="Verdana" w:cs="Verdana"/>
          <w:b/>
          <w:bCs/>
          <w:sz w:val="20"/>
          <w:szCs w:val="20"/>
          <w:vertAlign w:val="superscript"/>
        </w:rPr>
      </w:pPr>
      <w:r w:rsidRPr="00920145">
        <w:rPr>
          <w:rFonts w:ascii="Verdana" w:eastAsia="Verdana" w:hAnsi="Verdana" w:cs="Verdana"/>
          <w:sz w:val="20"/>
          <w:szCs w:val="20"/>
        </w:rPr>
        <w:t xml:space="preserve">Lista zgłaszanych/istotnie modyfikowanych algorytmów </w:t>
      </w:r>
      <w:r w:rsidRPr="00920145">
        <w:rPr>
          <w:rFonts w:ascii="Verdana" w:eastAsia="Verdana" w:hAnsi="Verdana"/>
          <w:b/>
          <w:bCs/>
          <w:sz w:val="20"/>
          <w:szCs w:val="20"/>
          <w:vertAlign w:val="superscript"/>
        </w:rPr>
        <w:t>3</w:t>
      </w:r>
      <w:r w:rsidRPr="00920145">
        <w:rPr>
          <w:rFonts w:ascii="Verdana" w:eastAsia="Verdana" w:hAnsi="Verdana" w:cs="Verdana"/>
          <w:b/>
          <w:bCs/>
          <w:sz w:val="20"/>
          <w:szCs w:val="20"/>
          <w:vertAlign w:val="superscript"/>
        </w:rPr>
        <w:t>, 4”</w:t>
      </w:r>
    </w:p>
    <w:p w14:paraId="1CA617DE" w14:textId="0632676E" w:rsidR="006010B3" w:rsidRPr="00920145" w:rsidRDefault="006010B3" w:rsidP="009762AD">
      <w:pPr>
        <w:pStyle w:val="Akapitzlist"/>
        <w:numPr>
          <w:ilvl w:val="1"/>
          <w:numId w:val="104"/>
        </w:numPr>
        <w:tabs>
          <w:tab w:val="left" w:pos="426"/>
        </w:tabs>
        <w:spacing w:after="120" w:line="360" w:lineRule="auto"/>
        <w:contextualSpacing w:val="0"/>
        <w:jc w:val="both"/>
        <w:rPr>
          <w:rFonts w:ascii="Verdana" w:hAnsi="Verdana" w:cs="Arial"/>
          <w:sz w:val="20"/>
          <w:szCs w:val="20"/>
        </w:rPr>
      </w:pPr>
      <w:r w:rsidRPr="00920145">
        <w:rPr>
          <w:rFonts w:ascii="Verdana" w:hAnsi="Verdana" w:cs="Arial"/>
          <w:sz w:val="20"/>
          <w:szCs w:val="20"/>
        </w:rPr>
        <w:t xml:space="preserve">przypis 3 otrzymuje brzmienie: </w:t>
      </w:r>
    </w:p>
    <w:p w14:paraId="562665E1" w14:textId="0A0522B7" w:rsidR="006010B3" w:rsidRPr="00920145" w:rsidRDefault="006010B3" w:rsidP="00BE07F7">
      <w:pPr>
        <w:pStyle w:val="Tekstprzypisudolnego"/>
        <w:spacing w:after="120" w:line="360" w:lineRule="auto"/>
        <w:ind w:left="786"/>
        <w:rPr>
          <w:rFonts w:ascii="Verdana" w:hAnsi="Verdana" w:cs="Arial"/>
        </w:rPr>
      </w:pPr>
      <w:r w:rsidRPr="00920145">
        <w:rPr>
          <w:rFonts w:ascii="Verdana" w:hAnsi="Verdana"/>
        </w:rPr>
        <w:t>„</w:t>
      </w:r>
      <w:r w:rsidRPr="00920145">
        <w:rPr>
          <w:rFonts w:ascii="Verdana" w:hAnsi="Verdana" w:cs="Arial"/>
        </w:rPr>
        <w:t xml:space="preserve">Lista algorytmów w formacie pliku Excel, zgodnie ze wzorem ustalonym </w:t>
      </w:r>
      <w:r w:rsidRPr="00920145">
        <w:rPr>
          <w:rFonts w:ascii="Verdana" w:hAnsi="Verdana" w:cs="Arial"/>
        </w:rPr>
        <w:br/>
        <w:t>przez GPW.”;</w:t>
      </w:r>
    </w:p>
    <w:p w14:paraId="5100D2B9" w14:textId="5CAF242F" w:rsidR="006010B3" w:rsidRPr="00920145" w:rsidRDefault="006010B3" w:rsidP="009762AD">
      <w:pPr>
        <w:pStyle w:val="Akapitzlist"/>
        <w:numPr>
          <w:ilvl w:val="1"/>
          <w:numId w:val="104"/>
        </w:numPr>
        <w:tabs>
          <w:tab w:val="left" w:pos="426"/>
        </w:tabs>
        <w:spacing w:after="120" w:line="360" w:lineRule="auto"/>
        <w:contextualSpacing w:val="0"/>
        <w:jc w:val="both"/>
        <w:rPr>
          <w:rFonts w:ascii="Verdana" w:hAnsi="Verdana" w:cs="Arial"/>
          <w:sz w:val="20"/>
          <w:szCs w:val="20"/>
        </w:rPr>
      </w:pPr>
      <w:r w:rsidRPr="00920145">
        <w:rPr>
          <w:rFonts w:ascii="Verdana" w:hAnsi="Verdana" w:cs="Arial"/>
          <w:sz w:val="20"/>
          <w:szCs w:val="20"/>
        </w:rPr>
        <w:t xml:space="preserve">przypis 4 otrzymuje brzmienie: </w:t>
      </w:r>
    </w:p>
    <w:p w14:paraId="1A1F4DE5" w14:textId="0435D9F6" w:rsidR="00190962" w:rsidRPr="00920145" w:rsidRDefault="006010B3" w:rsidP="007B70F1">
      <w:pPr>
        <w:pStyle w:val="Tekstprzypisudolnego"/>
        <w:spacing w:after="240" w:line="360" w:lineRule="auto"/>
        <w:ind w:left="786"/>
        <w:rPr>
          <w:rFonts w:ascii="Verdana" w:hAnsi="Verdana"/>
        </w:rPr>
      </w:pPr>
      <w:r w:rsidRPr="00920145">
        <w:rPr>
          <w:rFonts w:ascii="Verdana" w:hAnsi="Verdana"/>
        </w:rPr>
        <w:t xml:space="preserve">„W przypadku, gdy lista dotyczy  zgłoszenia  kolejnych algorytmów lub istotnej modyfikacji wcześniej zgłoszonych algorytmów członek giełdy nie jest </w:t>
      </w:r>
      <w:r w:rsidRPr="00920145">
        <w:rPr>
          <w:rFonts w:ascii="Verdana" w:hAnsi="Verdana"/>
        </w:rPr>
        <w:lastRenderedPageBreak/>
        <w:t xml:space="preserve">zobowiązany zgłaszać wszystkich wykorzystywanych dotychczas </w:t>
      </w:r>
      <w:r w:rsidR="00A12C83" w:rsidRPr="00920145">
        <w:rPr>
          <w:rFonts w:ascii="Verdana" w:hAnsi="Verdana"/>
        </w:rPr>
        <w:br/>
      </w:r>
      <w:r w:rsidRPr="00920145">
        <w:rPr>
          <w:rFonts w:ascii="Verdana" w:hAnsi="Verdana"/>
        </w:rPr>
        <w:t xml:space="preserve">w działalności na giełdzie </w:t>
      </w:r>
      <w:r w:rsidRPr="00920145">
        <w:rPr>
          <w:rFonts w:ascii="Verdana" w:hAnsi="Verdana" w:cs="Arial"/>
        </w:rPr>
        <w:t>(</w:t>
      </w:r>
      <w:r w:rsidRPr="00920145">
        <w:rPr>
          <w:rFonts w:ascii="Verdana" w:hAnsi="Verdana"/>
        </w:rPr>
        <w:t xml:space="preserve">odpowiednio w alternatywnym systemie obrotu) algorytmów, ani też wszystkich uprzednio zmodyfikowanych algorytmów.”; </w:t>
      </w:r>
    </w:p>
    <w:p w14:paraId="1A3A0D4F" w14:textId="453F458E" w:rsidR="005652B3" w:rsidRPr="00920145" w:rsidRDefault="00F8716B" w:rsidP="00A23201">
      <w:pPr>
        <w:pStyle w:val="Akapitzlist"/>
        <w:numPr>
          <w:ilvl w:val="0"/>
          <w:numId w:val="1"/>
        </w:numPr>
        <w:tabs>
          <w:tab w:val="clear" w:pos="567"/>
          <w:tab w:val="num" w:pos="284"/>
          <w:tab w:val="left" w:pos="426"/>
        </w:tabs>
        <w:spacing w:after="120" w:line="360" w:lineRule="auto"/>
        <w:ind w:left="284" w:hanging="284"/>
        <w:contextualSpacing w:val="0"/>
        <w:jc w:val="both"/>
        <w:rPr>
          <w:rFonts w:ascii="Verdana" w:hAnsi="Verdana" w:cs="Arial"/>
          <w:sz w:val="20"/>
          <w:szCs w:val="20"/>
        </w:rPr>
      </w:pPr>
      <w:r w:rsidRPr="00920145">
        <w:rPr>
          <w:rFonts w:ascii="Verdana" w:hAnsi="Verdana" w:cs="Arial"/>
          <w:sz w:val="20"/>
          <w:szCs w:val="20"/>
        </w:rPr>
        <w:t xml:space="preserve">W </w:t>
      </w:r>
      <w:r w:rsidR="005652B3" w:rsidRPr="00920145">
        <w:rPr>
          <w:rFonts w:ascii="Verdana" w:hAnsi="Verdana" w:cs="Arial"/>
          <w:sz w:val="20"/>
          <w:szCs w:val="20"/>
        </w:rPr>
        <w:t xml:space="preserve"> Załączniku Nr 15 („Oświadczenia członka giełdy dotyczące udziału w obrocie akcjami podlegającymi ograniczeniom wynikającym z przepisów amerykańskiego prawa papierów wartościowych”) wprowadza się następujące zmiany:</w:t>
      </w:r>
    </w:p>
    <w:p w14:paraId="12384535" w14:textId="68754F39" w:rsidR="005652B3" w:rsidRPr="00920145" w:rsidRDefault="005652B3" w:rsidP="009762AD">
      <w:pPr>
        <w:pStyle w:val="Akapitzlist"/>
        <w:numPr>
          <w:ilvl w:val="0"/>
          <w:numId w:val="107"/>
        </w:numPr>
        <w:tabs>
          <w:tab w:val="left" w:pos="426"/>
        </w:tabs>
        <w:spacing w:after="120" w:line="360" w:lineRule="auto"/>
        <w:contextualSpacing w:val="0"/>
        <w:jc w:val="both"/>
        <w:rPr>
          <w:rFonts w:ascii="Verdana" w:hAnsi="Verdana" w:cs="Arial"/>
          <w:sz w:val="20"/>
          <w:szCs w:val="20"/>
        </w:rPr>
      </w:pPr>
      <w:r w:rsidRPr="00920145">
        <w:rPr>
          <w:rFonts w:ascii="Verdana" w:hAnsi="Verdana" w:cs="Arial"/>
          <w:sz w:val="20"/>
          <w:szCs w:val="20"/>
        </w:rPr>
        <w:t>w Części A – Kategoria 3 Regulacji S w pkt 1) wyrazy „klasy notowań, o której mowa” zastępuje się wyrazami „segmentu notowań, o którym mowa”;</w:t>
      </w:r>
    </w:p>
    <w:p w14:paraId="4E153F4E" w14:textId="094DE46F" w:rsidR="005652B3" w:rsidRPr="00920145" w:rsidRDefault="005652B3" w:rsidP="00BE07F7">
      <w:pPr>
        <w:pStyle w:val="Akapitzlist"/>
        <w:numPr>
          <w:ilvl w:val="0"/>
          <w:numId w:val="107"/>
        </w:numPr>
        <w:tabs>
          <w:tab w:val="left" w:pos="426"/>
        </w:tabs>
        <w:spacing w:after="240" w:line="360" w:lineRule="auto"/>
        <w:contextualSpacing w:val="0"/>
        <w:jc w:val="both"/>
        <w:rPr>
          <w:rFonts w:ascii="Verdana" w:hAnsi="Verdana" w:cs="Arial"/>
          <w:sz w:val="20"/>
          <w:szCs w:val="20"/>
        </w:rPr>
      </w:pPr>
      <w:r w:rsidRPr="00920145">
        <w:rPr>
          <w:rFonts w:ascii="Verdana" w:hAnsi="Verdana" w:cs="Arial"/>
          <w:sz w:val="20"/>
          <w:szCs w:val="20"/>
        </w:rPr>
        <w:t xml:space="preserve">w Części B – Kategoria 3 Regulacji S/Zasada 144A w pkt 1) wyrazy „klasy notowań, o której mowa” zastępuje się wyrazami „segmentu notowań, </w:t>
      </w:r>
      <w:r w:rsidR="0026205B" w:rsidRPr="00920145">
        <w:rPr>
          <w:rFonts w:ascii="Verdana" w:hAnsi="Verdana" w:cs="Arial"/>
          <w:sz w:val="20"/>
          <w:szCs w:val="20"/>
        </w:rPr>
        <w:br/>
      </w:r>
      <w:r w:rsidRPr="00920145">
        <w:rPr>
          <w:rFonts w:ascii="Verdana" w:hAnsi="Verdana" w:cs="Arial"/>
          <w:sz w:val="20"/>
          <w:szCs w:val="20"/>
        </w:rPr>
        <w:t>o którym mowa”;”.</w:t>
      </w:r>
    </w:p>
    <w:p w14:paraId="6C6F3873" w14:textId="15B29D75" w:rsidR="00315C9F" w:rsidRPr="00920145" w:rsidRDefault="00315C9F" w:rsidP="00A2320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20" w:line="360" w:lineRule="auto"/>
        <w:jc w:val="center"/>
        <w:rPr>
          <w:rFonts w:ascii="Verdana" w:hAnsi="Verdana"/>
          <w:sz w:val="20"/>
        </w:rPr>
      </w:pPr>
      <w:r w:rsidRPr="00920145">
        <w:rPr>
          <w:rFonts w:ascii="Verdana" w:hAnsi="Verdana"/>
          <w:sz w:val="20"/>
        </w:rPr>
        <w:t>§ 2</w:t>
      </w:r>
    </w:p>
    <w:p w14:paraId="01D58A78" w14:textId="77777777" w:rsidR="00315C9F" w:rsidRPr="00920145" w:rsidRDefault="00315C9F" w:rsidP="00F8716B">
      <w:pPr>
        <w:pStyle w:val="Zwykytekst"/>
        <w:numPr>
          <w:ilvl w:val="0"/>
          <w:numId w:val="86"/>
        </w:numPr>
        <w:spacing w:after="120" w:line="360" w:lineRule="auto"/>
        <w:jc w:val="both"/>
        <w:rPr>
          <w:rFonts w:ascii="Verdana" w:hAnsi="Verdana"/>
          <w:spacing w:val="-3"/>
          <w:sz w:val="20"/>
          <w:szCs w:val="20"/>
        </w:rPr>
      </w:pPr>
      <w:r w:rsidRPr="00920145">
        <w:rPr>
          <w:rFonts w:ascii="Verdana" w:hAnsi="Verdana"/>
          <w:sz w:val="20"/>
          <w:szCs w:val="20"/>
        </w:rPr>
        <w:t xml:space="preserve">Uchwała niniejsza wchodzi w życie z dniem podjęcia, z zastrzeżeniem </w:t>
      </w:r>
      <w:r w:rsidRPr="00920145">
        <w:rPr>
          <w:rFonts w:ascii="Verdana" w:hAnsi="Verdana"/>
          <w:sz w:val="20"/>
          <w:szCs w:val="20"/>
        </w:rPr>
        <w:br/>
        <w:t xml:space="preserve">ust. 2-4. </w:t>
      </w:r>
    </w:p>
    <w:p w14:paraId="782DC647" w14:textId="5D35325A" w:rsidR="00315C9F" w:rsidRPr="00920145" w:rsidRDefault="00315C9F" w:rsidP="00F8716B">
      <w:pPr>
        <w:pStyle w:val="Zwykytekst"/>
        <w:numPr>
          <w:ilvl w:val="0"/>
          <w:numId w:val="86"/>
        </w:numPr>
        <w:spacing w:after="120" w:line="360" w:lineRule="auto"/>
        <w:jc w:val="both"/>
        <w:rPr>
          <w:rFonts w:ascii="Verdana" w:hAnsi="Verdana"/>
          <w:spacing w:val="-3"/>
          <w:sz w:val="20"/>
          <w:szCs w:val="20"/>
        </w:rPr>
      </w:pPr>
      <w:r w:rsidRPr="00920145">
        <w:rPr>
          <w:rFonts w:ascii="Verdana" w:hAnsi="Verdana"/>
          <w:sz w:val="20"/>
          <w:szCs w:val="20"/>
        </w:rPr>
        <w:t xml:space="preserve">Zmiany w Szczegółowych Zasadach Obrotu Giełdowego, o których mowa w § 1 niniejszej uchwały,  </w:t>
      </w:r>
      <w:bookmarkStart w:id="30" w:name="_Hlk198813421"/>
      <w:r w:rsidRPr="00920145">
        <w:rPr>
          <w:rFonts w:ascii="Verdana" w:hAnsi="Verdana"/>
          <w:sz w:val="20"/>
          <w:szCs w:val="20"/>
        </w:rPr>
        <w:t>wchodzą w życie z dniem wdrożenia przez GPW nowego systemu transakcyjnego (systemu GPW WATS), określonym przez Zarząd Giełdy w odrębnej uchwale, jednak nie wcześniej niż po upływie 1 miesiąca od dnia podania treści tych zmian do wiadomości uczestników obrotu.</w:t>
      </w:r>
    </w:p>
    <w:bookmarkEnd w:id="30"/>
    <w:p w14:paraId="0F1C83D7" w14:textId="20F3F911" w:rsidR="00315C9F" w:rsidRPr="00920145" w:rsidRDefault="00315C9F" w:rsidP="00F8716B">
      <w:pPr>
        <w:pStyle w:val="Zwykytekst"/>
        <w:numPr>
          <w:ilvl w:val="0"/>
          <w:numId w:val="86"/>
        </w:numPr>
        <w:spacing w:after="120" w:line="360" w:lineRule="auto"/>
        <w:jc w:val="both"/>
        <w:rPr>
          <w:rFonts w:ascii="Verdana" w:hAnsi="Verdana"/>
          <w:sz w:val="20"/>
          <w:szCs w:val="20"/>
        </w:rPr>
      </w:pPr>
      <w:r w:rsidRPr="00920145">
        <w:rPr>
          <w:rFonts w:ascii="Verdana" w:hAnsi="Verdana"/>
          <w:sz w:val="20"/>
          <w:szCs w:val="20"/>
        </w:rPr>
        <w:t xml:space="preserve">W przypadku, gdy przed dniem określonym przez Zarząd Giełdy, o którym mowa </w:t>
      </w:r>
      <w:r w:rsidRPr="00920145">
        <w:rPr>
          <w:rFonts w:ascii="Verdana" w:hAnsi="Verdana"/>
          <w:sz w:val="20"/>
          <w:szCs w:val="20"/>
        </w:rPr>
        <w:br/>
        <w:t xml:space="preserve">w ust. 2, w ocenie Zarządu Giełdy wdrożenie przez GPW nowego systemu transakcyjnego (systemu GPW WATS) okaże się niemożliwe albo z innych przyczyn niecelowe, Zarząd Giełdy może zdecydować o przesunięciu terminu wdrożenia tego  systemu. Uchwała Zarządu Giełdy w tej sprawie powinna zostać niezwłocznie podana do wiadomości uczestników obrotu, Komisji Nadzoru Finansowego, Krajowego Depozytu oraz KDPW_CCP S.A. </w:t>
      </w:r>
    </w:p>
    <w:p w14:paraId="53FA84D4" w14:textId="099D4D8F" w:rsidR="00315C9F" w:rsidRPr="00920145" w:rsidRDefault="00315C9F" w:rsidP="007727AB">
      <w:pPr>
        <w:pStyle w:val="Tekstpodstawowy"/>
        <w:numPr>
          <w:ilvl w:val="0"/>
          <w:numId w:val="86"/>
        </w:numPr>
        <w:spacing w:after="240" w:line="360" w:lineRule="auto"/>
      </w:pPr>
      <w:r w:rsidRPr="00920145">
        <w:t xml:space="preserve">Jeżeli okoliczności, o których mowa w ust. 3, zostaną ujawnione w dniu wdrożenia przez GPW nowego systemu transakcyjnego (systemu GPW WATS) Zarząd Giełdy może zdecydować o zaniechaniu dokonywania w tym dniu wdrożenia tego systemu. W takim przypadku do upływu okresu potrzebnego do ustąpienia tych okoliczności, wskazanego w uchwale Zarządu Giełdy, stosować się będą przepisy Regulaminu Giełdy oraz Szczegółowych Zasad Obrotu Giełdowego w systemie UTP, w brzmieniu obowiązującym przed dniem wdrożenia  </w:t>
      </w:r>
      <w:r w:rsidRPr="00920145">
        <w:rPr>
          <w:szCs w:val="20"/>
        </w:rPr>
        <w:t>nowego systemu transakcyjnego (systemu GPW WATS)</w:t>
      </w:r>
      <w:r w:rsidRPr="00920145">
        <w:t xml:space="preserve">. Uchwała Zarządu Giełdy podjęta w tej </w:t>
      </w:r>
      <w:r w:rsidRPr="00920145">
        <w:lastRenderedPageBreak/>
        <w:t>sprawie powinna zostać niezwłocznie podana do wiadomości uczestników</w:t>
      </w:r>
      <w:r w:rsidR="000570AC" w:rsidRPr="00920145">
        <w:t xml:space="preserve"> obrotu</w:t>
      </w:r>
      <w:r w:rsidRPr="00920145">
        <w:t xml:space="preserve">, Komisji Nadzoru Finansowego, Krajowego Depozytu oraz  KDPW_CCP S.A. </w:t>
      </w:r>
    </w:p>
    <w:p w14:paraId="4CC69BEC" w14:textId="7072DE02" w:rsidR="00315C9F" w:rsidRPr="00920145" w:rsidRDefault="00315C9F" w:rsidP="00A23201">
      <w:pPr>
        <w:pStyle w:val="Tekstkomentarza"/>
        <w:spacing w:after="120" w:line="360" w:lineRule="auto"/>
        <w:jc w:val="center"/>
        <w:rPr>
          <w:rFonts w:ascii="Verdana" w:hAnsi="Verdana"/>
        </w:rPr>
      </w:pPr>
      <w:r w:rsidRPr="00920145">
        <w:rPr>
          <w:rFonts w:ascii="Verdana" w:hAnsi="Verdana"/>
        </w:rPr>
        <w:t>§ 3</w:t>
      </w:r>
    </w:p>
    <w:p w14:paraId="7A587D94" w14:textId="42321E46" w:rsidR="00315C9F" w:rsidRPr="00920145" w:rsidRDefault="00315C9F" w:rsidP="00F8716B">
      <w:pPr>
        <w:pStyle w:val="Tekstpodstawowy"/>
        <w:numPr>
          <w:ilvl w:val="0"/>
          <w:numId w:val="88"/>
        </w:numPr>
        <w:spacing w:line="360" w:lineRule="auto"/>
      </w:pPr>
      <w:r w:rsidRPr="00920145">
        <w:t>Z zastrzeżeniem ust. 3 i 4, do obrotu instrumentami finansowymi w nowym systemie transakcyjnym (systemie GPW WATS) stosuje się przepisy Rozdziałów I-XIX Regulaminu Giełdy</w:t>
      </w:r>
      <w:r w:rsidR="000D4E3E" w:rsidRPr="00920145">
        <w:t xml:space="preserve"> oraz przepisy niniejszych </w:t>
      </w:r>
      <w:r w:rsidRPr="00920145">
        <w:t>Szczegółowych Zasad Obrotu Giełdowego</w:t>
      </w:r>
      <w:r w:rsidR="000D4E3E" w:rsidRPr="00920145">
        <w:t>, w brzmieniu obowiązującym w dniu wdrożenia nowego systemu transakcyjnego (systemu GPW WATS).</w:t>
      </w:r>
    </w:p>
    <w:p w14:paraId="33E1BF6E" w14:textId="72B51B06" w:rsidR="000D4E3E" w:rsidRPr="00920145" w:rsidRDefault="00315C9F" w:rsidP="00F8716B">
      <w:pPr>
        <w:pStyle w:val="Tekstpodstawowy"/>
        <w:numPr>
          <w:ilvl w:val="0"/>
          <w:numId w:val="88"/>
        </w:numPr>
        <w:spacing w:line="360" w:lineRule="auto"/>
      </w:pPr>
      <w:r w:rsidRPr="00920145">
        <w:t xml:space="preserve">Z zastrzeżeniem ust. 3 i 4, jeżeli po dniu wdrożenia nowego systemu transakcyjnego (systemu GPW WATS) wystąpią okoliczności, które w ocenie Zarządu Giełdy skutkować będą koniecznością czasowego powrotu do notowań </w:t>
      </w:r>
      <w:r w:rsidRPr="00920145">
        <w:br/>
        <w:t xml:space="preserve">w obecnym systemie transakcyjnym (systemie UTP) do obrotu instrumentami finansowymi stosować się będzie przepisy Rozdziału XX Regulaminu Giełdy oraz odpowiednio </w:t>
      </w:r>
      <w:r w:rsidRPr="00920145">
        <w:rPr>
          <w:rFonts w:cs="Arial"/>
        </w:rPr>
        <w:t>pozostałe przepisy Regulaminu Giełdy (z wyłączeniem przepisów Rozdziałów  IX – XIV)</w:t>
      </w:r>
      <w:r w:rsidR="000D4E3E" w:rsidRPr="00920145">
        <w:rPr>
          <w:rFonts w:cs="Arial"/>
        </w:rPr>
        <w:t xml:space="preserve"> </w:t>
      </w:r>
      <w:r w:rsidRPr="00920145">
        <w:rPr>
          <w:rFonts w:cs="Arial"/>
        </w:rPr>
        <w:t xml:space="preserve">oraz </w:t>
      </w:r>
      <w:r w:rsidRPr="00920145">
        <w:t xml:space="preserve">przepisy Szczegółowych Zasad Obrotu Giełdowego </w:t>
      </w:r>
      <w:r w:rsidR="00A12C83" w:rsidRPr="00920145">
        <w:br/>
      </w:r>
      <w:r w:rsidRPr="00920145">
        <w:t>w systemie UTP</w:t>
      </w:r>
      <w:r w:rsidR="000D4E3E" w:rsidRPr="00920145">
        <w:t xml:space="preserve">, </w:t>
      </w:r>
      <w:r w:rsidR="000D4E3E" w:rsidRPr="00920145">
        <w:rPr>
          <w:rFonts w:cs="Arial"/>
        </w:rPr>
        <w:t xml:space="preserve">w brzmieniu obowiązującym przed dniem </w:t>
      </w:r>
      <w:r w:rsidR="000D4E3E" w:rsidRPr="00920145">
        <w:t>wdrożenia nowego systemu transakcyjnego (systemu GPW WATS).</w:t>
      </w:r>
    </w:p>
    <w:p w14:paraId="565C1A90" w14:textId="460A0881" w:rsidR="00315C9F" w:rsidRPr="00920145" w:rsidRDefault="00315C9F" w:rsidP="00F8716B">
      <w:pPr>
        <w:pStyle w:val="Tekstpodstawowy"/>
        <w:numPr>
          <w:ilvl w:val="0"/>
          <w:numId w:val="88"/>
        </w:numPr>
        <w:spacing w:line="360" w:lineRule="auto"/>
      </w:pPr>
      <w:r w:rsidRPr="00920145">
        <w:t xml:space="preserve">Zarząd Giełdy może postanowić o czasowym niestosowaniu wybranych przepisów Regulaminu Giełdy lub Szczegółowych Zasad Obrotu Giełdowego, </w:t>
      </w:r>
      <w:r w:rsidRPr="00920145">
        <w:br/>
        <w:t xml:space="preserve">o których mowa w ust. 1 lub 2, jeżeli w ocenie Zarządu Giełdy jest to niezbędne dla zapewnienia bezpieczeństwa lub prawidłowego przebiegu obrotu instrumentami finansowymi w danym systemie notowań.  </w:t>
      </w:r>
    </w:p>
    <w:p w14:paraId="2673DBE2" w14:textId="77777777" w:rsidR="00315C9F" w:rsidRPr="00920145" w:rsidRDefault="00315C9F" w:rsidP="00F8716B">
      <w:pPr>
        <w:pStyle w:val="Tekstpodstawowy"/>
        <w:numPr>
          <w:ilvl w:val="0"/>
          <w:numId w:val="88"/>
        </w:numPr>
        <w:spacing w:line="360" w:lineRule="auto"/>
      </w:pPr>
      <w:r w:rsidRPr="00920145">
        <w:t xml:space="preserve">Uchwała Zarządu Giełdy w zakresie określonym w ust. 2 lub 3 nie może być podjęta po upływie 30 dni od dnia wdrożenia nowego systemu transakcyjnego (systemu GPW WATS).   </w:t>
      </w:r>
    </w:p>
    <w:p w14:paraId="45C73136" w14:textId="77777777" w:rsidR="00315C9F" w:rsidRPr="00920145" w:rsidRDefault="00315C9F" w:rsidP="00A23201">
      <w:pPr>
        <w:pStyle w:val="Tekstpodstawowy"/>
        <w:spacing w:line="360" w:lineRule="auto"/>
        <w:jc w:val="center"/>
      </w:pPr>
      <w:r w:rsidRPr="00920145">
        <w:t>§ 4</w:t>
      </w:r>
    </w:p>
    <w:p w14:paraId="05B7C2BB" w14:textId="77777777" w:rsidR="00315C9F" w:rsidRPr="00920145" w:rsidRDefault="00315C9F" w:rsidP="00F8716B">
      <w:pPr>
        <w:pStyle w:val="Tekstpodstawowy"/>
        <w:numPr>
          <w:ilvl w:val="0"/>
          <w:numId w:val="8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pPr>
      <w:r w:rsidRPr="00920145">
        <w:t>Zarząd Giełdy określi</w:t>
      </w:r>
      <w:r w:rsidRPr="00920145">
        <w:rPr>
          <w:rFonts w:cs="Arial"/>
        </w:rPr>
        <w:t xml:space="preserve"> </w:t>
      </w:r>
      <w:r w:rsidRPr="00920145">
        <w:t xml:space="preserve">w odrębnym dokumencie - Zasady Ciągłości Działania Systemu GPW WATS - szczegółowe zasady przejścia z notowań instrumentów finansowych w obecnym systemie transakcyjnym (systemie UTP) do notowań </w:t>
      </w:r>
      <w:r w:rsidRPr="00920145">
        <w:br/>
        <w:t xml:space="preserve">w nowym systemie transakcyjnym (systemie GPW WATS).   </w:t>
      </w:r>
    </w:p>
    <w:p w14:paraId="27907BCD" w14:textId="77777777" w:rsidR="00CF0805" w:rsidRPr="00920145" w:rsidRDefault="00315C9F" w:rsidP="00CF0805">
      <w:pPr>
        <w:pStyle w:val="Tekstpodstawowy"/>
        <w:numPr>
          <w:ilvl w:val="0"/>
          <w:numId w:val="87"/>
        </w:numPr>
        <w:spacing w:line="360" w:lineRule="auto"/>
      </w:pPr>
      <w:r w:rsidRPr="00920145">
        <w:t xml:space="preserve">Zarząd Giełdy określi w Zasadach Ciągłości Działania Systemu GPW WATS szczegółowe zasady czasowego powrotu do notowań instrumentów finansowych w obecnym systemie transakcyjnym (systemie UTP), w przypadku wystąpienia okoliczności, o których mowa w § 3 ust. 2.  </w:t>
      </w:r>
    </w:p>
    <w:p w14:paraId="47118C51" w14:textId="74637BC7" w:rsidR="00A23201" w:rsidRPr="00920145" w:rsidRDefault="00315C9F" w:rsidP="00CF0805">
      <w:pPr>
        <w:pStyle w:val="Tekstpodstawowy"/>
        <w:numPr>
          <w:ilvl w:val="0"/>
          <w:numId w:val="87"/>
        </w:numPr>
        <w:spacing w:line="360" w:lineRule="auto"/>
      </w:pPr>
      <w:r w:rsidRPr="00920145">
        <w:lastRenderedPageBreak/>
        <w:t xml:space="preserve">Zarząd Giełdy określi w Zasadach Ciągłości Działania Systemu GPW WATS szczegółowe zasady powrotu do notowań instrumentów finansowych w nowym systemie transakcyjnym (systemie GPW WATS) po ustąpieniu okoliczności, </w:t>
      </w:r>
      <w:r w:rsidRPr="00920145">
        <w:br/>
        <w:t xml:space="preserve">o których mowa w § 3 ust. 2.  </w:t>
      </w:r>
      <w:r w:rsidRPr="00920145">
        <w:rPr>
          <w:spacing w:val="-3"/>
        </w:rPr>
        <w:tab/>
      </w:r>
      <w:bookmarkEnd w:id="0"/>
      <w:bookmarkEnd w:id="1"/>
      <w:bookmarkEnd w:id="27"/>
    </w:p>
    <w:sectPr w:rsidR="00A23201" w:rsidRPr="00920145" w:rsidSect="00A12C83">
      <w:footerReference w:type="default" r:id="rId30"/>
      <w:headerReference w:type="first" r:id="rId31"/>
      <w:footerReference w:type="first" r:id="rId32"/>
      <w:type w:val="continuous"/>
      <w:pgSz w:w="11906" w:h="16838" w:code="9"/>
      <w:pgMar w:top="1560" w:right="1701" w:bottom="127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EA005" w14:textId="77777777" w:rsidR="00DF3C66" w:rsidRDefault="00DF3C66" w:rsidP="0086331F">
      <w:pPr>
        <w:spacing w:after="0" w:line="240" w:lineRule="auto"/>
      </w:pPr>
      <w:r>
        <w:separator/>
      </w:r>
    </w:p>
  </w:endnote>
  <w:endnote w:type="continuationSeparator" w:id="0">
    <w:p w14:paraId="6DE88678" w14:textId="77777777" w:rsidR="00DF3C66" w:rsidRDefault="00DF3C66" w:rsidP="00863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Demi">
    <w:panose1 w:val="020B07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5990214"/>
      <w:docPartObj>
        <w:docPartGallery w:val="Page Numbers (Bottom of Page)"/>
        <w:docPartUnique/>
      </w:docPartObj>
    </w:sdtPr>
    <w:sdtEndPr>
      <w:rPr>
        <w:sz w:val="18"/>
        <w:szCs w:val="18"/>
      </w:rPr>
    </w:sdtEndPr>
    <w:sdtContent>
      <w:p w14:paraId="317DC9B1" w14:textId="4EEA9F42" w:rsidR="00A23201" w:rsidRPr="00C6538A" w:rsidRDefault="00C6538A">
        <w:pPr>
          <w:pStyle w:val="Stopka"/>
          <w:jc w:val="center"/>
          <w:rPr>
            <w:sz w:val="18"/>
            <w:szCs w:val="18"/>
          </w:rPr>
        </w:pPr>
        <w:r>
          <w:t xml:space="preserve">- </w:t>
        </w:r>
        <w:r w:rsidR="00A23201" w:rsidRPr="00C6538A">
          <w:rPr>
            <w:sz w:val="18"/>
            <w:szCs w:val="18"/>
          </w:rPr>
          <w:fldChar w:fldCharType="begin"/>
        </w:r>
        <w:r w:rsidR="00A23201" w:rsidRPr="00C6538A">
          <w:rPr>
            <w:sz w:val="18"/>
            <w:szCs w:val="18"/>
          </w:rPr>
          <w:instrText>PAGE   \* MERGEFORMAT</w:instrText>
        </w:r>
        <w:r w:rsidR="00A23201" w:rsidRPr="00C6538A">
          <w:rPr>
            <w:sz w:val="18"/>
            <w:szCs w:val="18"/>
          </w:rPr>
          <w:fldChar w:fldCharType="separate"/>
        </w:r>
        <w:r w:rsidR="00A23201" w:rsidRPr="00C6538A">
          <w:rPr>
            <w:sz w:val="18"/>
            <w:szCs w:val="18"/>
          </w:rPr>
          <w:t>2</w:t>
        </w:r>
        <w:r w:rsidR="00A23201" w:rsidRPr="00C6538A">
          <w:rPr>
            <w:sz w:val="18"/>
            <w:szCs w:val="18"/>
          </w:rPr>
          <w:fldChar w:fldCharType="end"/>
        </w:r>
        <w:r>
          <w:rPr>
            <w:sz w:val="18"/>
            <w:szCs w:val="18"/>
          </w:rPr>
          <w:t xml:space="preserve"> -</w:t>
        </w:r>
      </w:p>
    </w:sdtContent>
  </w:sdt>
  <w:p w14:paraId="3F4D51EB" w14:textId="2E273735" w:rsidR="00726330" w:rsidRDefault="0072633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1B53D" w14:textId="77777777" w:rsidR="00726330" w:rsidRDefault="00414720">
    <w:pPr>
      <w:pStyle w:val="Stopka"/>
    </w:pPr>
    <w:r>
      <w:rPr>
        <w:noProof/>
        <w:lang w:eastAsia="pl-PL"/>
      </w:rPr>
      <w:drawing>
        <wp:anchor distT="0" distB="0" distL="114300" distR="114300" simplePos="0" relativeHeight="251657728" behindDoc="1" locked="0" layoutInCell="1" allowOverlap="1" wp14:anchorId="0C3EBFD1" wp14:editId="5E516374">
          <wp:simplePos x="0" y="0"/>
          <wp:positionH relativeFrom="column">
            <wp:posOffset>-826770</wp:posOffset>
          </wp:positionH>
          <wp:positionV relativeFrom="paragraph">
            <wp:posOffset>-459740</wp:posOffset>
          </wp:positionV>
          <wp:extent cx="7564755" cy="1068705"/>
          <wp:effectExtent l="0" t="0" r="0" b="0"/>
          <wp:wrapNone/>
          <wp:docPr id="6" name="Obraz 6" descr="papier firmowy nowe logo ogoln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pier firmowy nowe logo ogolny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10687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38E62" w14:textId="77777777" w:rsidR="00DF3C66" w:rsidRDefault="00DF3C66" w:rsidP="0086331F">
      <w:pPr>
        <w:spacing w:after="0" w:line="240" w:lineRule="auto"/>
      </w:pPr>
      <w:r>
        <w:separator/>
      </w:r>
    </w:p>
  </w:footnote>
  <w:footnote w:type="continuationSeparator" w:id="0">
    <w:p w14:paraId="318C9A06" w14:textId="77777777" w:rsidR="00DF3C66" w:rsidRDefault="00DF3C66" w:rsidP="00863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ECC42" w14:textId="77777777" w:rsidR="00726330" w:rsidRPr="00D070CB" w:rsidRDefault="00414720">
    <w:pPr>
      <w:pStyle w:val="Nagwek"/>
    </w:pPr>
    <w:r>
      <w:rPr>
        <w:noProof/>
        <w:lang w:eastAsia="pl-PL"/>
      </w:rPr>
      <w:drawing>
        <wp:anchor distT="0" distB="0" distL="114300" distR="114300" simplePos="0" relativeHeight="251656704" behindDoc="1" locked="0" layoutInCell="1" allowOverlap="1" wp14:anchorId="5623818B" wp14:editId="2B2D8471">
          <wp:simplePos x="0" y="0"/>
          <wp:positionH relativeFrom="column">
            <wp:posOffset>-835025</wp:posOffset>
          </wp:positionH>
          <wp:positionV relativeFrom="paragraph">
            <wp:posOffset>-447040</wp:posOffset>
          </wp:positionV>
          <wp:extent cx="7564755" cy="1068705"/>
          <wp:effectExtent l="0" t="0" r="0" b="0"/>
          <wp:wrapNone/>
          <wp:docPr id="5" name="Obraz 5" descr="papier firmowy nowe logo ogoln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pier firmowy nowe logo ogolny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10687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2D5F"/>
    <w:multiLevelType w:val="hybridMultilevel"/>
    <w:tmpl w:val="11AA1258"/>
    <w:lvl w:ilvl="0" w:tplc="1848F91A">
      <w:start w:val="1"/>
      <w:numFmt w:val="lowerLetter"/>
      <w:lvlText w:val="%1)"/>
      <w:lvlJc w:val="left"/>
      <w:pPr>
        <w:tabs>
          <w:tab w:val="num" w:pos="397"/>
        </w:tabs>
        <w:ind w:left="340" w:hanging="34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16C45C8"/>
    <w:multiLevelType w:val="hybridMultilevel"/>
    <w:tmpl w:val="C0CCF43A"/>
    <w:lvl w:ilvl="0" w:tplc="FB2ECEAC">
      <w:start w:val="1"/>
      <w:numFmt w:val="lowerLetter"/>
      <w:lvlText w:val="%1)"/>
      <w:lvlJc w:val="left"/>
      <w:pPr>
        <w:ind w:left="360" w:hanging="360"/>
      </w:pPr>
      <w:rPr>
        <w:rFonts w:ascii="Arial" w:eastAsia="Times New Roman" w:hAnsi="Arial"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2151949"/>
    <w:multiLevelType w:val="hybridMultilevel"/>
    <w:tmpl w:val="7F903FA2"/>
    <w:lvl w:ilvl="0" w:tplc="06AAF350">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 w15:restartNumberingAfterBreak="0">
    <w:nsid w:val="0270361A"/>
    <w:multiLevelType w:val="hybridMultilevel"/>
    <w:tmpl w:val="71424D32"/>
    <w:lvl w:ilvl="0" w:tplc="FFFFFFFF">
      <w:start w:val="1"/>
      <w:numFmt w:val="decimal"/>
      <w:lvlText w:val="%1."/>
      <w:lvlJc w:val="left"/>
      <w:pPr>
        <w:tabs>
          <w:tab w:val="num" w:pos="397"/>
        </w:tabs>
        <w:ind w:left="397" w:hanging="39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0415000F">
      <w:start w:val="1"/>
      <w:numFmt w:val="decimal"/>
      <w:lvlText w:val="%7."/>
      <w:lvlJc w:val="left"/>
      <w:pPr>
        <w:ind w:left="36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FB51C9"/>
    <w:multiLevelType w:val="multilevel"/>
    <w:tmpl w:val="620C0348"/>
    <w:lvl w:ilvl="0">
      <w:start w:val="1"/>
      <w:numFmt w:val="decimal"/>
      <w:lvlText w:val="%1."/>
      <w:lvlJc w:val="left"/>
      <w:pPr>
        <w:tabs>
          <w:tab w:val="num" w:pos="360"/>
        </w:tabs>
        <w:ind w:left="397" w:hanging="397"/>
      </w:pPr>
      <w:rPr>
        <w:rFonts w:hint="default"/>
      </w:rPr>
    </w:lvl>
    <w:lvl w:ilvl="1">
      <w:start w:val="1"/>
      <w:numFmt w:val="lowerLetter"/>
      <w:lvlText w:val="%2)"/>
      <w:lvlJc w:val="left"/>
      <w:pPr>
        <w:tabs>
          <w:tab w:val="num" w:pos="1097"/>
        </w:tabs>
        <w:ind w:left="1134" w:hanging="397"/>
      </w:pPr>
      <w:rPr>
        <w:rFonts w:ascii="Verdana" w:eastAsia="Times New Roman" w:hAnsi="Verdana" w:cs="Arial" w:hint="default"/>
      </w:rPr>
    </w:lvl>
    <w:lvl w:ilvl="2">
      <w:start w:val="1"/>
      <w:numFmt w:val="none"/>
      <w:lvlText w:val="a)"/>
      <w:lvlJc w:val="right"/>
      <w:pPr>
        <w:tabs>
          <w:tab w:val="num" w:pos="1834"/>
        </w:tabs>
        <w:ind w:left="1871" w:hanging="397"/>
      </w:pPr>
      <w:rPr>
        <w:rFonts w:hint="default"/>
      </w:rPr>
    </w:lvl>
    <w:lvl w:ilvl="3">
      <w:start w:val="1"/>
      <w:numFmt w:val="decimal"/>
      <w:lvlText w:val="%4."/>
      <w:lvlJc w:val="left"/>
      <w:pPr>
        <w:tabs>
          <w:tab w:val="num" w:pos="2571"/>
        </w:tabs>
        <w:ind w:left="2608" w:hanging="397"/>
      </w:pPr>
      <w:rPr>
        <w:rFonts w:hint="default"/>
      </w:rPr>
    </w:lvl>
    <w:lvl w:ilvl="4">
      <w:start w:val="1"/>
      <w:numFmt w:val="lowerLetter"/>
      <w:lvlText w:val="%5."/>
      <w:lvlJc w:val="left"/>
      <w:pPr>
        <w:tabs>
          <w:tab w:val="num" w:pos="3308"/>
        </w:tabs>
        <w:ind w:left="3345" w:hanging="397"/>
      </w:pPr>
      <w:rPr>
        <w:rFonts w:hint="default"/>
      </w:rPr>
    </w:lvl>
    <w:lvl w:ilvl="5">
      <w:start w:val="1"/>
      <w:numFmt w:val="lowerRoman"/>
      <w:lvlText w:val="%6."/>
      <w:lvlJc w:val="right"/>
      <w:pPr>
        <w:tabs>
          <w:tab w:val="num" w:pos="4045"/>
        </w:tabs>
        <w:ind w:left="4082" w:hanging="397"/>
      </w:pPr>
      <w:rPr>
        <w:rFonts w:hint="default"/>
      </w:rPr>
    </w:lvl>
    <w:lvl w:ilvl="6">
      <w:start w:val="1"/>
      <w:numFmt w:val="decimal"/>
      <w:lvlText w:val="%7."/>
      <w:lvlJc w:val="left"/>
      <w:pPr>
        <w:tabs>
          <w:tab w:val="num" w:pos="4782"/>
        </w:tabs>
        <w:ind w:left="4819" w:hanging="397"/>
      </w:pPr>
      <w:rPr>
        <w:rFonts w:hint="default"/>
      </w:rPr>
    </w:lvl>
    <w:lvl w:ilvl="7">
      <w:start w:val="1"/>
      <w:numFmt w:val="lowerLetter"/>
      <w:lvlText w:val="%8."/>
      <w:lvlJc w:val="left"/>
      <w:pPr>
        <w:tabs>
          <w:tab w:val="num" w:pos="5519"/>
        </w:tabs>
        <w:ind w:left="5556" w:hanging="397"/>
      </w:pPr>
      <w:rPr>
        <w:rFonts w:hint="default"/>
      </w:rPr>
    </w:lvl>
    <w:lvl w:ilvl="8">
      <w:start w:val="1"/>
      <w:numFmt w:val="lowerRoman"/>
      <w:lvlText w:val="%9."/>
      <w:lvlJc w:val="right"/>
      <w:pPr>
        <w:tabs>
          <w:tab w:val="num" w:pos="6256"/>
        </w:tabs>
        <w:ind w:left="6293" w:hanging="397"/>
      </w:pPr>
      <w:rPr>
        <w:rFonts w:hint="default"/>
      </w:rPr>
    </w:lvl>
  </w:abstractNum>
  <w:abstractNum w:abstractNumId="5" w15:restartNumberingAfterBreak="0">
    <w:nsid w:val="06CF687D"/>
    <w:multiLevelType w:val="hybridMultilevel"/>
    <w:tmpl w:val="D46CAA6A"/>
    <w:lvl w:ilvl="0" w:tplc="3FB6B088">
      <w:start w:val="1"/>
      <w:numFmt w:val="lowerLetter"/>
      <w:lvlText w:val="%1)"/>
      <w:lvlJc w:val="left"/>
      <w:pPr>
        <w:tabs>
          <w:tab w:val="num" w:pos="2806"/>
        </w:tabs>
        <w:ind w:left="2806" w:hanging="397"/>
      </w:pPr>
      <w:rPr>
        <w:rFonts w:hint="default"/>
      </w:rPr>
    </w:lvl>
    <w:lvl w:ilvl="1" w:tplc="04150019" w:tentative="1">
      <w:start w:val="1"/>
      <w:numFmt w:val="lowerLetter"/>
      <w:lvlText w:val="%2."/>
      <w:lvlJc w:val="left"/>
      <w:pPr>
        <w:ind w:left="3451" w:hanging="360"/>
      </w:pPr>
    </w:lvl>
    <w:lvl w:ilvl="2" w:tplc="0415001B" w:tentative="1">
      <w:start w:val="1"/>
      <w:numFmt w:val="lowerRoman"/>
      <w:lvlText w:val="%3."/>
      <w:lvlJc w:val="right"/>
      <w:pPr>
        <w:ind w:left="4171" w:hanging="180"/>
      </w:pPr>
    </w:lvl>
    <w:lvl w:ilvl="3" w:tplc="0415000F" w:tentative="1">
      <w:start w:val="1"/>
      <w:numFmt w:val="decimal"/>
      <w:lvlText w:val="%4."/>
      <w:lvlJc w:val="left"/>
      <w:pPr>
        <w:ind w:left="4891" w:hanging="360"/>
      </w:pPr>
    </w:lvl>
    <w:lvl w:ilvl="4" w:tplc="04150019" w:tentative="1">
      <w:start w:val="1"/>
      <w:numFmt w:val="lowerLetter"/>
      <w:lvlText w:val="%5."/>
      <w:lvlJc w:val="left"/>
      <w:pPr>
        <w:ind w:left="5611" w:hanging="360"/>
      </w:pPr>
    </w:lvl>
    <w:lvl w:ilvl="5" w:tplc="0415001B" w:tentative="1">
      <w:start w:val="1"/>
      <w:numFmt w:val="lowerRoman"/>
      <w:lvlText w:val="%6."/>
      <w:lvlJc w:val="right"/>
      <w:pPr>
        <w:ind w:left="6331" w:hanging="180"/>
      </w:pPr>
    </w:lvl>
    <w:lvl w:ilvl="6" w:tplc="0415000F" w:tentative="1">
      <w:start w:val="1"/>
      <w:numFmt w:val="decimal"/>
      <w:lvlText w:val="%7."/>
      <w:lvlJc w:val="left"/>
      <w:pPr>
        <w:ind w:left="7051" w:hanging="360"/>
      </w:pPr>
    </w:lvl>
    <w:lvl w:ilvl="7" w:tplc="04150019" w:tentative="1">
      <w:start w:val="1"/>
      <w:numFmt w:val="lowerLetter"/>
      <w:lvlText w:val="%8."/>
      <w:lvlJc w:val="left"/>
      <w:pPr>
        <w:ind w:left="7771" w:hanging="360"/>
      </w:pPr>
    </w:lvl>
    <w:lvl w:ilvl="8" w:tplc="0415001B" w:tentative="1">
      <w:start w:val="1"/>
      <w:numFmt w:val="lowerRoman"/>
      <w:lvlText w:val="%9."/>
      <w:lvlJc w:val="right"/>
      <w:pPr>
        <w:ind w:left="8491" w:hanging="180"/>
      </w:pPr>
    </w:lvl>
  </w:abstractNum>
  <w:abstractNum w:abstractNumId="6" w15:restartNumberingAfterBreak="0">
    <w:nsid w:val="0AC13605"/>
    <w:multiLevelType w:val="hybridMultilevel"/>
    <w:tmpl w:val="31586F9A"/>
    <w:lvl w:ilvl="0" w:tplc="3F724AA0">
      <w:start w:val="2"/>
      <w:numFmt w:val="lowerLetter"/>
      <w:lvlText w:val="%1)"/>
      <w:lvlJc w:val="left"/>
      <w:pPr>
        <w:tabs>
          <w:tab w:val="num" w:pos="794"/>
        </w:tabs>
        <w:ind w:left="794" w:hanging="397"/>
      </w:pPr>
      <w:rPr>
        <w:rFonts w:ascii="Verdana" w:eastAsia="Times New Roman" w:hAnsi="Verdan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8B59A8"/>
    <w:multiLevelType w:val="multilevel"/>
    <w:tmpl w:val="AFA0141C"/>
    <w:lvl w:ilvl="0">
      <w:start w:val="1"/>
      <w:numFmt w:val="lowerLetter"/>
      <w:lvlText w:val="%1)"/>
      <w:lvlJc w:val="left"/>
      <w:pPr>
        <w:tabs>
          <w:tab w:val="num" w:pos="1080"/>
        </w:tabs>
        <w:ind w:left="737" w:hanging="397"/>
      </w:pPr>
      <w:rPr>
        <w:rFonts w:ascii="Verdana" w:eastAsia="Times New Roman" w:hAnsi="Verdana" w:cs="Times New Roman" w:hint="default"/>
        <w:b w:val="0"/>
        <w:i w:val="0"/>
      </w:rPr>
    </w:lvl>
    <w:lvl w:ilvl="1">
      <w:start w:val="1"/>
      <w:numFmt w:val="decimal"/>
      <w:lvlText w:val="%2)"/>
      <w:lvlJc w:val="left"/>
      <w:pPr>
        <w:ind w:left="1080" w:hanging="360"/>
      </w:pPr>
      <w:rPr>
        <w:rFonts w:hint="default"/>
        <w:sz w:val="20"/>
        <w:szCs w:val="20"/>
      </w:rPr>
    </w:lvl>
    <w:lvl w:ilvl="2">
      <w:start w:val="1"/>
      <w:numFmt w:val="bullet"/>
      <w:lvlText w:val=""/>
      <w:lvlJc w:val="left"/>
      <w:pPr>
        <w:tabs>
          <w:tab w:val="num" w:pos="1440"/>
        </w:tabs>
        <w:ind w:left="1440" w:hanging="360"/>
      </w:pPr>
      <w:rPr>
        <w:rFonts w:ascii="Symbol" w:hAnsi="Symbol"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720"/>
        </w:tabs>
        <w:ind w:left="72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0C930736"/>
    <w:multiLevelType w:val="hybridMultilevel"/>
    <w:tmpl w:val="A14EA73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C9A10A7"/>
    <w:multiLevelType w:val="hybridMultilevel"/>
    <w:tmpl w:val="0AB89060"/>
    <w:lvl w:ilvl="0" w:tplc="B18CFCCE">
      <w:start w:val="1"/>
      <w:numFmt w:val="lowerLetter"/>
      <w:lvlText w:val="%1)"/>
      <w:lvlJc w:val="right"/>
      <w:pPr>
        <w:ind w:left="1173" w:hanging="180"/>
      </w:pPr>
      <w:rPr>
        <w:rFonts w:ascii="Verdana" w:eastAsia="Times New Roman" w:hAnsi="Verdana"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C256EB"/>
    <w:multiLevelType w:val="hybridMultilevel"/>
    <w:tmpl w:val="95267E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13964B3"/>
    <w:multiLevelType w:val="multilevel"/>
    <w:tmpl w:val="6D049E1C"/>
    <w:lvl w:ilvl="0">
      <w:start w:val="1"/>
      <w:numFmt w:val="ordinal"/>
      <w:lvlText w:val="%1"/>
      <w:lvlJc w:val="left"/>
      <w:pPr>
        <w:tabs>
          <w:tab w:val="num" w:pos="720"/>
        </w:tabs>
        <w:ind w:left="360" w:hanging="360"/>
      </w:pPr>
      <w:rPr>
        <w:b w:val="0"/>
        <w:i w:val="0"/>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14D5E81"/>
    <w:multiLevelType w:val="hybridMultilevel"/>
    <w:tmpl w:val="5C34C15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2766CB1"/>
    <w:multiLevelType w:val="hybridMultilevel"/>
    <w:tmpl w:val="105AD34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28E0CD4"/>
    <w:multiLevelType w:val="hybridMultilevel"/>
    <w:tmpl w:val="A8C620FA"/>
    <w:lvl w:ilvl="0" w:tplc="678A8BC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223E20"/>
    <w:multiLevelType w:val="hybridMultilevel"/>
    <w:tmpl w:val="257C717E"/>
    <w:lvl w:ilvl="0" w:tplc="10B8B748">
      <w:start w:val="1"/>
      <w:numFmt w:val="lowerLetter"/>
      <w:lvlText w:val="%1)"/>
      <w:lvlJc w:val="left"/>
      <w:pPr>
        <w:ind w:left="944" w:hanging="360"/>
      </w:pPr>
      <w:rPr>
        <w:rFonts w:ascii="Verdana" w:eastAsia="Times New Roman" w:hAnsi="Verdana" w:cs="Times New Roman" w:hint="default"/>
      </w:rPr>
    </w:lvl>
    <w:lvl w:ilvl="1" w:tplc="04150019" w:tentative="1">
      <w:start w:val="1"/>
      <w:numFmt w:val="lowerLetter"/>
      <w:lvlText w:val="%2."/>
      <w:lvlJc w:val="left"/>
      <w:pPr>
        <w:ind w:left="1664" w:hanging="360"/>
      </w:pPr>
    </w:lvl>
    <w:lvl w:ilvl="2" w:tplc="0415001B" w:tentative="1">
      <w:start w:val="1"/>
      <w:numFmt w:val="lowerRoman"/>
      <w:lvlText w:val="%3."/>
      <w:lvlJc w:val="right"/>
      <w:pPr>
        <w:ind w:left="2384" w:hanging="180"/>
      </w:pPr>
    </w:lvl>
    <w:lvl w:ilvl="3" w:tplc="0415000F" w:tentative="1">
      <w:start w:val="1"/>
      <w:numFmt w:val="decimal"/>
      <w:lvlText w:val="%4."/>
      <w:lvlJc w:val="left"/>
      <w:pPr>
        <w:ind w:left="3104" w:hanging="360"/>
      </w:pPr>
    </w:lvl>
    <w:lvl w:ilvl="4" w:tplc="04150019" w:tentative="1">
      <w:start w:val="1"/>
      <w:numFmt w:val="lowerLetter"/>
      <w:lvlText w:val="%5."/>
      <w:lvlJc w:val="left"/>
      <w:pPr>
        <w:ind w:left="3824" w:hanging="360"/>
      </w:pPr>
    </w:lvl>
    <w:lvl w:ilvl="5" w:tplc="0415001B" w:tentative="1">
      <w:start w:val="1"/>
      <w:numFmt w:val="lowerRoman"/>
      <w:lvlText w:val="%6."/>
      <w:lvlJc w:val="right"/>
      <w:pPr>
        <w:ind w:left="4544" w:hanging="180"/>
      </w:pPr>
    </w:lvl>
    <w:lvl w:ilvl="6" w:tplc="0415000F" w:tentative="1">
      <w:start w:val="1"/>
      <w:numFmt w:val="decimal"/>
      <w:lvlText w:val="%7."/>
      <w:lvlJc w:val="left"/>
      <w:pPr>
        <w:ind w:left="5264" w:hanging="360"/>
      </w:pPr>
    </w:lvl>
    <w:lvl w:ilvl="7" w:tplc="04150019" w:tentative="1">
      <w:start w:val="1"/>
      <w:numFmt w:val="lowerLetter"/>
      <w:lvlText w:val="%8."/>
      <w:lvlJc w:val="left"/>
      <w:pPr>
        <w:ind w:left="5984" w:hanging="360"/>
      </w:pPr>
    </w:lvl>
    <w:lvl w:ilvl="8" w:tplc="0415001B" w:tentative="1">
      <w:start w:val="1"/>
      <w:numFmt w:val="lowerRoman"/>
      <w:lvlText w:val="%9."/>
      <w:lvlJc w:val="right"/>
      <w:pPr>
        <w:ind w:left="6704" w:hanging="180"/>
      </w:pPr>
    </w:lvl>
  </w:abstractNum>
  <w:abstractNum w:abstractNumId="16" w15:restartNumberingAfterBreak="0">
    <w:nsid w:val="139B646B"/>
    <w:multiLevelType w:val="hybridMultilevel"/>
    <w:tmpl w:val="2118F3B6"/>
    <w:lvl w:ilvl="0" w:tplc="1FA44D84">
      <w:start w:val="1"/>
      <w:numFmt w:val="decimal"/>
      <w:lvlText w:val="%1."/>
      <w:lvlJc w:val="left"/>
      <w:pPr>
        <w:tabs>
          <w:tab w:val="num" w:pos="397"/>
        </w:tabs>
        <w:ind w:left="397" w:hanging="397"/>
      </w:pPr>
      <w:rPr>
        <w:rFonts w:hint="default"/>
      </w:rPr>
    </w:lvl>
    <w:lvl w:ilvl="1" w:tplc="522AA736">
      <w:start w:val="1"/>
      <w:numFmt w:val="decimal"/>
      <w:lvlText w:val="%2)"/>
      <w:lvlJc w:val="left"/>
      <w:pPr>
        <w:tabs>
          <w:tab w:val="num" w:pos="737"/>
        </w:tabs>
        <w:ind w:left="737" w:hanging="340"/>
      </w:pPr>
      <w:rPr>
        <w:rFonts w:hint="default"/>
      </w:rPr>
    </w:lvl>
    <w:lvl w:ilvl="2" w:tplc="0415001B">
      <w:start w:val="1"/>
      <w:numFmt w:val="lowerRoman"/>
      <w:lvlText w:val="%3."/>
      <w:lvlJc w:val="right"/>
      <w:pPr>
        <w:ind w:left="2160" w:hanging="180"/>
      </w:pPr>
    </w:lvl>
    <w:lvl w:ilvl="3" w:tplc="2DAA4EC2">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3E84EC5"/>
    <w:multiLevelType w:val="hybridMultilevel"/>
    <w:tmpl w:val="71D6C1F2"/>
    <w:lvl w:ilvl="0" w:tplc="04150011">
      <w:start w:val="1"/>
      <w:numFmt w:val="decimal"/>
      <w:lvlText w:val="%1)"/>
      <w:lvlJc w:val="left"/>
      <w:pPr>
        <w:ind w:left="757" w:hanging="360"/>
      </w:pPr>
      <w:rPr>
        <w:rFonts w:hint="default"/>
      </w:rPr>
    </w:lvl>
    <w:lvl w:ilvl="1" w:tplc="04150019">
      <w:start w:val="1"/>
      <w:numFmt w:val="lowerLetter"/>
      <w:lvlText w:val="%2."/>
      <w:lvlJc w:val="left"/>
      <w:pPr>
        <w:ind w:left="1477" w:hanging="360"/>
      </w:pPr>
    </w:lvl>
    <w:lvl w:ilvl="2" w:tplc="3E68847C">
      <w:start w:val="1"/>
      <w:numFmt w:val="decimal"/>
      <w:lvlText w:val="%3)"/>
      <w:lvlJc w:val="left"/>
      <w:pPr>
        <w:tabs>
          <w:tab w:val="num" w:pos="1134"/>
        </w:tabs>
        <w:ind w:left="1134" w:hanging="397"/>
      </w:pPr>
      <w:rPr>
        <w:rFonts w:hint="default"/>
      </w:rPr>
    </w:lvl>
    <w:lvl w:ilvl="3" w:tplc="7D70ADF8">
      <w:start w:val="20"/>
      <w:numFmt w:val="decimal"/>
      <w:lvlText w:val="%4"/>
      <w:lvlJc w:val="left"/>
      <w:pPr>
        <w:ind w:left="2917" w:hanging="360"/>
      </w:pPr>
      <w:rPr>
        <w:rFonts w:hint="default"/>
      </w:rPr>
    </w:lvl>
    <w:lvl w:ilvl="4" w:tplc="52561624">
      <w:start w:val="1"/>
      <w:numFmt w:val="lowerLetter"/>
      <w:lvlText w:val="%5)"/>
      <w:lvlJc w:val="left"/>
      <w:pPr>
        <w:ind w:left="3637" w:hanging="360"/>
      </w:pPr>
      <w:rPr>
        <w:rFonts w:hint="default"/>
      </w:r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8" w15:restartNumberingAfterBreak="0">
    <w:nsid w:val="14680353"/>
    <w:multiLevelType w:val="hybridMultilevel"/>
    <w:tmpl w:val="715E95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5F20988"/>
    <w:multiLevelType w:val="hybridMultilevel"/>
    <w:tmpl w:val="C50CDEFC"/>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163F10BF"/>
    <w:multiLevelType w:val="hybridMultilevel"/>
    <w:tmpl w:val="56440352"/>
    <w:lvl w:ilvl="0" w:tplc="06AAF350">
      <w:start w:val="1"/>
      <w:numFmt w:val="lowerLetter"/>
      <w:lvlText w:val="%1)"/>
      <w:lvlJc w:val="left"/>
      <w:pPr>
        <w:ind w:left="1068" w:hanging="360"/>
      </w:pPr>
      <w:rPr>
        <w:rFonts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17A7099B"/>
    <w:multiLevelType w:val="hybridMultilevel"/>
    <w:tmpl w:val="5E320834"/>
    <w:lvl w:ilvl="0" w:tplc="10B8B748">
      <w:start w:val="1"/>
      <w:numFmt w:val="lowerLetter"/>
      <w:lvlText w:val="%1)"/>
      <w:lvlJc w:val="left"/>
      <w:pPr>
        <w:tabs>
          <w:tab w:val="num" w:pos="794"/>
        </w:tabs>
        <w:ind w:left="794" w:hanging="397"/>
      </w:pPr>
      <w:rPr>
        <w:rFonts w:ascii="Verdana" w:eastAsia="Times New Roman" w:hAnsi="Verdana" w:cs="Times New Roman"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19F756E1"/>
    <w:multiLevelType w:val="hybridMultilevel"/>
    <w:tmpl w:val="CBD2F4B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D1A1E4A"/>
    <w:multiLevelType w:val="hybridMultilevel"/>
    <w:tmpl w:val="0FE05842"/>
    <w:lvl w:ilvl="0" w:tplc="0C7073D0">
      <w:start w:val="1"/>
      <w:numFmt w:val="decimal"/>
      <w:lvlText w:val="%1."/>
      <w:lvlJc w:val="left"/>
      <w:pPr>
        <w:ind w:left="360" w:hanging="360"/>
      </w:pPr>
      <w:rPr>
        <w:rFonts w:ascii="Verdana" w:eastAsia="Times New Roman" w:hAnsi="Verdana" w:cs="Times New Roman"/>
      </w:rPr>
    </w:lvl>
    <w:lvl w:ilvl="1" w:tplc="D700CDB4">
      <w:start w:val="1"/>
      <w:numFmt w:val="lowerLetter"/>
      <w:lvlText w:val="%2."/>
      <w:lvlJc w:val="left"/>
      <w:pPr>
        <w:tabs>
          <w:tab w:val="num" w:pos="737"/>
        </w:tabs>
        <w:ind w:left="737" w:hanging="340"/>
      </w:pPr>
      <w:rPr>
        <w:rFonts w:ascii="Verdana" w:eastAsia="Times New Roman" w:hAnsi="Verdana"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DD954C1"/>
    <w:multiLevelType w:val="hybridMultilevel"/>
    <w:tmpl w:val="0F3A917E"/>
    <w:lvl w:ilvl="0" w:tplc="03508856">
      <w:start w:val="1"/>
      <w:numFmt w:val="decimal"/>
      <w:lvlText w:val="%1."/>
      <w:lvlJc w:val="left"/>
      <w:pPr>
        <w:ind w:left="375" w:hanging="375"/>
      </w:pPr>
      <w:rPr>
        <w:rFonts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EC17A52"/>
    <w:multiLevelType w:val="hybridMultilevel"/>
    <w:tmpl w:val="0120602A"/>
    <w:lvl w:ilvl="0" w:tplc="88DE304C">
      <w:start w:val="1"/>
      <w:numFmt w:val="lowerLetter"/>
      <w:lvlText w:val="%1)"/>
      <w:lvlJc w:val="right"/>
      <w:pPr>
        <w:ind w:left="1596" w:hanging="180"/>
      </w:pPr>
      <w:rPr>
        <w:rFonts w:ascii="Verdana" w:eastAsia="Times New Roman" w:hAnsi="Verdana" w:cs="Arial" w:hint="default"/>
      </w:rPr>
    </w:lvl>
    <w:lvl w:ilvl="1" w:tplc="04150019" w:tentative="1">
      <w:start w:val="1"/>
      <w:numFmt w:val="lowerLetter"/>
      <w:lvlText w:val="%2."/>
      <w:lvlJc w:val="left"/>
      <w:pPr>
        <w:ind w:left="528" w:hanging="360"/>
      </w:pPr>
    </w:lvl>
    <w:lvl w:ilvl="2" w:tplc="0415001B">
      <w:start w:val="1"/>
      <w:numFmt w:val="lowerRoman"/>
      <w:lvlText w:val="%3."/>
      <w:lvlJc w:val="right"/>
      <w:pPr>
        <w:ind w:left="1248" w:hanging="180"/>
      </w:pPr>
    </w:lvl>
    <w:lvl w:ilvl="3" w:tplc="0415000F" w:tentative="1">
      <w:start w:val="1"/>
      <w:numFmt w:val="decimal"/>
      <w:lvlText w:val="%4."/>
      <w:lvlJc w:val="left"/>
      <w:pPr>
        <w:ind w:left="1968" w:hanging="360"/>
      </w:pPr>
    </w:lvl>
    <w:lvl w:ilvl="4" w:tplc="04150019" w:tentative="1">
      <w:start w:val="1"/>
      <w:numFmt w:val="lowerLetter"/>
      <w:lvlText w:val="%5."/>
      <w:lvlJc w:val="left"/>
      <w:pPr>
        <w:ind w:left="2688" w:hanging="360"/>
      </w:pPr>
    </w:lvl>
    <w:lvl w:ilvl="5" w:tplc="0415001B" w:tentative="1">
      <w:start w:val="1"/>
      <w:numFmt w:val="lowerRoman"/>
      <w:lvlText w:val="%6."/>
      <w:lvlJc w:val="right"/>
      <w:pPr>
        <w:ind w:left="3408" w:hanging="180"/>
      </w:pPr>
    </w:lvl>
    <w:lvl w:ilvl="6" w:tplc="0415000F" w:tentative="1">
      <w:start w:val="1"/>
      <w:numFmt w:val="decimal"/>
      <w:lvlText w:val="%7."/>
      <w:lvlJc w:val="left"/>
      <w:pPr>
        <w:ind w:left="4128" w:hanging="360"/>
      </w:pPr>
    </w:lvl>
    <w:lvl w:ilvl="7" w:tplc="04150019" w:tentative="1">
      <w:start w:val="1"/>
      <w:numFmt w:val="lowerLetter"/>
      <w:lvlText w:val="%8."/>
      <w:lvlJc w:val="left"/>
      <w:pPr>
        <w:ind w:left="4848" w:hanging="360"/>
      </w:pPr>
    </w:lvl>
    <w:lvl w:ilvl="8" w:tplc="0415001B" w:tentative="1">
      <w:start w:val="1"/>
      <w:numFmt w:val="lowerRoman"/>
      <w:lvlText w:val="%9."/>
      <w:lvlJc w:val="right"/>
      <w:pPr>
        <w:ind w:left="5568" w:hanging="180"/>
      </w:pPr>
    </w:lvl>
  </w:abstractNum>
  <w:abstractNum w:abstractNumId="26" w15:restartNumberingAfterBreak="0">
    <w:nsid w:val="1EDE72AD"/>
    <w:multiLevelType w:val="hybridMultilevel"/>
    <w:tmpl w:val="52667A3A"/>
    <w:lvl w:ilvl="0" w:tplc="04150017">
      <w:start w:val="1"/>
      <w:numFmt w:val="lowerLetter"/>
      <w:lvlText w:val="%1)"/>
      <w:lvlJc w:val="left"/>
      <w:pPr>
        <w:ind w:left="1425" w:hanging="360"/>
      </w:pPr>
    </w:lvl>
    <w:lvl w:ilvl="1" w:tplc="04150019">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7" w15:restartNumberingAfterBreak="0">
    <w:nsid w:val="1FD317ED"/>
    <w:multiLevelType w:val="multilevel"/>
    <w:tmpl w:val="ECECB028"/>
    <w:styleLink w:val="Styl2"/>
    <w:lvl w:ilvl="0">
      <w:start w:val="1"/>
      <w:numFmt w:val="decimal"/>
      <w:lvlText w:val="%1."/>
      <w:lvlJc w:val="right"/>
      <w:pPr>
        <w:tabs>
          <w:tab w:val="num" w:pos="454"/>
        </w:tabs>
        <w:ind w:left="510" w:hanging="453"/>
      </w:pPr>
      <w:rPr>
        <w:rFonts w:hint="default"/>
      </w:rPr>
    </w:lvl>
    <w:lvl w:ilvl="1">
      <w:start w:val="1"/>
      <w:numFmt w:val="lowerLetter"/>
      <w:lvlText w:val="%2)"/>
      <w:lvlJc w:val="right"/>
      <w:pPr>
        <w:tabs>
          <w:tab w:val="num" w:pos="794"/>
        </w:tabs>
        <w:ind w:left="794" w:firstLine="0"/>
      </w:pPr>
      <w:rPr>
        <w:rFonts w:hint="default"/>
      </w:rPr>
    </w:lvl>
    <w:lvl w:ilvl="2">
      <w:start w:val="1"/>
      <w:numFmt w:val="lowerRoman"/>
      <w:lvlText w:val="%3)"/>
      <w:lvlJc w:val="left"/>
      <w:pPr>
        <w:tabs>
          <w:tab w:val="num" w:pos="1191"/>
        </w:tabs>
        <w:ind w:left="1191" w:firstLine="0"/>
      </w:pPr>
      <w:rPr>
        <w:rFonts w:hint="default"/>
      </w:rPr>
    </w:lvl>
    <w:lvl w:ilvl="3">
      <w:start w:val="1"/>
      <w:numFmt w:val="decimal"/>
      <w:lvlText w:val="(%4)"/>
      <w:lvlJc w:val="left"/>
      <w:pPr>
        <w:tabs>
          <w:tab w:val="num" w:pos="1588"/>
        </w:tabs>
        <w:ind w:left="1588" w:firstLine="0"/>
      </w:pPr>
      <w:rPr>
        <w:rFonts w:hint="default"/>
      </w:rPr>
    </w:lvl>
    <w:lvl w:ilvl="4">
      <w:start w:val="1"/>
      <w:numFmt w:val="lowerLetter"/>
      <w:lvlText w:val="(%5)"/>
      <w:lvlJc w:val="left"/>
      <w:pPr>
        <w:tabs>
          <w:tab w:val="num" w:pos="1985"/>
        </w:tabs>
        <w:ind w:left="1985" w:firstLine="0"/>
      </w:pPr>
      <w:rPr>
        <w:rFonts w:hint="default"/>
      </w:rPr>
    </w:lvl>
    <w:lvl w:ilvl="5">
      <w:start w:val="1"/>
      <w:numFmt w:val="lowerRoman"/>
      <w:lvlText w:val="(%6)"/>
      <w:lvlJc w:val="left"/>
      <w:pPr>
        <w:tabs>
          <w:tab w:val="num" w:pos="2382"/>
        </w:tabs>
        <w:ind w:left="2382" w:firstLine="0"/>
      </w:pPr>
      <w:rPr>
        <w:rFonts w:hint="default"/>
      </w:rPr>
    </w:lvl>
    <w:lvl w:ilvl="6">
      <w:start w:val="1"/>
      <w:numFmt w:val="decimal"/>
      <w:lvlText w:val="%7."/>
      <w:lvlJc w:val="left"/>
      <w:pPr>
        <w:ind w:left="3139" w:hanging="360"/>
      </w:pPr>
      <w:rPr>
        <w:rFonts w:hint="default"/>
      </w:rPr>
    </w:lvl>
    <w:lvl w:ilvl="7">
      <w:start w:val="1"/>
      <w:numFmt w:val="lowerLetter"/>
      <w:lvlText w:val="%8."/>
      <w:lvlJc w:val="left"/>
      <w:pPr>
        <w:tabs>
          <w:tab w:val="num" w:pos="3176"/>
        </w:tabs>
        <w:ind w:left="3176" w:firstLine="0"/>
      </w:pPr>
      <w:rPr>
        <w:rFonts w:hint="default"/>
      </w:rPr>
    </w:lvl>
    <w:lvl w:ilvl="8">
      <w:start w:val="1"/>
      <w:numFmt w:val="lowerRoman"/>
      <w:lvlText w:val="%9."/>
      <w:lvlJc w:val="left"/>
      <w:pPr>
        <w:tabs>
          <w:tab w:val="num" w:pos="3573"/>
        </w:tabs>
        <w:ind w:left="3573" w:firstLine="0"/>
      </w:pPr>
      <w:rPr>
        <w:rFonts w:hint="default"/>
      </w:rPr>
    </w:lvl>
  </w:abstractNum>
  <w:abstractNum w:abstractNumId="28" w15:restartNumberingAfterBreak="0">
    <w:nsid w:val="20087DD1"/>
    <w:multiLevelType w:val="hybridMultilevel"/>
    <w:tmpl w:val="30B292E0"/>
    <w:lvl w:ilvl="0" w:tplc="CC5C6E7E">
      <w:start w:val="1"/>
      <w:numFmt w:val="lowerLetter"/>
      <w:lvlText w:val="%1)"/>
      <w:lvlJc w:val="right"/>
      <w:pPr>
        <w:ind w:left="1596" w:hanging="180"/>
      </w:pPr>
      <w:rPr>
        <w:rFonts w:ascii="Verdana" w:eastAsia="Times New Roman" w:hAnsi="Verdana"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02B3E78"/>
    <w:multiLevelType w:val="multilevel"/>
    <w:tmpl w:val="3FCE1B1C"/>
    <w:lvl w:ilvl="0">
      <w:start w:val="1"/>
      <w:numFmt w:val="decimal"/>
      <w:lvlText w:val="%1."/>
      <w:lvlJc w:val="right"/>
      <w:pPr>
        <w:tabs>
          <w:tab w:val="num" w:pos="360"/>
        </w:tabs>
        <w:ind w:left="360" w:hanging="72"/>
      </w:pPr>
    </w:lvl>
    <w:lvl w:ilvl="1">
      <w:start w:val="1"/>
      <w:numFmt w:val="lowerLetter"/>
      <w:lvlText w:val="%2)"/>
      <w:lvlJc w:val="right"/>
      <w:pPr>
        <w:tabs>
          <w:tab w:val="num" w:pos="720"/>
        </w:tabs>
        <w:ind w:left="720" w:hanging="144"/>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ind w:left="720" w:hanging="360"/>
      </w:pPr>
      <w:rPr>
        <w:rFonts w:hint="default"/>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22A729D8"/>
    <w:multiLevelType w:val="hybridMultilevel"/>
    <w:tmpl w:val="88443A7A"/>
    <w:lvl w:ilvl="0" w:tplc="04150011">
      <w:start w:val="1"/>
      <w:numFmt w:val="decimal"/>
      <w:lvlText w:val="%1)"/>
      <w:lvlJc w:val="left"/>
      <w:pPr>
        <w:tabs>
          <w:tab w:val="num" w:pos="1080"/>
        </w:tabs>
        <w:ind w:left="1080" w:hanging="397"/>
      </w:pPr>
      <w:rPr>
        <w:rFonts w:hint="default"/>
      </w:rPr>
    </w:lvl>
    <w:lvl w:ilvl="1" w:tplc="FFFFFFFF">
      <w:start w:val="1"/>
      <w:numFmt w:val="lowerLetter"/>
      <w:lvlText w:val="%2."/>
      <w:lvlJc w:val="left"/>
      <w:pPr>
        <w:ind w:left="2434" w:hanging="360"/>
      </w:pPr>
    </w:lvl>
    <w:lvl w:ilvl="2" w:tplc="FFFFFFFF" w:tentative="1">
      <w:start w:val="1"/>
      <w:numFmt w:val="lowerRoman"/>
      <w:lvlText w:val="%3."/>
      <w:lvlJc w:val="right"/>
      <w:pPr>
        <w:ind w:left="3154" w:hanging="180"/>
      </w:pPr>
    </w:lvl>
    <w:lvl w:ilvl="3" w:tplc="FFFFFFFF" w:tentative="1">
      <w:start w:val="1"/>
      <w:numFmt w:val="decimal"/>
      <w:lvlText w:val="%4."/>
      <w:lvlJc w:val="left"/>
      <w:pPr>
        <w:ind w:left="3874" w:hanging="360"/>
      </w:pPr>
    </w:lvl>
    <w:lvl w:ilvl="4" w:tplc="FFFFFFFF" w:tentative="1">
      <w:start w:val="1"/>
      <w:numFmt w:val="lowerLetter"/>
      <w:lvlText w:val="%5."/>
      <w:lvlJc w:val="left"/>
      <w:pPr>
        <w:ind w:left="4594" w:hanging="360"/>
      </w:pPr>
    </w:lvl>
    <w:lvl w:ilvl="5" w:tplc="FFFFFFFF" w:tentative="1">
      <w:start w:val="1"/>
      <w:numFmt w:val="lowerRoman"/>
      <w:lvlText w:val="%6."/>
      <w:lvlJc w:val="right"/>
      <w:pPr>
        <w:ind w:left="5314" w:hanging="180"/>
      </w:pPr>
    </w:lvl>
    <w:lvl w:ilvl="6" w:tplc="FFFFFFFF" w:tentative="1">
      <w:start w:val="1"/>
      <w:numFmt w:val="decimal"/>
      <w:lvlText w:val="%7."/>
      <w:lvlJc w:val="left"/>
      <w:pPr>
        <w:ind w:left="6034" w:hanging="360"/>
      </w:pPr>
    </w:lvl>
    <w:lvl w:ilvl="7" w:tplc="FFFFFFFF" w:tentative="1">
      <w:start w:val="1"/>
      <w:numFmt w:val="lowerLetter"/>
      <w:lvlText w:val="%8."/>
      <w:lvlJc w:val="left"/>
      <w:pPr>
        <w:ind w:left="6754" w:hanging="360"/>
      </w:pPr>
    </w:lvl>
    <w:lvl w:ilvl="8" w:tplc="FFFFFFFF" w:tentative="1">
      <w:start w:val="1"/>
      <w:numFmt w:val="lowerRoman"/>
      <w:lvlText w:val="%9."/>
      <w:lvlJc w:val="right"/>
      <w:pPr>
        <w:ind w:left="7474" w:hanging="180"/>
      </w:pPr>
    </w:lvl>
  </w:abstractNum>
  <w:abstractNum w:abstractNumId="31" w15:restartNumberingAfterBreak="0">
    <w:nsid w:val="22EC77DE"/>
    <w:multiLevelType w:val="hybridMultilevel"/>
    <w:tmpl w:val="3BD84838"/>
    <w:lvl w:ilvl="0" w:tplc="3E4A1738">
      <w:start w:val="1"/>
      <w:numFmt w:val="decimal"/>
      <w:lvlText w:val="%1)"/>
      <w:lvlJc w:val="right"/>
      <w:pPr>
        <w:tabs>
          <w:tab w:val="num" w:pos="737"/>
        </w:tabs>
        <w:ind w:left="737" w:hanging="340"/>
      </w:pPr>
      <w:rPr>
        <w:rFonts w:ascii="Verdana" w:eastAsia="Times New Roman" w:hAnsi="Verdana" w:cs="Arial" w:hint="default"/>
      </w:rPr>
    </w:lvl>
    <w:lvl w:ilvl="1" w:tplc="04150019">
      <w:start w:val="1"/>
      <w:numFmt w:val="lowerLetter"/>
      <w:lvlText w:val="%2."/>
      <w:lvlJc w:val="left"/>
      <w:pPr>
        <w:ind w:left="1800" w:hanging="360"/>
      </w:pPr>
    </w:lvl>
    <w:lvl w:ilvl="2" w:tplc="B3F0B546">
      <w:start w:val="1"/>
      <w:numFmt w:val="lowerLetter"/>
      <w:lvlText w:val="%3)"/>
      <w:lvlJc w:val="right"/>
      <w:pPr>
        <w:tabs>
          <w:tab w:val="num" w:pos="737"/>
        </w:tabs>
        <w:ind w:left="737" w:hanging="340"/>
      </w:pPr>
      <w:rPr>
        <w:rFonts w:ascii="Verdana" w:eastAsia="Times New Roman" w:hAnsi="Verdana" w:cs="Arial" w:hint="default"/>
      </w:rPr>
    </w:lvl>
    <w:lvl w:ilvl="3" w:tplc="459E1F3C">
      <w:start w:val="1"/>
      <w:numFmt w:val="decimal"/>
      <w:lvlText w:val="%4."/>
      <w:lvlJc w:val="left"/>
      <w:pPr>
        <w:ind w:left="3240" w:hanging="360"/>
      </w:pPr>
      <w:rPr>
        <w:b w:val="0"/>
        <w:bCs w:val="0"/>
        <w:color w:val="auto"/>
      </w:rPr>
    </w:lvl>
    <w:lvl w:ilvl="4" w:tplc="14B273CE">
      <w:start w:val="10"/>
      <w:numFmt w:val="decimal"/>
      <w:lvlText w:val="%5"/>
      <w:lvlJc w:val="left"/>
      <w:pPr>
        <w:ind w:left="3960" w:hanging="360"/>
      </w:pPr>
      <w:rPr>
        <w:rFonts w:cs="Times New Roman" w:hint="default"/>
      </w:r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23D96B1C"/>
    <w:multiLevelType w:val="hybridMultilevel"/>
    <w:tmpl w:val="FE6AE89C"/>
    <w:lvl w:ilvl="0" w:tplc="04150017">
      <w:start w:val="1"/>
      <w:numFmt w:val="lowerLetter"/>
      <w:lvlText w:val="%1)"/>
      <w:lvlJc w:val="left"/>
      <w:pPr>
        <w:ind w:left="1429" w:hanging="360"/>
      </w:pPr>
    </w:lvl>
    <w:lvl w:ilvl="1" w:tplc="C9A8B7AE">
      <w:start w:val="1"/>
      <w:numFmt w:val="lowerLetter"/>
      <w:lvlText w:val="%2)"/>
      <w:lvlJc w:val="left"/>
      <w:pPr>
        <w:ind w:left="2149" w:hanging="360"/>
      </w:pPr>
      <w:rPr>
        <w:rFonts w:ascii="Verdana" w:eastAsia="Calibri" w:hAnsi="Verdana" w:cs="Times New Roman"/>
      </w:rPr>
    </w:lvl>
    <w:lvl w:ilvl="2" w:tplc="04150011">
      <w:start w:val="1"/>
      <w:numFmt w:val="decimal"/>
      <w:lvlText w:val="%3)"/>
      <w:lvlJc w:val="left"/>
      <w:pPr>
        <w:ind w:left="927" w:hanging="36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15:restartNumberingAfterBreak="0">
    <w:nsid w:val="25A324BD"/>
    <w:multiLevelType w:val="hybridMultilevel"/>
    <w:tmpl w:val="4D2635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6D909F3"/>
    <w:multiLevelType w:val="hybridMultilevel"/>
    <w:tmpl w:val="4C804EBA"/>
    <w:lvl w:ilvl="0" w:tplc="52061C6A">
      <w:start w:val="1"/>
      <w:numFmt w:val="decimal"/>
      <w:lvlText w:val="%1."/>
      <w:lvlJc w:val="left"/>
      <w:pPr>
        <w:tabs>
          <w:tab w:val="num" w:pos="1390"/>
        </w:tabs>
        <w:ind w:left="1390" w:hanging="397"/>
      </w:pPr>
      <w:rPr>
        <w:rFonts w:hint="default"/>
      </w:rPr>
    </w:lvl>
    <w:lvl w:ilvl="1" w:tplc="E4900C92">
      <w:start w:val="1"/>
      <w:numFmt w:val="lowerLetter"/>
      <w:lvlText w:val="%2)"/>
      <w:lvlJc w:val="left"/>
      <w:pPr>
        <w:tabs>
          <w:tab w:val="num" w:pos="737"/>
        </w:tabs>
        <w:ind w:left="737" w:hanging="340"/>
      </w:pPr>
      <w:rPr>
        <w:rFonts w:ascii="Verdana" w:eastAsia="Times New Roman" w:hAnsi="Verdana" w:cs="Times New Roman" w:hint="default"/>
      </w:rPr>
    </w:lvl>
    <w:lvl w:ilvl="2" w:tplc="9FF881C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7B460CB"/>
    <w:multiLevelType w:val="hybridMultilevel"/>
    <w:tmpl w:val="1DDE5128"/>
    <w:lvl w:ilvl="0" w:tplc="A836BDEA">
      <w:start w:val="1"/>
      <w:numFmt w:val="lowerLetter"/>
      <w:lvlText w:val="%1)"/>
      <w:lvlJc w:val="right"/>
      <w:pPr>
        <w:ind w:left="1173" w:hanging="180"/>
      </w:pPr>
      <w:rPr>
        <w:rFonts w:ascii="Verdana" w:eastAsia="Times New Roman" w:hAnsi="Verdana"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942046C"/>
    <w:multiLevelType w:val="hybridMultilevel"/>
    <w:tmpl w:val="FE92B7A0"/>
    <w:lvl w:ilvl="0" w:tplc="96A80F78">
      <w:start w:val="1"/>
      <w:numFmt w:val="lowerLetter"/>
      <w:lvlText w:val="%1)"/>
      <w:lvlJc w:val="left"/>
      <w:pPr>
        <w:tabs>
          <w:tab w:val="num" w:pos="737"/>
        </w:tabs>
        <w:ind w:left="737" w:hanging="397"/>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15:restartNumberingAfterBreak="0">
    <w:nsid w:val="2A9B2732"/>
    <w:multiLevelType w:val="hybridMultilevel"/>
    <w:tmpl w:val="E6D6635C"/>
    <w:lvl w:ilvl="0" w:tplc="4CEC8A5E">
      <w:start w:val="1"/>
      <w:numFmt w:val="lowerLetter"/>
      <w:lvlText w:val="%1)"/>
      <w:lvlJc w:val="left"/>
      <w:pPr>
        <w:tabs>
          <w:tab w:val="num" w:pos="737"/>
        </w:tabs>
        <w:ind w:left="737" w:hanging="397"/>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8" w15:restartNumberingAfterBreak="0">
    <w:nsid w:val="2AE72C1E"/>
    <w:multiLevelType w:val="hybridMultilevel"/>
    <w:tmpl w:val="30DCD956"/>
    <w:lvl w:ilvl="0" w:tplc="4C62C420">
      <w:start w:val="1"/>
      <w:numFmt w:val="decimal"/>
      <w:lvlText w:val="%1."/>
      <w:lvlJc w:val="left"/>
      <w:pPr>
        <w:tabs>
          <w:tab w:val="num" w:pos="397"/>
        </w:tabs>
        <w:ind w:left="397" w:hanging="397"/>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2C197D90"/>
    <w:multiLevelType w:val="hybridMultilevel"/>
    <w:tmpl w:val="8E34D560"/>
    <w:lvl w:ilvl="0" w:tplc="FC18E72E">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C2005ED"/>
    <w:multiLevelType w:val="hybridMultilevel"/>
    <w:tmpl w:val="80D845FA"/>
    <w:lvl w:ilvl="0" w:tplc="410E2E46">
      <w:start w:val="1"/>
      <w:numFmt w:val="decimal"/>
      <w:lvlText w:val="%1."/>
      <w:lvlJc w:val="left"/>
      <w:pPr>
        <w:tabs>
          <w:tab w:val="num" w:pos="965"/>
        </w:tabs>
        <w:ind w:left="965" w:hanging="397"/>
      </w:pPr>
      <w:rPr>
        <w:rFonts w:hint="default"/>
        <w:b w:val="0"/>
        <w:sz w:val="20"/>
        <w:szCs w:val="24"/>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41" w15:restartNumberingAfterBreak="0">
    <w:nsid w:val="324375B8"/>
    <w:multiLevelType w:val="hybridMultilevel"/>
    <w:tmpl w:val="7DCEE58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5E54216"/>
    <w:multiLevelType w:val="hybridMultilevel"/>
    <w:tmpl w:val="DFCC450A"/>
    <w:lvl w:ilvl="0" w:tplc="A976C3D4">
      <w:start w:val="1"/>
      <w:numFmt w:val="lowerLetter"/>
      <w:lvlText w:val="%1)"/>
      <w:lvlJc w:val="left"/>
      <w:pPr>
        <w:tabs>
          <w:tab w:val="num" w:pos="737"/>
        </w:tabs>
        <w:ind w:left="737" w:hanging="397"/>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3" w15:restartNumberingAfterBreak="0">
    <w:nsid w:val="36BB56CF"/>
    <w:multiLevelType w:val="multilevel"/>
    <w:tmpl w:val="71E00BB2"/>
    <w:lvl w:ilvl="0">
      <w:start w:val="1"/>
      <w:numFmt w:val="lowerLetter"/>
      <w:lvlText w:val="%1)"/>
      <w:lvlJc w:val="left"/>
      <w:pPr>
        <w:tabs>
          <w:tab w:val="num" w:pos="720"/>
        </w:tabs>
        <w:ind w:left="397" w:hanging="397"/>
      </w:pPr>
      <w:rPr>
        <w:rFonts w:ascii="Verdana" w:eastAsia="Times New Roman" w:hAnsi="Verdana" w:cs="Times New Roman"/>
        <w:b w:val="0"/>
        <w:i w:val="0"/>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375E42B2"/>
    <w:multiLevelType w:val="hybridMultilevel"/>
    <w:tmpl w:val="00BA20E0"/>
    <w:lvl w:ilvl="0" w:tplc="31FA8D8E">
      <w:start w:val="1"/>
      <w:numFmt w:val="lowerLetter"/>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15:restartNumberingAfterBreak="0">
    <w:nsid w:val="37EE58C2"/>
    <w:multiLevelType w:val="hybridMultilevel"/>
    <w:tmpl w:val="A14EA7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A0B6879"/>
    <w:multiLevelType w:val="hybridMultilevel"/>
    <w:tmpl w:val="69323A1C"/>
    <w:lvl w:ilvl="0" w:tplc="1D602D9E">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A7437B6"/>
    <w:multiLevelType w:val="hybridMultilevel"/>
    <w:tmpl w:val="62EA2740"/>
    <w:lvl w:ilvl="0" w:tplc="78CA6AEC">
      <w:start w:val="1"/>
      <w:numFmt w:val="decimal"/>
      <w:lvlText w:val="%1."/>
      <w:lvlJc w:val="left"/>
      <w:pPr>
        <w:tabs>
          <w:tab w:val="num" w:pos="357"/>
        </w:tabs>
        <w:ind w:left="360" w:hanging="360"/>
      </w:pPr>
      <w:rPr>
        <w:rFonts w:hint="default"/>
      </w:r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48" w15:restartNumberingAfterBreak="0">
    <w:nsid w:val="3BE62151"/>
    <w:multiLevelType w:val="multilevel"/>
    <w:tmpl w:val="C3E813A4"/>
    <w:lvl w:ilvl="0">
      <w:start w:val="1"/>
      <w:numFmt w:val="lowerLetter"/>
      <w:lvlText w:val="%1)"/>
      <w:lvlJc w:val="left"/>
      <w:pPr>
        <w:tabs>
          <w:tab w:val="num" w:pos="644"/>
        </w:tabs>
        <w:ind w:left="644" w:hanging="360"/>
      </w:pPr>
      <w:rPr>
        <w:rFonts w:hint="default"/>
      </w:rPr>
    </w:lvl>
    <w:lvl w:ilvl="1">
      <w:start w:val="1"/>
      <w:numFmt w:val="decimal"/>
      <w:lvlText w:val="%2)"/>
      <w:lvlJc w:val="left"/>
      <w:pPr>
        <w:ind w:left="786" w:hanging="360"/>
      </w:p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49" w15:restartNumberingAfterBreak="0">
    <w:nsid w:val="3C0F59F6"/>
    <w:multiLevelType w:val="multilevel"/>
    <w:tmpl w:val="F614E90A"/>
    <w:lvl w:ilvl="0">
      <w:start w:val="1"/>
      <w:numFmt w:val="ordinal"/>
      <w:lvlText w:val="%1"/>
      <w:lvlJc w:val="left"/>
      <w:pPr>
        <w:tabs>
          <w:tab w:val="num" w:pos="720"/>
        </w:tabs>
        <w:ind w:left="397" w:hanging="397"/>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3E89443B"/>
    <w:multiLevelType w:val="hybridMultilevel"/>
    <w:tmpl w:val="63D2F7F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3F4C053A"/>
    <w:multiLevelType w:val="hybridMultilevel"/>
    <w:tmpl w:val="6D68B3D4"/>
    <w:lvl w:ilvl="0" w:tplc="04150011">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2" w15:restartNumberingAfterBreak="0">
    <w:nsid w:val="404A25E3"/>
    <w:multiLevelType w:val="hybridMultilevel"/>
    <w:tmpl w:val="6F326686"/>
    <w:lvl w:ilvl="0" w:tplc="D598D05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09F4F4A"/>
    <w:multiLevelType w:val="hybridMultilevel"/>
    <w:tmpl w:val="63CE360E"/>
    <w:lvl w:ilvl="0" w:tplc="61B858FE">
      <w:start w:val="1"/>
      <w:numFmt w:val="decimal"/>
      <w:lvlText w:val="%1)"/>
      <w:lvlJc w:val="left"/>
      <w:pPr>
        <w:tabs>
          <w:tab w:val="num" w:pos="737"/>
        </w:tabs>
        <w:ind w:left="737" w:hanging="397"/>
      </w:pPr>
      <w:rPr>
        <w:rFonts w:ascii="Verdana" w:eastAsia="Times New Roman" w:hAnsi="Verdana" w:cs="Arial" w:hint="default"/>
      </w:rPr>
    </w:lvl>
    <w:lvl w:ilvl="1" w:tplc="04150011">
      <w:start w:val="1"/>
      <w:numFmt w:val="decimal"/>
      <w:lvlText w:val="%2)"/>
      <w:lvlJc w:val="left"/>
      <w:pPr>
        <w:ind w:left="757"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4" w15:restartNumberingAfterBreak="0">
    <w:nsid w:val="41CC64CE"/>
    <w:multiLevelType w:val="hybridMultilevel"/>
    <w:tmpl w:val="57607728"/>
    <w:lvl w:ilvl="0" w:tplc="04150011">
      <w:start w:val="1"/>
      <w:numFmt w:val="decimal"/>
      <w:lvlText w:val="%1)"/>
      <w:lvlJc w:val="left"/>
      <w:pPr>
        <w:ind w:left="927" w:hanging="360"/>
      </w:pPr>
      <w:rPr>
        <w:rFonts w:hint="default"/>
      </w:rPr>
    </w:lvl>
    <w:lvl w:ilvl="1" w:tplc="793EA32A">
      <w:start w:val="1"/>
      <w:numFmt w:val="lowerLetter"/>
      <w:lvlText w:val="%2)"/>
      <w:lvlJc w:val="left"/>
      <w:pPr>
        <w:tabs>
          <w:tab w:val="num" w:pos="737"/>
        </w:tabs>
        <w:ind w:left="737" w:hanging="397"/>
      </w:pPr>
      <w:rPr>
        <w:rFonts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5" w15:restartNumberingAfterBreak="0">
    <w:nsid w:val="425E4A46"/>
    <w:multiLevelType w:val="hybridMultilevel"/>
    <w:tmpl w:val="63D2F7F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427011FD"/>
    <w:multiLevelType w:val="hybridMultilevel"/>
    <w:tmpl w:val="8340BA3E"/>
    <w:lvl w:ilvl="0" w:tplc="06AAF350">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7" w15:restartNumberingAfterBreak="0">
    <w:nsid w:val="43D628BD"/>
    <w:multiLevelType w:val="hybridMultilevel"/>
    <w:tmpl w:val="C67E7EBE"/>
    <w:lvl w:ilvl="0" w:tplc="59C2038E">
      <w:start w:val="1"/>
      <w:numFmt w:val="lowerLetter"/>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3F43235"/>
    <w:multiLevelType w:val="multilevel"/>
    <w:tmpl w:val="E1A40B1A"/>
    <w:lvl w:ilvl="0">
      <w:start w:val="1"/>
      <w:numFmt w:val="decimal"/>
      <w:lvlText w:val="%1."/>
      <w:lvlJc w:val="right"/>
      <w:pPr>
        <w:tabs>
          <w:tab w:val="num" w:pos="1069"/>
        </w:tabs>
        <w:ind w:left="1069" w:hanging="72"/>
      </w:pPr>
      <w:rPr>
        <w:rFonts w:hint="default"/>
      </w:rPr>
    </w:lvl>
    <w:lvl w:ilvl="1">
      <w:start w:val="1"/>
      <w:numFmt w:val="decimal"/>
      <w:lvlText w:val="%2)"/>
      <w:lvlJc w:val="right"/>
      <w:pPr>
        <w:tabs>
          <w:tab w:val="num" w:pos="1429"/>
        </w:tabs>
        <w:ind w:left="1429" w:hanging="144"/>
      </w:pPr>
      <w:rPr>
        <w:rFonts w:ascii="Verdana" w:eastAsia="Times New Roman" w:hAnsi="Verdana" w:cs="Arial" w:hint="default"/>
        <w:sz w:val="20"/>
        <w:szCs w:val="20"/>
      </w:rPr>
    </w:lvl>
    <w:lvl w:ilvl="2">
      <w:start w:val="1"/>
      <w:numFmt w:val="lowerRoman"/>
      <w:lvlText w:val="%3)"/>
      <w:lvlJc w:val="left"/>
      <w:pPr>
        <w:tabs>
          <w:tab w:val="num" w:pos="2149"/>
        </w:tabs>
        <w:ind w:left="1789" w:hanging="360"/>
      </w:pPr>
      <w:rPr>
        <w:rFonts w:hint="default"/>
      </w:rPr>
    </w:lvl>
    <w:lvl w:ilvl="3">
      <w:start w:val="1"/>
      <w:numFmt w:val="decimal"/>
      <w:lvlText w:val="(%4)"/>
      <w:lvlJc w:val="left"/>
      <w:pPr>
        <w:tabs>
          <w:tab w:val="num" w:pos="2149"/>
        </w:tabs>
        <w:ind w:left="2149" w:hanging="360"/>
      </w:pPr>
      <w:rPr>
        <w:rFonts w:hint="default"/>
      </w:rPr>
    </w:lvl>
    <w:lvl w:ilvl="4">
      <w:start w:val="1"/>
      <w:numFmt w:val="lowerLetter"/>
      <w:lvlText w:val="(%5)"/>
      <w:lvlJc w:val="left"/>
      <w:pPr>
        <w:tabs>
          <w:tab w:val="num" w:pos="2509"/>
        </w:tabs>
        <w:ind w:left="2509" w:hanging="360"/>
      </w:pPr>
      <w:rPr>
        <w:rFonts w:hint="default"/>
      </w:rPr>
    </w:lvl>
    <w:lvl w:ilvl="5">
      <w:start w:val="1"/>
      <w:numFmt w:val="lowerRoman"/>
      <w:lvlText w:val="(%6)"/>
      <w:lvlJc w:val="left"/>
      <w:pPr>
        <w:tabs>
          <w:tab w:val="num" w:pos="2869"/>
        </w:tabs>
        <w:ind w:left="2869" w:hanging="360"/>
      </w:pPr>
      <w:rPr>
        <w:rFonts w:hint="default"/>
      </w:rPr>
    </w:lvl>
    <w:lvl w:ilvl="6">
      <w:start w:val="1"/>
      <w:numFmt w:val="decimal"/>
      <w:lvlText w:val="%7."/>
      <w:lvlJc w:val="left"/>
      <w:pPr>
        <w:tabs>
          <w:tab w:val="num" w:pos="3229"/>
        </w:tabs>
        <w:ind w:left="3229" w:hanging="360"/>
      </w:pPr>
      <w:rPr>
        <w:rFonts w:hint="default"/>
      </w:rPr>
    </w:lvl>
    <w:lvl w:ilvl="7">
      <w:start w:val="1"/>
      <w:numFmt w:val="lowerLetter"/>
      <w:lvlText w:val="%8."/>
      <w:lvlJc w:val="left"/>
      <w:pPr>
        <w:tabs>
          <w:tab w:val="num" w:pos="3589"/>
        </w:tabs>
        <w:ind w:left="3589" w:hanging="360"/>
      </w:pPr>
      <w:rPr>
        <w:rFonts w:hint="default"/>
      </w:rPr>
    </w:lvl>
    <w:lvl w:ilvl="8">
      <w:start w:val="1"/>
      <w:numFmt w:val="lowerRoman"/>
      <w:lvlText w:val="%9."/>
      <w:lvlJc w:val="left"/>
      <w:pPr>
        <w:tabs>
          <w:tab w:val="num" w:pos="3949"/>
        </w:tabs>
        <w:ind w:left="3949" w:hanging="360"/>
      </w:pPr>
      <w:rPr>
        <w:rFonts w:hint="default"/>
      </w:rPr>
    </w:lvl>
  </w:abstractNum>
  <w:abstractNum w:abstractNumId="59" w15:restartNumberingAfterBreak="0">
    <w:nsid w:val="443A299C"/>
    <w:multiLevelType w:val="hybridMultilevel"/>
    <w:tmpl w:val="6B36746C"/>
    <w:lvl w:ilvl="0" w:tplc="04150011">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0" w15:restartNumberingAfterBreak="0">
    <w:nsid w:val="450E62E7"/>
    <w:multiLevelType w:val="multilevel"/>
    <w:tmpl w:val="9888FE5A"/>
    <w:lvl w:ilvl="0">
      <w:start w:val="1"/>
      <w:numFmt w:val="ordinal"/>
      <w:lvlText w:val="%1"/>
      <w:lvlJc w:val="left"/>
      <w:pPr>
        <w:tabs>
          <w:tab w:val="num" w:pos="72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46237BC8"/>
    <w:multiLevelType w:val="hybridMultilevel"/>
    <w:tmpl w:val="D1682FC4"/>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785" w:hanging="360"/>
      </w:p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46B551C8"/>
    <w:multiLevelType w:val="hybridMultilevel"/>
    <w:tmpl w:val="809EC9AC"/>
    <w:lvl w:ilvl="0" w:tplc="27A43DB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3" w15:restartNumberingAfterBreak="0">
    <w:nsid w:val="485E0646"/>
    <w:multiLevelType w:val="hybridMultilevel"/>
    <w:tmpl w:val="ABEE7188"/>
    <w:lvl w:ilvl="0" w:tplc="DE6C57F6">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CD0825A2">
      <w:start w:val="1"/>
      <w:numFmt w:val="decimal"/>
      <w:lvlText w:val="%7."/>
      <w:lvlJc w:val="left"/>
      <w:pPr>
        <w:tabs>
          <w:tab w:val="num" w:pos="397"/>
        </w:tabs>
        <w:ind w:left="397" w:hanging="397"/>
      </w:pPr>
      <w:rPr>
        <w:rFonts w:ascii="Verdana" w:eastAsia="Calibri" w:hAnsi="Verdana" w:cs="Times New Roman"/>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9CA21A0"/>
    <w:multiLevelType w:val="hybridMultilevel"/>
    <w:tmpl w:val="E3225260"/>
    <w:lvl w:ilvl="0" w:tplc="040C0019">
      <w:start w:val="1"/>
      <w:numFmt w:val="lowerLetter"/>
      <w:pStyle w:val="Listlevel1"/>
      <w:lvlText w:val="%1."/>
      <w:lvlJc w:val="left"/>
      <w:pPr>
        <w:tabs>
          <w:tab w:val="num" w:pos="1211"/>
        </w:tabs>
        <w:ind w:left="1211" w:hanging="360"/>
      </w:pPr>
      <w:rPr>
        <w:rFonts w:hint="default"/>
        <w:lang w:val="pl-PL"/>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65" w15:restartNumberingAfterBreak="0">
    <w:nsid w:val="4A003973"/>
    <w:multiLevelType w:val="hybridMultilevel"/>
    <w:tmpl w:val="7DCEE58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4B693BB4"/>
    <w:multiLevelType w:val="hybridMultilevel"/>
    <w:tmpl w:val="105AD34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4F6F2255"/>
    <w:multiLevelType w:val="hybridMultilevel"/>
    <w:tmpl w:val="889094D6"/>
    <w:lvl w:ilvl="0" w:tplc="ACAE0B2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065012E"/>
    <w:multiLevelType w:val="hybridMultilevel"/>
    <w:tmpl w:val="A9BE4DB4"/>
    <w:lvl w:ilvl="0" w:tplc="FB023AF2">
      <w:start w:val="1"/>
      <w:numFmt w:val="decimal"/>
      <w:lvlText w:val="%1)"/>
      <w:lvlJc w:val="left"/>
      <w:pPr>
        <w:ind w:left="757" w:hanging="360"/>
      </w:pPr>
      <w:rPr>
        <w:rFonts w:hint="default"/>
      </w:rPr>
    </w:lvl>
    <w:lvl w:ilvl="1" w:tplc="04150019">
      <w:start w:val="1"/>
      <w:numFmt w:val="lowerLetter"/>
      <w:lvlText w:val="%2."/>
      <w:lvlJc w:val="left"/>
      <w:pPr>
        <w:ind w:left="1477" w:hanging="360"/>
      </w:pPr>
    </w:lvl>
    <w:lvl w:ilvl="2" w:tplc="0415001B">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69" w15:restartNumberingAfterBreak="0">
    <w:nsid w:val="509401A2"/>
    <w:multiLevelType w:val="hybridMultilevel"/>
    <w:tmpl w:val="CA022F84"/>
    <w:lvl w:ilvl="0" w:tplc="04150017">
      <w:start w:val="1"/>
      <w:numFmt w:val="lowerLetter"/>
      <w:lvlText w:val="%1)"/>
      <w:lvlJc w:val="left"/>
      <w:pPr>
        <w:ind w:left="1490" w:hanging="360"/>
      </w:pPr>
    </w:lvl>
    <w:lvl w:ilvl="1" w:tplc="04150019" w:tentative="1">
      <w:start w:val="1"/>
      <w:numFmt w:val="lowerLetter"/>
      <w:lvlText w:val="%2."/>
      <w:lvlJc w:val="left"/>
      <w:pPr>
        <w:ind w:left="2210" w:hanging="360"/>
      </w:pPr>
    </w:lvl>
    <w:lvl w:ilvl="2" w:tplc="0415001B" w:tentative="1">
      <w:start w:val="1"/>
      <w:numFmt w:val="lowerRoman"/>
      <w:lvlText w:val="%3."/>
      <w:lvlJc w:val="right"/>
      <w:pPr>
        <w:ind w:left="2930" w:hanging="180"/>
      </w:pPr>
    </w:lvl>
    <w:lvl w:ilvl="3" w:tplc="0415000F" w:tentative="1">
      <w:start w:val="1"/>
      <w:numFmt w:val="decimal"/>
      <w:lvlText w:val="%4."/>
      <w:lvlJc w:val="left"/>
      <w:pPr>
        <w:ind w:left="3650" w:hanging="360"/>
      </w:pPr>
    </w:lvl>
    <w:lvl w:ilvl="4" w:tplc="04150019" w:tentative="1">
      <w:start w:val="1"/>
      <w:numFmt w:val="lowerLetter"/>
      <w:lvlText w:val="%5."/>
      <w:lvlJc w:val="left"/>
      <w:pPr>
        <w:ind w:left="4370" w:hanging="360"/>
      </w:pPr>
    </w:lvl>
    <w:lvl w:ilvl="5" w:tplc="0415001B" w:tentative="1">
      <w:start w:val="1"/>
      <w:numFmt w:val="lowerRoman"/>
      <w:lvlText w:val="%6."/>
      <w:lvlJc w:val="right"/>
      <w:pPr>
        <w:ind w:left="5090" w:hanging="180"/>
      </w:pPr>
    </w:lvl>
    <w:lvl w:ilvl="6" w:tplc="0415000F" w:tentative="1">
      <w:start w:val="1"/>
      <w:numFmt w:val="decimal"/>
      <w:lvlText w:val="%7."/>
      <w:lvlJc w:val="left"/>
      <w:pPr>
        <w:ind w:left="5810" w:hanging="360"/>
      </w:pPr>
    </w:lvl>
    <w:lvl w:ilvl="7" w:tplc="04150019" w:tentative="1">
      <w:start w:val="1"/>
      <w:numFmt w:val="lowerLetter"/>
      <w:lvlText w:val="%8."/>
      <w:lvlJc w:val="left"/>
      <w:pPr>
        <w:ind w:left="6530" w:hanging="360"/>
      </w:pPr>
    </w:lvl>
    <w:lvl w:ilvl="8" w:tplc="0415001B" w:tentative="1">
      <w:start w:val="1"/>
      <w:numFmt w:val="lowerRoman"/>
      <w:lvlText w:val="%9."/>
      <w:lvlJc w:val="right"/>
      <w:pPr>
        <w:ind w:left="7250" w:hanging="180"/>
      </w:pPr>
    </w:lvl>
  </w:abstractNum>
  <w:abstractNum w:abstractNumId="70" w15:restartNumberingAfterBreak="0">
    <w:nsid w:val="50AB69CE"/>
    <w:multiLevelType w:val="hybridMultilevel"/>
    <w:tmpl w:val="B2DAF5DA"/>
    <w:lvl w:ilvl="0" w:tplc="73FADC4A">
      <w:start w:val="1"/>
      <w:numFmt w:val="decimal"/>
      <w:lvlText w:val="%1."/>
      <w:lvlJc w:val="left"/>
      <w:pPr>
        <w:tabs>
          <w:tab w:val="num" w:pos="567"/>
        </w:tabs>
        <w:ind w:left="567" w:hanging="567"/>
      </w:pPr>
      <w:rPr>
        <w:rFonts w:ascii="Verdana" w:eastAsia="Calibri" w:hAnsi="Verdana" w:cs="Times New Roman"/>
        <w:b w:val="0"/>
        <w:bCs w:val="0"/>
      </w:rPr>
    </w:lvl>
    <w:lvl w:ilvl="1" w:tplc="44524FB6">
      <w:start w:val="1"/>
      <w:numFmt w:val="decimal"/>
      <w:lvlText w:val="%2"/>
      <w:lvlJc w:val="left"/>
      <w:pPr>
        <w:ind w:left="1440" w:hanging="360"/>
      </w:pPr>
      <w:rPr>
        <w:rFonts w:eastAsia="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2B412E9"/>
    <w:multiLevelType w:val="hybridMultilevel"/>
    <w:tmpl w:val="7908CD74"/>
    <w:lvl w:ilvl="0" w:tplc="8DE28E5A">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72" w15:restartNumberingAfterBreak="0">
    <w:nsid w:val="53663F53"/>
    <w:multiLevelType w:val="hybridMultilevel"/>
    <w:tmpl w:val="1128773C"/>
    <w:lvl w:ilvl="0" w:tplc="98FEBAE2">
      <w:start w:val="1"/>
      <w:numFmt w:val="decimal"/>
      <w:pStyle w:val="Nagwek3"/>
      <w:lvlText w:val="%1)"/>
      <w:lvlJc w:val="left"/>
      <w:pPr>
        <w:tabs>
          <w:tab w:val="num" w:pos="737"/>
        </w:tabs>
        <w:ind w:left="737" w:hanging="397"/>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3" w15:restartNumberingAfterBreak="0">
    <w:nsid w:val="53855D73"/>
    <w:multiLevelType w:val="hybridMultilevel"/>
    <w:tmpl w:val="29F27EDC"/>
    <w:lvl w:ilvl="0" w:tplc="C8D07620">
      <w:start w:val="1"/>
      <w:numFmt w:val="lowerLetter"/>
      <w:lvlText w:val="%1)"/>
      <w:lvlJc w:val="left"/>
      <w:pPr>
        <w:tabs>
          <w:tab w:val="num" w:pos="397"/>
        </w:tabs>
        <w:ind w:left="397" w:hanging="397"/>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54737AE4"/>
    <w:multiLevelType w:val="multilevel"/>
    <w:tmpl w:val="644634C2"/>
    <w:lvl w:ilvl="0">
      <w:start w:val="1"/>
      <w:numFmt w:val="decimal"/>
      <w:lvlText w:val="%1."/>
      <w:lvlJc w:val="left"/>
      <w:pPr>
        <w:tabs>
          <w:tab w:val="num" w:pos="360"/>
        </w:tabs>
        <w:ind w:left="360" w:hanging="360"/>
      </w:pPr>
      <w:rPr>
        <w:rFonts w:hint="default"/>
      </w:rPr>
    </w:lvl>
    <w:lvl w:ilvl="1">
      <w:start w:val="1"/>
      <w:numFmt w:val="decimal"/>
      <w:lvlText w:val="%2)"/>
      <w:lvlJc w:val="left"/>
      <w:pPr>
        <w:ind w:left="1212" w:hanging="360"/>
      </w:p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54A61A09"/>
    <w:multiLevelType w:val="hybridMultilevel"/>
    <w:tmpl w:val="32624528"/>
    <w:lvl w:ilvl="0" w:tplc="4E103FF6">
      <w:start w:val="1"/>
      <w:numFmt w:val="lowerLetter"/>
      <w:lvlText w:val="%1)"/>
      <w:lvlJc w:val="left"/>
      <w:pPr>
        <w:tabs>
          <w:tab w:val="num" w:pos="397"/>
        </w:tabs>
        <w:ind w:left="397" w:hanging="397"/>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552546AE"/>
    <w:multiLevelType w:val="hybridMultilevel"/>
    <w:tmpl w:val="9F8EB170"/>
    <w:lvl w:ilvl="0" w:tplc="2F96D568">
      <w:start w:val="1"/>
      <w:numFmt w:val="lowerLetter"/>
      <w:lvlText w:val="%1)"/>
      <w:lvlJc w:val="right"/>
      <w:pPr>
        <w:ind w:left="1596" w:hanging="180"/>
      </w:pPr>
      <w:rPr>
        <w:rFonts w:ascii="Verdana" w:eastAsia="Times New Roman" w:hAnsi="Verdana" w:cs="Arial" w:hint="default"/>
      </w:rPr>
    </w:lvl>
    <w:lvl w:ilvl="1" w:tplc="04150019" w:tentative="1">
      <w:start w:val="1"/>
      <w:numFmt w:val="lowerLetter"/>
      <w:lvlText w:val="%2."/>
      <w:lvlJc w:val="left"/>
      <w:pPr>
        <w:ind w:left="528" w:hanging="360"/>
      </w:pPr>
    </w:lvl>
    <w:lvl w:ilvl="2" w:tplc="0415001B">
      <w:start w:val="1"/>
      <w:numFmt w:val="lowerRoman"/>
      <w:lvlText w:val="%3."/>
      <w:lvlJc w:val="right"/>
      <w:pPr>
        <w:ind w:left="1248" w:hanging="180"/>
      </w:pPr>
    </w:lvl>
    <w:lvl w:ilvl="3" w:tplc="0415000F" w:tentative="1">
      <w:start w:val="1"/>
      <w:numFmt w:val="decimal"/>
      <w:lvlText w:val="%4."/>
      <w:lvlJc w:val="left"/>
      <w:pPr>
        <w:ind w:left="1968" w:hanging="360"/>
      </w:pPr>
    </w:lvl>
    <w:lvl w:ilvl="4" w:tplc="04150019" w:tentative="1">
      <w:start w:val="1"/>
      <w:numFmt w:val="lowerLetter"/>
      <w:lvlText w:val="%5."/>
      <w:lvlJc w:val="left"/>
      <w:pPr>
        <w:ind w:left="2688" w:hanging="360"/>
      </w:pPr>
    </w:lvl>
    <w:lvl w:ilvl="5" w:tplc="0415001B" w:tentative="1">
      <w:start w:val="1"/>
      <w:numFmt w:val="lowerRoman"/>
      <w:lvlText w:val="%6."/>
      <w:lvlJc w:val="right"/>
      <w:pPr>
        <w:ind w:left="3408" w:hanging="180"/>
      </w:pPr>
    </w:lvl>
    <w:lvl w:ilvl="6" w:tplc="0415000F" w:tentative="1">
      <w:start w:val="1"/>
      <w:numFmt w:val="decimal"/>
      <w:lvlText w:val="%7."/>
      <w:lvlJc w:val="left"/>
      <w:pPr>
        <w:ind w:left="4128" w:hanging="360"/>
      </w:pPr>
    </w:lvl>
    <w:lvl w:ilvl="7" w:tplc="04150019" w:tentative="1">
      <w:start w:val="1"/>
      <w:numFmt w:val="lowerLetter"/>
      <w:lvlText w:val="%8."/>
      <w:lvlJc w:val="left"/>
      <w:pPr>
        <w:ind w:left="4848" w:hanging="360"/>
      </w:pPr>
    </w:lvl>
    <w:lvl w:ilvl="8" w:tplc="0415001B" w:tentative="1">
      <w:start w:val="1"/>
      <w:numFmt w:val="lowerRoman"/>
      <w:lvlText w:val="%9."/>
      <w:lvlJc w:val="right"/>
      <w:pPr>
        <w:ind w:left="5568" w:hanging="180"/>
      </w:pPr>
    </w:lvl>
  </w:abstractNum>
  <w:abstractNum w:abstractNumId="77" w15:restartNumberingAfterBreak="0">
    <w:nsid w:val="55CE0C6D"/>
    <w:multiLevelType w:val="multilevel"/>
    <w:tmpl w:val="7D90A052"/>
    <w:styleLink w:val="Styl1"/>
    <w:lvl w:ilvl="0">
      <w:start w:val="1"/>
      <w:numFmt w:val="decimal"/>
      <w:lvlText w:val="%1)"/>
      <w:lvlJc w:val="left"/>
      <w:pPr>
        <w:tabs>
          <w:tab w:val="num" w:pos="340"/>
        </w:tabs>
        <w:ind w:left="340" w:hanging="340"/>
      </w:pPr>
      <w:rPr>
        <w:rFonts w:ascii="Verdana" w:hAnsi="Verdana" w:hint="default"/>
        <w:b w:val="0"/>
        <w:i w:val="0"/>
        <w:caps w:val="0"/>
        <w:strike w:val="0"/>
        <w:dstrike w:val="0"/>
        <w:outline w:val="0"/>
        <w:shadow w:val="0"/>
        <w:emboss w:val="0"/>
        <w:imprint w:val="0"/>
        <w:vanish w:val="0"/>
        <w:color w:val="auto"/>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bCs w:val="0"/>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55F72E7D"/>
    <w:multiLevelType w:val="hybridMultilevel"/>
    <w:tmpl w:val="680285EE"/>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9" w15:restartNumberingAfterBreak="0">
    <w:nsid w:val="564C581F"/>
    <w:multiLevelType w:val="hybridMultilevel"/>
    <w:tmpl w:val="A1BAFB00"/>
    <w:lvl w:ilvl="0" w:tplc="04150011">
      <w:start w:val="1"/>
      <w:numFmt w:val="decimal"/>
      <w:lvlText w:val="%1)"/>
      <w:lvlJc w:val="left"/>
      <w:pPr>
        <w:ind w:left="363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57E95CC2"/>
    <w:multiLevelType w:val="hybridMultilevel"/>
    <w:tmpl w:val="6D780878"/>
    <w:lvl w:ilvl="0" w:tplc="8930779C">
      <w:start w:val="1"/>
      <w:numFmt w:val="lowerLetter"/>
      <w:lvlText w:val="%1)"/>
      <w:lvlJc w:val="left"/>
      <w:pPr>
        <w:tabs>
          <w:tab w:val="num" w:pos="1134"/>
        </w:tabs>
        <w:ind w:left="1134" w:hanging="850"/>
      </w:pPr>
      <w:rPr>
        <w:rFonts w:hint="default"/>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81" w15:restartNumberingAfterBreak="0">
    <w:nsid w:val="58D06EF3"/>
    <w:multiLevelType w:val="hybridMultilevel"/>
    <w:tmpl w:val="B0A66B86"/>
    <w:lvl w:ilvl="0" w:tplc="04150017">
      <w:start w:val="1"/>
      <w:numFmt w:val="lowerLetter"/>
      <w:lvlText w:val="%1)"/>
      <w:lvlJc w:val="left"/>
      <w:pPr>
        <w:ind w:left="896" w:hanging="360"/>
      </w:pPr>
    </w:lvl>
    <w:lvl w:ilvl="1" w:tplc="46A468C2">
      <w:start w:val="1"/>
      <w:numFmt w:val="lowerLetter"/>
      <w:lvlText w:val="%2)"/>
      <w:lvlJc w:val="left"/>
      <w:pPr>
        <w:ind w:left="785" w:hanging="360"/>
      </w:pPr>
      <w:rPr>
        <w:rFonts w:ascii="Verdana" w:eastAsia="Times New Roman" w:hAnsi="Verdana" w:cs="Times New Roman"/>
      </w:rPr>
    </w:lvl>
    <w:lvl w:ilvl="2" w:tplc="3B5A34B0">
      <w:start w:val="1"/>
      <w:numFmt w:val="decimal"/>
      <w:lvlText w:val="%3)"/>
      <w:lvlJc w:val="left"/>
      <w:pPr>
        <w:tabs>
          <w:tab w:val="num" w:pos="340"/>
        </w:tabs>
        <w:ind w:left="340" w:hanging="340"/>
      </w:pPr>
      <w:rPr>
        <w:rFonts w:hint="default"/>
      </w:r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82" w15:restartNumberingAfterBreak="0">
    <w:nsid w:val="58D83096"/>
    <w:multiLevelType w:val="hybridMultilevel"/>
    <w:tmpl w:val="558C5E2A"/>
    <w:lvl w:ilvl="0" w:tplc="6FDA6350">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9332F75"/>
    <w:multiLevelType w:val="hybridMultilevel"/>
    <w:tmpl w:val="6E0E6AE2"/>
    <w:lvl w:ilvl="0" w:tplc="59C2038E">
      <w:start w:val="1"/>
      <w:numFmt w:val="lowerLetter"/>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9C477F5"/>
    <w:multiLevelType w:val="multilevel"/>
    <w:tmpl w:val="128273DC"/>
    <w:lvl w:ilvl="0">
      <w:start w:val="2"/>
      <w:numFmt w:val="decimal"/>
      <w:lvlText w:val="%1."/>
      <w:lvlJc w:val="right"/>
      <w:pPr>
        <w:tabs>
          <w:tab w:val="num" w:pos="360"/>
        </w:tabs>
        <w:ind w:left="360" w:hanging="72"/>
      </w:pPr>
      <w:rPr>
        <w:rFonts w:hint="default"/>
      </w:rPr>
    </w:lvl>
    <w:lvl w:ilvl="1">
      <w:start w:val="1"/>
      <w:numFmt w:val="decimal"/>
      <w:lvlText w:val="%2)"/>
      <w:lvlJc w:val="right"/>
      <w:pPr>
        <w:tabs>
          <w:tab w:val="num" w:pos="720"/>
        </w:tabs>
        <w:ind w:left="720" w:hanging="144"/>
      </w:pPr>
      <w:rPr>
        <w:rFonts w:ascii="Verdana" w:eastAsia="Times New Roman" w:hAnsi="Verdana" w:cs="Arial" w:hint="default"/>
      </w:rPr>
    </w:lvl>
    <w:lvl w:ilvl="2">
      <w:start w:val="1"/>
      <w:numFmt w:val="lowerLetter"/>
      <w:lvlText w:val="%3)"/>
      <w:lvlJc w:val="left"/>
      <w:pPr>
        <w:ind w:left="1080" w:hanging="360"/>
      </w:p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5" w15:restartNumberingAfterBreak="0">
    <w:nsid w:val="5A094E8C"/>
    <w:multiLevelType w:val="hybridMultilevel"/>
    <w:tmpl w:val="27904734"/>
    <w:lvl w:ilvl="0" w:tplc="800486F0">
      <w:start w:val="1"/>
      <w:numFmt w:val="lowerLetter"/>
      <w:lvlText w:val="%1)"/>
      <w:lvlJc w:val="left"/>
      <w:pPr>
        <w:ind w:left="1068" w:hanging="360"/>
      </w:pPr>
      <w:rPr>
        <w:rFonts w:cs="Times New Roman"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6" w15:restartNumberingAfterBreak="0">
    <w:nsid w:val="5B7F4E22"/>
    <w:multiLevelType w:val="multilevel"/>
    <w:tmpl w:val="BD26C9D4"/>
    <w:lvl w:ilvl="0">
      <w:start w:val="1"/>
      <w:numFmt w:val="decimal"/>
      <w:lvlText w:val="%1."/>
      <w:lvlJc w:val="left"/>
      <w:pPr>
        <w:tabs>
          <w:tab w:val="num" w:pos="360"/>
        </w:tabs>
        <w:ind w:left="360" w:hanging="360"/>
      </w:pPr>
      <w:rPr>
        <w:rFonts w:hint="default"/>
      </w:rPr>
    </w:lvl>
    <w:lvl w:ilvl="1">
      <w:start w:val="1"/>
      <w:numFmt w:val="lowerLetter"/>
      <w:lvlText w:val="%2)"/>
      <w:lvlJc w:val="left"/>
      <w:pPr>
        <w:ind w:left="1222" w:hanging="360"/>
      </w:pPr>
      <w:rPr>
        <w:rFonts w:hint="default"/>
      </w:rPr>
    </w:lvl>
    <w:lvl w:ilvl="2">
      <w:start w:val="1"/>
      <w:numFmt w:val="lowerRoman"/>
      <w:lvlText w:val="%3."/>
      <w:lvlJc w:val="right"/>
      <w:pPr>
        <w:ind w:left="1942" w:hanging="180"/>
      </w:pPr>
      <w:rPr>
        <w:rFonts w:hint="default"/>
      </w:rPr>
    </w:lvl>
    <w:lvl w:ilvl="3">
      <w:start w:val="1"/>
      <w:numFmt w:val="decimal"/>
      <w:lvlText w:val="%4."/>
      <w:lvlJc w:val="left"/>
      <w:pPr>
        <w:ind w:left="2662" w:hanging="360"/>
      </w:pPr>
      <w:rPr>
        <w:rFonts w:hint="default"/>
      </w:rPr>
    </w:lvl>
    <w:lvl w:ilvl="4">
      <w:start w:val="1"/>
      <w:numFmt w:val="lowerLetter"/>
      <w:lvlText w:val="%5."/>
      <w:lvlJc w:val="left"/>
      <w:pPr>
        <w:ind w:left="3382" w:hanging="360"/>
      </w:pPr>
      <w:rPr>
        <w:rFonts w:hint="default"/>
      </w:rPr>
    </w:lvl>
    <w:lvl w:ilvl="5">
      <w:start w:val="1"/>
      <w:numFmt w:val="lowerRoman"/>
      <w:lvlText w:val="%6."/>
      <w:lvlJc w:val="right"/>
      <w:pPr>
        <w:ind w:left="4102" w:hanging="180"/>
      </w:pPr>
      <w:rPr>
        <w:rFonts w:hint="default"/>
      </w:rPr>
    </w:lvl>
    <w:lvl w:ilvl="6">
      <w:start w:val="1"/>
      <w:numFmt w:val="decimal"/>
      <w:lvlText w:val="%7."/>
      <w:lvlJc w:val="left"/>
      <w:pPr>
        <w:ind w:left="4822" w:hanging="360"/>
      </w:pPr>
      <w:rPr>
        <w:rFonts w:hint="default"/>
      </w:rPr>
    </w:lvl>
    <w:lvl w:ilvl="7">
      <w:start w:val="1"/>
      <w:numFmt w:val="lowerLetter"/>
      <w:lvlText w:val="%8."/>
      <w:lvlJc w:val="left"/>
      <w:pPr>
        <w:ind w:left="5542" w:hanging="360"/>
      </w:pPr>
      <w:rPr>
        <w:rFonts w:hint="default"/>
      </w:rPr>
    </w:lvl>
    <w:lvl w:ilvl="8">
      <w:start w:val="1"/>
      <w:numFmt w:val="lowerRoman"/>
      <w:lvlText w:val="%9."/>
      <w:lvlJc w:val="right"/>
      <w:pPr>
        <w:ind w:left="6262" w:hanging="180"/>
      </w:pPr>
      <w:rPr>
        <w:rFonts w:hint="default"/>
      </w:rPr>
    </w:lvl>
  </w:abstractNum>
  <w:abstractNum w:abstractNumId="87" w15:restartNumberingAfterBreak="0">
    <w:nsid w:val="5BE07947"/>
    <w:multiLevelType w:val="hybridMultilevel"/>
    <w:tmpl w:val="F6968A5C"/>
    <w:lvl w:ilvl="0" w:tplc="3FB45B04">
      <w:start w:val="25"/>
      <w:numFmt w:val="decimal"/>
      <w:lvlText w:val="%1)"/>
      <w:lvlJc w:val="left"/>
      <w:pPr>
        <w:tabs>
          <w:tab w:val="num" w:pos="453"/>
        </w:tabs>
        <w:ind w:left="453" w:hanging="45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D012C29"/>
    <w:multiLevelType w:val="hybridMultilevel"/>
    <w:tmpl w:val="3A2AED6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5D0419AF"/>
    <w:multiLevelType w:val="hybridMultilevel"/>
    <w:tmpl w:val="0626506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61107E11"/>
    <w:multiLevelType w:val="hybridMultilevel"/>
    <w:tmpl w:val="86A87DFE"/>
    <w:lvl w:ilvl="0" w:tplc="63EE3C2C">
      <w:start w:val="1"/>
      <w:numFmt w:val="lowerLetter"/>
      <w:lvlText w:val="%1)"/>
      <w:lvlJc w:val="left"/>
      <w:pPr>
        <w:tabs>
          <w:tab w:val="num" w:pos="737"/>
        </w:tabs>
        <w:ind w:left="737" w:hanging="397"/>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1" w15:restartNumberingAfterBreak="0">
    <w:nsid w:val="613208DC"/>
    <w:multiLevelType w:val="hybridMultilevel"/>
    <w:tmpl w:val="3A2AED6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61716993"/>
    <w:multiLevelType w:val="hybridMultilevel"/>
    <w:tmpl w:val="F10CEF12"/>
    <w:lvl w:ilvl="0" w:tplc="2E1C4934">
      <w:start w:val="1"/>
      <w:numFmt w:val="decimal"/>
      <w:lvlText w:val="%1)"/>
      <w:lvlJc w:val="left"/>
      <w:pPr>
        <w:ind w:left="75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2040DC4"/>
    <w:multiLevelType w:val="multilevel"/>
    <w:tmpl w:val="C3E813A4"/>
    <w:lvl w:ilvl="0">
      <w:start w:val="1"/>
      <w:numFmt w:val="lowerLetter"/>
      <w:lvlText w:val="%1)"/>
      <w:lvlJc w:val="left"/>
      <w:pPr>
        <w:tabs>
          <w:tab w:val="num" w:pos="644"/>
        </w:tabs>
        <w:ind w:left="644" w:hanging="360"/>
      </w:pPr>
      <w:rPr>
        <w:rFonts w:hint="default"/>
      </w:rPr>
    </w:lvl>
    <w:lvl w:ilvl="1">
      <w:start w:val="1"/>
      <w:numFmt w:val="decimal"/>
      <w:lvlText w:val="%2)"/>
      <w:lvlJc w:val="left"/>
      <w:pPr>
        <w:ind w:left="786" w:hanging="360"/>
      </w:p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94" w15:restartNumberingAfterBreak="0">
    <w:nsid w:val="635F7E5A"/>
    <w:multiLevelType w:val="hybridMultilevel"/>
    <w:tmpl w:val="0C2E7E2E"/>
    <w:lvl w:ilvl="0" w:tplc="4412B114">
      <w:start w:val="1"/>
      <w:numFmt w:val="decimal"/>
      <w:lvlText w:val="%1."/>
      <w:lvlJc w:val="left"/>
      <w:pPr>
        <w:tabs>
          <w:tab w:val="num" w:pos="357"/>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3707F5F"/>
    <w:multiLevelType w:val="hybridMultilevel"/>
    <w:tmpl w:val="C1C0561A"/>
    <w:lvl w:ilvl="0" w:tplc="A09AA12C">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66840FE3"/>
    <w:multiLevelType w:val="hybridMultilevel"/>
    <w:tmpl w:val="38E8916C"/>
    <w:lvl w:ilvl="0" w:tplc="C63A3418">
      <w:start w:val="1"/>
      <w:numFmt w:val="lowerLetter"/>
      <w:lvlText w:val="%1)"/>
      <w:lvlJc w:val="right"/>
      <w:pPr>
        <w:ind w:left="1173" w:hanging="180"/>
      </w:pPr>
      <w:rPr>
        <w:rFonts w:ascii="Verdana" w:eastAsia="Times New Roman" w:hAnsi="Verdana" w:cs="Arial" w:hint="default"/>
      </w:rPr>
    </w:lvl>
    <w:lvl w:ilvl="1" w:tplc="04150019" w:tentative="1">
      <w:start w:val="1"/>
      <w:numFmt w:val="lowerLetter"/>
      <w:lvlText w:val="%2."/>
      <w:lvlJc w:val="left"/>
      <w:pPr>
        <w:ind w:left="1017" w:hanging="360"/>
      </w:pPr>
    </w:lvl>
    <w:lvl w:ilvl="2" w:tplc="0415001B" w:tentative="1">
      <w:start w:val="1"/>
      <w:numFmt w:val="lowerRoman"/>
      <w:lvlText w:val="%3."/>
      <w:lvlJc w:val="right"/>
      <w:pPr>
        <w:ind w:left="1737" w:hanging="180"/>
      </w:pPr>
    </w:lvl>
    <w:lvl w:ilvl="3" w:tplc="0415000F" w:tentative="1">
      <w:start w:val="1"/>
      <w:numFmt w:val="decimal"/>
      <w:lvlText w:val="%4."/>
      <w:lvlJc w:val="left"/>
      <w:pPr>
        <w:ind w:left="2457" w:hanging="360"/>
      </w:pPr>
    </w:lvl>
    <w:lvl w:ilvl="4" w:tplc="04150019" w:tentative="1">
      <w:start w:val="1"/>
      <w:numFmt w:val="lowerLetter"/>
      <w:lvlText w:val="%5."/>
      <w:lvlJc w:val="left"/>
      <w:pPr>
        <w:ind w:left="3177" w:hanging="360"/>
      </w:pPr>
    </w:lvl>
    <w:lvl w:ilvl="5" w:tplc="0415001B" w:tentative="1">
      <w:start w:val="1"/>
      <w:numFmt w:val="lowerRoman"/>
      <w:lvlText w:val="%6."/>
      <w:lvlJc w:val="right"/>
      <w:pPr>
        <w:ind w:left="3897" w:hanging="180"/>
      </w:pPr>
    </w:lvl>
    <w:lvl w:ilvl="6" w:tplc="0415000F" w:tentative="1">
      <w:start w:val="1"/>
      <w:numFmt w:val="decimal"/>
      <w:lvlText w:val="%7."/>
      <w:lvlJc w:val="left"/>
      <w:pPr>
        <w:ind w:left="4617" w:hanging="360"/>
      </w:pPr>
    </w:lvl>
    <w:lvl w:ilvl="7" w:tplc="04150019" w:tentative="1">
      <w:start w:val="1"/>
      <w:numFmt w:val="lowerLetter"/>
      <w:lvlText w:val="%8."/>
      <w:lvlJc w:val="left"/>
      <w:pPr>
        <w:ind w:left="5337" w:hanging="360"/>
      </w:pPr>
    </w:lvl>
    <w:lvl w:ilvl="8" w:tplc="0415001B" w:tentative="1">
      <w:start w:val="1"/>
      <w:numFmt w:val="lowerRoman"/>
      <w:lvlText w:val="%9."/>
      <w:lvlJc w:val="right"/>
      <w:pPr>
        <w:ind w:left="6057" w:hanging="180"/>
      </w:pPr>
    </w:lvl>
  </w:abstractNum>
  <w:abstractNum w:abstractNumId="97" w15:restartNumberingAfterBreak="0">
    <w:nsid w:val="67307313"/>
    <w:multiLevelType w:val="hybridMultilevel"/>
    <w:tmpl w:val="E0300B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67347B6D"/>
    <w:multiLevelType w:val="hybridMultilevel"/>
    <w:tmpl w:val="A9581554"/>
    <w:lvl w:ilvl="0" w:tplc="4E847BC6">
      <w:start w:val="1"/>
      <w:numFmt w:val="decimal"/>
      <w:lvlText w:val="%1."/>
      <w:lvlJc w:val="left"/>
      <w:pPr>
        <w:tabs>
          <w:tab w:val="num" w:pos="397"/>
        </w:tabs>
        <w:ind w:left="397" w:hanging="397"/>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8C939FB"/>
    <w:multiLevelType w:val="hybridMultilevel"/>
    <w:tmpl w:val="BE58D72A"/>
    <w:lvl w:ilvl="0" w:tplc="E384ED5C">
      <w:start w:val="1"/>
      <w:numFmt w:val="decimal"/>
      <w:lvlText w:val="%1."/>
      <w:lvlJc w:val="left"/>
      <w:pPr>
        <w:tabs>
          <w:tab w:val="num" w:pos="397"/>
        </w:tabs>
        <w:ind w:left="397" w:hanging="397"/>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A6B4889"/>
    <w:multiLevelType w:val="hybridMultilevel"/>
    <w:tmpl w:val="03F89100"/>
    <w:lvl w:ilvl="0" w:tplc="AE3CB37A">
      <w:start w:val="1"/>
      <w:numFmt w:val="decimal"/>
      <w:lvlText w:val="%1)"/>
      <w:lvlJc w:val="left"/>
      <w:pPr>
        <w:ind w:left="757"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C525D62"/>
    <w:multiLevelType w:val="hybridMultilevel"/>
    <w:tmpl w:val="85B4D02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2" w15:restartNumberingAfterBreak="0">
    <w:nsid w:val="6E655FFC"/>
    <w:multiLevelType w:val="hybridMultilevel"/>
    <w:tmpl w:val="E8B06D2C"/>
    <w:lvl w:ilvl="0" w:tplc="8826B264">
      <w:start w:val="1"/>
      <w:numFmt w:val="lowerLetter"/>
      <w:lvlText w:val="%1)"/>
      <w:lvlJc w:val="left"/>
      <w:pPr>
        <w:ind w:left="1616" w:hanging="360"/>
      </w:pPr>
      <w:rPr>
        <w:rFonts w:ascii="Verdana" w:eastAsia="Times New Roman" w:hAnsi="Verdana"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06D4AF9"/>
    <w:multiLevelType w:val="multilevel"/>
    <w:tmpl w:val="9E4A034C"/>
    <w:lvl w:ilvl="0">
      <w:start w:val="3"/>
      <w:numFmt w:val="lowerLetter"/>
      <w:lvlText w:val="%1)"/>
      <w:lvlJc w:val="left"/>
      <w:pPr>
        <w:tabs>
          <w:tab w:val="num" w:pos="644"/>
        </w:tabs>
        <w:ind w:left="644" w:hanging="360"/>
      </w:pPr>
      <w:rPr>
        <w:rFonts w:hint="default"/>
      </w:rPr>
    </w:lvl>
    <w:lvl w:ilvl="1">
      <w:start w:val="17"/>
      <w:numFmt w:val="decimal"/>
      <w:lvlText w:val="%2)"/>
      <w:lvlJc w:val="left"/>
      <w:pPr>
        <w:ind w:left="786"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104" w15:restartNumberingAfterBreak="0">
    <w:nsid w:val="72562666"/>
    <w:multiLevelType w:val="hybridMultilevel"/>
    <w:tmpl w:val="AE2AFA0A"/>
    <w:lvl w:ilvl="0" w:tplc="10B6755E">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5" w15:restartNumberingAfterBreak="0">
    <w:nsid w:val="751D1EE7"/>
    <w:multiLevelType w:val="hybridMultilevel"/>
    <w:tmpl w:val="5C34C15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76740646"/>
    <w:multiLevelType w:val="hybridMultilevel"/>
    <w:tmpl w:val="4D287BD6"/>
    <w:lvl w:ilvl="0" w:tplc="401E41D2">
      <w:start w:val="1"/>
      <w:numFmt w:val="decimal"/>
      <w:lvlText w:val="%1."/>
      <w:lvlJc w:val="left"/>
      <w:pPr>
        <w:ind w:left="360" w:hanging="360"/>
      </w:pPr>
      <w:rPr>
        <w:rFonts w:ascii="Verdana" w:eastAsia="Times New Roman" w:hAnsi="Verdana"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93414AE"/>
    <w:multiLevelType w:val="hybridMultilevel"/>
    <w:tmpl w:val="3BF0F91A"/>
    <w:lvl w:ilvl="0" w:tplc="D700CDB4">
      <w:start w:val="1"/>
      <w:numFmt w:val="lowerLetter"/>
      <w:lvlText w:val="%1."/>
      <w:lvlJc w:val="left"/>
      <w:pPr>
        <w:tabs>
          <w:tab w:val="num" w:pos="737"/>
        </w:tabs>
        <w:ind w:left="737" w:hanging="340"/>
      </w:pPr>
      <w:rPr>
        <w:rFonts w:ascii="Verdana" w:eastAsia="Times New Roman" w:hAnsi="Verdan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965633E"/>
    <w:multiLevelType w:val="hybridMultilevel"/>
    <w:tmpl w:val="24C051D4"/>
    <w:lvl w:ilvl="0" w:tplc="EC10AA8A">
      <w:start w:val="1"/>
      <w:numFmt w:val="lowerLetter"/>
      <w:lvlText w:val="%1)"/>
      <w:lvlJc w:val="right"/>
      <w:pPr>
        <w:ind w:left="1173" w:hanging="180"/>
      </w:pPr>
      <w:rPr>
        <w:rFonts w:ascii="Verdana" w:eastAsia="Times New Roman" w:hAnsi="Verdana"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9E473D4"/>
    <w:multiLevelType w:val="hybridMultilevel"/>
    <w:tmpl w:val="9A44BF0A"/>
    <w:lvl w:ilvl="0" w:tplc="32EE5B92">
      <w:start w:val="2"/>
      <w:numFmt w:val="decimal"/>
      <w:lvlText w:val="%1."/>
      <w:lvlJc w:val="left"/>
      <w:pPr>
        <w:tabs>
          <w:tab w:val="num" w:pos="357"/>
        </w:tabs>
        <w:ind w:left="360" w:hanging="360"/>
      </w:pPr>
      <w:rPr>
        <w:rFonts w:hint="default"/>
      </w:rPr>
    </w:lvl>
    <w:lvl w:ilvl="1" w:tplc="00CE1614">
      <w:start w:val="10"/>
      <w:numFmt w:val="decimal"/>
      <w:lvlText w:val="%2"/>
      <w:lvlJc w:val="left"/>
      <w:pPr>
        <w:ind w:left="1440" w:hanging="360"/>
      </w:pPr>
      <w:rPr>
        <w:rFonts w:hint="default"/>
      </w:rPr>
    </w:lvl>
    <w:lvl w:ilvl="2" w:tplc="E268659A">
      <w:start w:val="1"/>
      <w:numFmt w:val="lowerLetter"/>
      <w:lvlText w:val="%3)"/>
      <w:lvlJc w:val="right"/>
      <w:pPr>
        <w:ind w:left="2160" w:hanging="180"/>
      </w:pPr>
      <w:rPr>
        <w:rFonts w:ascii="Verdana" w:eastAsia="Times New Roman" w:hAnsi="Verdana" w:cs="Times New Roman"/>
      </w:rPr>
    </w:lvl>
    <w:lvl w:ilvl="3" w:tplc="DD466284">
      <w:start w:val="18"/>
      <w:numFmt w:val="decimal"/>
      <w:lvlText w:val="%4)"/>
      <w:lvlJc w:val="left"/>
      <w:pPr>
        <w:tabs>
          <w:tab w:val="num" w:pos="737"/>
        </w:tabs>
        <w:ind w:left="737" w:hanging="453"/>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A880935"/>
    <w:multiLevelType w:val="multilevel"/>
    <w:tmpl w:val="CCF8FD92"/>
    <w:lvl w:ilvl="0">
      <w:start w:val="1"/>
      <w:numFmt w:val="ordinal"/>
      <w:lvlText w:val="%1"/>
      <w:lvlJc w:val="left"/>
      <w:pPr>
        <w:tabs>
          <w:tab w:val="num" w:pos="72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decimal"/>
      <w:lvlText w:val="%8)"/>
      <w:lvlJc w:val="left"/>
      <w:pPr>
        <w:ind w:left="2880" w:hanging="360"/>
      </w:pPr>
    </w:lvl>
    <w:lvl w:ilvl="8">
      <w:start w:val="1"/>
      <w:numFmt w:val="lowerRoman"/>
      <w:lvlText w:val="%9."/>
      <w:lvlJc w:val="left"/>
      <w:pPr>
        <w:tabs>
          <w:tab w:val="num" w:pos="3240"/>
        </w:tabs>
        <w:ind w:left="3240" w:hanging="360"/>
      </w:pPr>
      <w:rPr>
        <w:rFonts w:hint="default"/>
      </w:rPr>
    </w:lvl>
  </w:abstractNum>
  <w:abstractNum w:abstractNumId="111" w15:restartNumberingAfterBreak="0">
    <w:nsid w:val="7C8E2FA1"/>
    <w:multiLevelType w:val="multilevel"/>
    <w:tmpl w:val="5EB24968"/>
    <w:lvl w:ilvl="0">
      <w:start w:val="1"/>
      <w:numFmt w:val="decimal"/>
      <w:lvlText w:val="%1."/>
      <w:lvlJc w:val="left"/>
      <w:pPr>
        <w:tabs>
          <w:tab w:val="num" w:pos="360"/>
        </w:tabs>
        <w:ind w:left="360" w:hanging="360"/>
      </w:pPr>
      <w:rPr>
        <w:rFonts w:hint="default"/>
      </w:rPr>
    </w:lvl>
    <w:lvl w:ilvl="1">
      <w:start w:val="1"/>
      <w:numFmt w:val="lowerLetter"/>
      <w:lvlText w:val="%2)"/>
      <w:lvlJc w:val="left"/>
      <w:pPr>
        <w:ind w:left="1212"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17711020">
    <w:abstractNumId w:val="70"/>
  </w:num>
  <w:num w:numId="2" w16cid:durableId="1660500982">
    <w:abstractNumId w:val="51"/>
  </w:num>
  <w:num w:numId="3" w16cid:durableId="855577205">
    <w:abstractNumId w:val="54"/>
  </w:num>
  <w:num w:numId="4" w16cid:durableId="111634993">
    <w:abstractNumId w:val="72"/>
  </w:num>
  <w:num w:numId="5" w16cid:durableId="588464535">
    <w:abstractNumId w:val="64"/>
  </w:num>
  <w:num w:numId="6" w16cid:durableId="1732541308">
    <w:abstractNumId w:val="71"/>
  </w:num>
  <w:num w:numId="7" w16cid:durableId="601038398">
    <w:abstractNumId w:val="22"/>
  </w:num>
  <w:num w:numId="8" w16cid:durableId="981272025">
    <w:abstractNumId w:val="77"/>
  </w:num>
  <w:num w:numId="9" w16cid:durableId="2140030335">
    <w:abstractNumId w:val="27"/>
  </w:num>
  <w:num w:numId="10" w16cid:durableId="1889874808">
    <w:abstractNumId w:val="40"/>
  </w:num>
  <w:num w:numId="11" w16cid:durableId="1436512065">
    <w:abstractNumId w:val="86"/>
  </w:num>
  <w:num w:numId="12" w16cid:durableId="1488089266">
    <w:abstractNumId w:val="78"/>
  </w:num>
  <w:num w:numId="13" w16cid:durableId="1072780381">
    <w:abstractNumId w:val="48"/>
  </w:num>
  <w:num w:numId="14" w16cid:durableId="3870022">
    <w:abstractNumId w:val="69"/>
  </w:num>
  <w:num w:numId="15" w16cid:durableId="513345490">
    <w:abstractNumId w:val="24"/>
  </w:num>
  <w:num w:numId="16" w16cid:durableId="654916323">
    <w:abstractNumId w:val="45"/>
  </w:num>
  <w:num w:numId="17" w16cid:durableId="1269587305">
    <w:abstractNumId w:val="109"/>
  </w:num>
  <w:num w:numId="18" w16cid:durableId="930554431">
    <w:abstractNumId w:val="99"/>
  </w:num>
  <w:num w:numId="19" w16cid:durableId="1971858115">
    <w:abstractNumId w:val="85"/>
  </w:num>
  <w:num w:numId="20" w16cid:durableId="866792931">
    <w:abstractNumId w:val="8"/>
  </w:num>
  <w:num w:numId="21" w16cid:durableId="1313025440">
    <w:abstractNumId w:val="21"/>
  </w:num>
  <w:num w:numId="22" w16cid:durableId="1046876862">
    <w:abstractNumId w:val="34"/>
  </w:num>
  <w:num w:numId="23" w16cid:durableId="1860508652">
    <w:abstractNumId w:val="84"/>
  </w:num>
  <w:num w:numId="24" w16cid:durableId="1216045032">
    <w:abstractNumId w:val="16"/>
  </w:num>
  <w:num w:numId="25" w16cid:durableId="526915903">
    <w:abstractNumId w:val="68"/>
  </w:num>
  <w:num w:numId="26" w16cid:durableId="869688787">
    <w:abstractNumId w:val="76"/>
  </w:num>
  <w:num w:numId="27" w16cid:durableId="444887873">
    <w:abstractNumId w:val="100"/>
  </w:num>
  <w:num w:numId="28" w16cid:durableId="1219246804">
    <w:abstractNumId w:val="96"/>
  </w:num>
  <w:num w:numId="29" w16cid:durableId="182325634">
    <w:abstractNumId w:val="35"/>
  </w:num>
  <w:num w:numId="30" w16cid:durableId="1906644626">
    <w:abstractNumId w:val="98"/>
  </w:num>
  <w:num w:numId="31" w16cid:durableId="307168617">
    <w:abstractNumId w:val="17"/>
  </w:num>
  <w:num w:numId="32" w16cid:durableId="1000809210">
    <w:abstractNumId w:val="25"/>
  </w:num>
  <w:num w:numId="33" w16cid:durableId="214898495">
    <w:abstractNumId w:val="28"/>
  </w:num>
  <w:num w:numId="34" w16cid:durableId="98065780">
    <w:abstractNumId w:val="92"/>
  </w:num>
  <w:num w:numId="35" w16cid:durableId="2101680356">
    <w:abstractNumId w:val="108"/>
  </w:num>
  <w:num w:numId="36" w16cid:durableId="479033918">
    <w:abstractNumId w:val="9"/>
  </w:num>
  <w:num w:numId="37" w16cid:durableId="946042423">
    <w:abstractNumId w:val="14"/>
  </w:num>
  <w:num w:numId="38" w16cid:durableId="2078894852">
    <w:abstractNumId w:val="57"/>
  </w:num>
  <w:num w:numId="39" w16cid:durableId="1162089404">
    <w:abstractNumId w:val="83"/>
  </w:num>
  <w:num w:numId="40" w16cid:durableId="2072917767">
    <w:abstractNumId w:val="61"/>
  </w:num>
  <w:num w:numId="41" w16cid:durableId="924343634">
    <w:abstractNumId w:val="10"/>
  </w:num>
  <w:num w:numId="42" w16cid:durableId="420300114">
    <w:abstractNumId w:val="65"/>
  </w:num>
  <w:num w:numId="43" w16cid:durableId="307830028">
    <w:abstractNumId w:val="13"/>
  </w:num>
  <w:num w:numId="44" w16cid:durableId="447286038">
    <w:abstractNumId w:val="66"/>
  </w:num>
  <w:num w:numId="45" w16cid:durableId="2084984140">
    <w:abstractNumId w:val="41"/>
  </w:num>
  <w:num w:numId="46" w16cid:durableId="1161893797">
    <w:abstractNumId w:val="105"/>
  </w:num>
  <w:num w:numId="47" w16cid:durableId="1406417229">
    <w:abstractNumId w:val="12"/>
  </w:num>
  <w:num w:numId="48" w16cid:durableId="1014648610">
    <w:abstractNumId w:val="111"/>
  </w:num>
  <w:num w:numId="49" w16cid:durableId="371224355">
    <w:abstractNumId w:val="81"/>
  </w:num>
  <w:num w:numId="50" w16cid:durableId="1553274732">
    <w:abstractNumId w:val="102"/>
  </w:num>
  <w:num w:numId="51" w16cid:durableId="572744030">
    <w:abstractNumId w:val="73"/>
  </w:num>
  <w:num w:numId="52" w16cid:durableId="549459618">
    <w:abstractNumId w:val="0"/>
  </w:num>
  <w:num w:numId="53" w16cid:durableId="1033463731">
    <w:abstractNumId w:val="75"/>
  </w:num>
  <w:num w:numId="54" w16cid:durableId="1155684484">
    <w:abstractNumId w:val="1"/>
  </w:num>
  <w:num w:numId="55" w16cid:durableId="299576482">
    <w:abstractNumId w:val="89"/>
  </w:num>
  <w:num w:numId="56" w16cid:durableId="1893881965">
    <w:abstractNumId w:val="91"/>
  </w:num>
  <w:num w:numId="57" w16cid:durableId="173226683">
    <w:abstractNumId w:val="55"/>
  </w:num>
  <w:num w:numId="58" w16cid:durableId="1638224477">
    <w:abstractNumId w:val="50"/>
  </w:num>
  <w:num w:numId="59" w16cid:durableId="2086417627">
    <w:abstractNumId w:val="88"/>
  </w:num>
  <w:num w:numId="60" w16cid:durableId="1826510269">
    <w:abstractNumId w:val="23"/>
  </w:num>
  <w:num w:numId="61" w16cid:durableId="1139690186">
    <w:abstractNumId w:val="107"/>
  </w:num>
  <w:num w:numId="62" w16cid:durableId="1918444517">
    <w:abstractNumId w:val="11"/>
  </w:num>
  <w:num w:numId="63" w16cid:durableId="1407919465">
    <w:abstractNumId w:val="101"/>
  </w:num>
  <w:num w:numId="64" w16cid:durableId="11424824">
    <w:abstractNumId w:val="4"/>
  </w:num>
  <w:num w:numId="65" w16cid:durableId="672336220">
    <w:abstractNumId w:val="95"/>
  </w:num>
  <w:num w:numId="66" w16cid:durableId="1827430972">
    <w:abstractNumId w:val="97"/>
  </w:num>
  <w:num w:numId="67" w16cid:durableId="1563248708">
    <w:abstractNumId w:val="67"/>
  </w:num>
  <w:num w:numId="68" w16cid:durableId="2128158923">
    <w:abstractNumId w:val="26"/>
  </w:num>
  <w:num w:numId="69" w16cid:durableId="24642432">
    <w:abstractNumId w:val="106"/>
  </w:num>
  <w:num w:numId="70" w16cid:durableId="503208348">
    <w:abstractNumId w:val="52"/>
  </w:num>
  <w:num w:numId="71" w16cid:durableId="693573721">
    <w:abstractNumId w:val="33"/>
  </w:num>
  <w:num w:numId="72" w16cid:durableId="866328769">
    <w:abstractNumId w:val="18"/>
  </w:num>
  <w:num w:numId="73" w16cid:durableId="1493445527">
    <w:abstractNumId w:val="60"/>
  </w:num>
  <w:num w:numId="74" w16cid:durableId="842160414">
    <w:abstractNumId w:val="31"/>
  </w:num>
  <w:num w:numId="75" w16cid:durableId="918712225">
    <w:abstractNumId w:val="82"/>
  </w:num>
  <w:num w:numId="76" w16cid:durableId="524372115">
    <w:abstractNumId w:val="110"/>
  </w:num>
  <w:num w:numId="77" w16cid:durableId="978993393">
    <w:abstractNumId w:val="43"/>
  </w:num>
  <w:num w:numId="78" w16cid:durableId="537814545">
    <w:abstractNumId w:val="49"/>
  </w:num>
  <w:num w:numId="79" w16cid:durableId="1538734719">
    <w:abstractNumId w:val="7"/>
  </w:num>
  <w:num w:numId="80" w16cid:durableId="371729466">
    <w:abstractNumId w:val="30"/>
  </w:num>
  <w:num w:numId="81" w16cid:durableId="1798916718">
    <w:abstractNumId w:val="29"/>
  </w:num>
  <w:num w:numId="82" w16cid:durableId="1863396133">
    <w:abstractNumId w:val="63"/>
  </w:num>
  <w:num w:numId="83" w16cid:durableId="186529196">
    <w:abstractNumId w:val="53"/>
  </w:num>
  <w:num w:numId="84" w16cid:durableId="2076392952">
    <w:abstractNumId w:val="46"/>
  </w:num>
  <w:num w:numId="85" w16cid:durableId="605694759">
    <w:abstractNumId w:val="19"/>
  </w:num>
  <w:num w:numId="86" w16cid:durableId="1317224379">
    <w:abstractNumId w:val="47"/>
  </w:num>
  <w:num w:numId="87" w16cid:durableId="688993217">
    <w:abstractNumId w:val="39"/>
  </w:num>
  <w:num w:numId="88" w16cid:durableId="775561655">
    <w:abstractNumId w:val="94"/>
  </w:num>
  <w:num w:numId="89" w16cid:durableId="1978535466">
    <w:abstractNumId w:val="32"/>
  </w:num>
  <w:num w:numId="90" w16cid:durableId="1619408320">
    <w:abstractNumId w:val="80"/>
  </w:num>
  <w:num w:numId="91" w16cid:durableId="967665087">
    <w:abstractNumId w:val="37"/>
  </w:num>
  <w:num w:numId="92" w16cid:durableId="1470825567">
    <w:abstractNumId w:val="90"/>
  </w:num>
  <w:num w:numId="93" w16cid:durableId="904223723">
    <w:abstractNumId w:val="6"/>
  </w:num>
  <w:num w:numId="94" w16cid:durableId="20016016">
    <w:abstractNumId w:val="42"/>
  </w:num>
  <w:num w:numId="95" w16cid:durableId="1981031697">
    <w:abstractNumId w:val="36"/>
  </w:num>
  <w:num w:numId="96" w16cid:durableId="1776366331">
    <w:abstractNumId w:val="2"/>
  </w:num>
  <w:num w:numId="97" w16cid:durableId="169494088">
    <w:abstractNumId w:val="104"/>
  </w:num>
  <w:num w:numId="98" w16cid:durableId="1786926759">
    <w:abstractNumId w:val="58"/>
  </w:num>
  <w:num w:numId="99" w16cid:durableId="2009285202">
    <w:abstractNumId w:val="15"/>
  </w:num>
  <w:num w:numId="100" w16cid:durableId="1036853925">
    <w:abstractNumId w:val="5"/>
  </w:num>
  <w:num w:numId="101" w16cid:durableId="313491107">
    <w:abstractNumId w:val="62"/>
  </w:num>
  <w:num w:numId="102" w16cid:durableId="2127037273">
    <w:abstractNumId w:val="44"/>
  </w:num>
  <w:num w:numId="103" w16cid:durableId="2083984353">
    <w:abstractNumId w:val="56"/>
  </w:num>
  <w:num w:numId="104" w16cid:durableId="1297293028">
    <w:abstractNumId w:val="93"/>
  </w:num>
  <w:num w:numId="105" w16cid:durableId="1179781807">
    <w:abstractNumId w:val="20"/>
  </w:num>
  <w:num w:numId="106" w16cid:durableId="1500464931">
    <w:abstractNumId w:val="79"/>
  </w:num>
  <w:num w:numId="107" w16cid:durableId="78841456">
    <w:abstractNumId w:val="59"/>
  </w:num>
  <w:num w:numId="108" w16cid:durableId="1511674049">
    <w:abstractNumId w:val="74"/>
  </w:num>
  <w:num w:numId="109" w16cid:durableId="1902786008">
    <w:abstractNumId w:val="103"/>
  </w:num>
  <w:num w:numId="110" w16cid:durableId="306518232">
    <w:abstractNumId w:val="87"/>
  </w:num>
  <w:num w:numId="111" w16cid:durableId="1040277715">
    <w:abstractNumId w:val="3"/>
  </w:num>
  <w:num w:numId="112" w16cid:durableId="159259208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603611607">
    <w:abstractNumId w:val="72"/>
    <w:lvlOverride w:ilvl="0">
      <w:startOverride w:val="34"/>
    </w:lvlOverride>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E34"/>
    <w:rsid w:val="00000B70"/>
    <w:rsid w:val="00003207"/>
    <w:rsid w:val="00004B76"/>
    <w:rsid w:val="00012B39"/>
    <w:rsid w:val="000133B5"/>
    <w:rsid w:val="00021530"/>
    <w:rsid w:val="000221D5"/>
    <w:rsid w:val="00024F3C"/>
    <w:rsid w:val="00027CEE"/>
    <w:rsid w:val="00030702"/>
    <w:rsid w:val="000327FB"/>
    <w:rsid w:val="00032BF6"/>
    <w:rsid w:val="000351EC"/>
    <w:rsid w:val="00037919"/>
    <w:rsid w:val="00042BED"/>
    <w:rsid w:val="0004376D"/>
    <w:rsid w:val="00044F27"/>
    <w:rsid w:val="00045F61"/>
    <w:rsid w:val="00046324"/>
    <w:rsid w:val="000479A6"/>
    <w:rsid w:val="00047E43"/>
    <w:rsid w:val="000532D9"/>
    <w:rsid w:val="00053316"/>
    <w:rsid w:val="00053CD6"/>
    <w:rsid w:val="00054818"/>
    <w:rsid w:val="0005528F"/>
    <w:rsid w:val="000570AC"/>
    <w:rsid w:val="00061CA2"/>
    <w:rsid w:val="000634A3"/>
    <w:rsid w:val="00066997"/>
    <w:rsid w:val="000707E6"/>
    <w:rsid w:val="00070E6A"/>
    <w:rsid w:val="00071A22"/>
    <w:rsid w:val="000723B4"/>
    <w:rsid w:val="000750EB"/>
    <w:rsid w:val="000751A3"/>
    <w:rsid w:val="00075FAF"/>
    <w:rsid w:val="0008253F"/>
    <w:rsid w:val="00085AE6"/>
    <w:rsid w:val="000927D6"/>
    <w:rsid w:val="00092F14"/>
    <w:rsid w:val="00096731"/>
    <w:rsid w:val="000A208B"/>
    <w:rsid w:val="000A637B"/>
    <w:rsid w:val="000A639D"/>
    <w:rsid w:val="000B52EA"/>
    <w:rsid w:val="000B5DAB"/>
    <w:rsid w:val="000B7B19"/>
    <w:rsid w:val="000C423C"/>
    <w:rsid w:val="000C427C"/>
    <w:rsid w:val="000D1033"/>
    <w:rsid w:val="000D3754"/>
    <w:rsid w:val="000D3AEF"/>
    <w:rsid w:val="000D4B24"/>
    <w:rsid w:val="000D4E3E"/>
    <w:rsid w:val="000D59A2"/>
    <w:rsid w:val="000D5D13"/>
    <w:rsid w:val="000E5298"/>
    <w:rsid w:val="000E6EDA"/>
    <w:rsid w:val="000F23B6"/>
    <w:rsid w:val="000F41FF"/>
    <w:rsid w:val="000F6507"/>
    <w:rsid w:val="000F7A31"/>
    <w:rsid w:val="00100245"/>
    <w:rsid w:val="0010056D"/>
    <w:rsid w:val="001027D9"/>
    <w:rsid w:val="001040A5"/>
    <w:rsid w:val="00111BA3"/>
    <w:rsid w:val="00112669"/>
    <w:rsid w:val="00115845"/>
    <w:rsid w:val="001171D8"/>
    <w:rsid w:val="00124547"/>
    <w:rsid w:val="00124F40"/>
    <w:rsid w:val="00130922"/>
    <w:rsid w:val="0013142E"/>
    <w:rsid w:val="00132419"/>
    <w:rsid w:val="0013624A"/>
    <w:rsid w:val="00136519"/>
    <w:rsid w:val="0013712D"/>
    <w:rsid w:val="001377CA"/>
    <w:rsid w:val="00141ECF"/>
    <w:rsid w:val="001450B1"/>
    <w:rsid w:val="00147200"/>
    <w:rsid w:val="0014731F"/>
    <w:rsid w:val="0014763C"/>
    <w:rsid w:val="001526E0"/>
    <w:rsid w:val="00165D56"/>
    <w:rsid w:val="00170CB7"/>
    <w:rsid w:val="001713FC"/>
    <w:rsid w:val="00172852"/>
    <w:rsid w:val="00177357"/>
    <w:rsid w:val="001800DF"/>
    <w:rsid w:val="00183B43"/>
    <w:rsid w:val="00190962"/>
    <w:rsid w:val="001A0710"/>
    <w:rsid w:val="001A11FA"/>
    <w:rsid w:val="001A27CD"/>
    <w:rsid w:val="001A7F1B"/>
    <w:rsid w:val="001B636A"/>
    <w:rsid w:val="001C05A5"/>
    <w:rsid w:val="001C09EF"/>
    <w:rsid w:val="001C32D6"/>
    <w:rsid w:val="001C672C"/>
    <w:rsid w:val="001C6A53"/>
    <w:rsid w:val="001D0924"/>
    <w:rsid w:val="001E413F"/>
    <w:rsid w:val="001E4D47"/>
    <w:rsid w:val="001E6C29"/>
    <w:rsid w:val="001E7F5A"/>
    <w:rsid w:val="001F5028"/>
    <w:rsid w:val="00202E46"/>
    <w:rsid w:val="00205E34"/>
    <w:rsid w:val="00206635"/>
    <w:rsid w:val="00211027"/>
    <w:rsid w:val="002110D9"/>
    <w:rsid w:val="002243DB"/>
    <w:rsid w:val="00227015"/>
    <w:rsid w:val="00227332"/>
    <w:rsid w:val="00230F4A"/>
    <w:rsid w:val="00232347"/>
    <w:rsid w:val="0023310F"/>
    <w:rsid w:val="00236CBB"/>
    <w:rsid w:val="002402FD"/>
    <w:rsid w:val="00241BEC"/>
    <w:rsid w:val="00241C19"/>
    <w:rsid w:val="00244906"/>
    <w:rsid w:val="002452DC"/>
    <w:rsid w:val="002477D8"/>
    <w:rsid w:val="00252333"/>
    <w:rsid w:val="00253C6F"/>
    <w:rsid w:val="002547DE"/>
    <w:rsid w:val="00256AC2"/>
    <w:rsid w:val="0026205B"/>
    <w:rsid w:val="00264D5D"/>
    <w:rsid w:val="00264D64"/>
    <w:rsid w:val="00265838"/>
    <w:rsid w:val="00266012"/>
    <w:rsid w:val="00267453"/>
    <w:rsid w:val="00275051"/>
    <w:rsid w:val="002755CE"/>
    <w:rsid w:val="002809F6"/>
    <w:rsid w:val="002811D5"/>
    <w:rsid w:val="00283221"/>
    <w:rsid w:val="00285D67"/>
    <w:rsid w:val="00286B44"/>
    <w:rsid w:val="002877B0"/>
    <w:rsid w:val="002909C6"/>
    <w:rsid w:val="00290BEB"/>
    <w:rsid w:val="0029648C"/>
    <w:rsid w:val="00297051"/>
    <w:rsid w:val="002A34B7"/>
    <w:rsid w:val="002A4483"/>
    <w:rsid w:val="002B0AAF"/>
    <w:rsid w:val="002C095E"/>
    <w:rsid w:val="002C0CC3"/>
    <w:rsid w:val="002C6304"/>
    <w:rsid w:val="002D00CE"/>
    <w:rsid w:val="002D033E"/>
    <w:rsid w:val="002D236B"/>
    <w:rsid w:val="002D4AC8"/>
    <w:rsid w:val="002D5BBE"/>
    <w:rsid w:val="002D6206"/>
    <w:rsid w:val="002E4242"/>
    <w:rsid w:val="002E4812"/>
    <w:rsid w:val="002E6D9E"/>
    <w:rsid w:val="002F0779"/>
    <w:rsid w:val="002F3305"/>
    <w:rsid w:val="002F3BD5"/>
    <w:rsid w:val="002F40CB"/>
    <w:rsid w:val="002F7B05"/>
    <w:rsid w:val="003006B3"/>
    <w:rsid w:val="003014D9"/>
    <w:rsid w:val="003024A5"/>
    <w:rsid w:val="00310657"/>
    <w:rsid w:val="00315C9F"/>
    <w:rsid w:val="003179AC"/>
    <w:rsid w:val="0032095D"/>
    <w:rsid w:val="00320C9D"/>
    <w:rsid w:val="003213DE"/>
    <w:rsid w:val="00324714"/>
    <w:rsid w:val="00332676"/>
    <w:rsid w:val="003346A6"/>
    <w:rsid w:val="003353A8"/>
    <w:rsid w:val="003379CC"/>
    <w:rsid w:val="003446A4"/>
    <w:rsid w:val="00346A40"/>
    <w:rsid w:val="00351D16"/>
    <w:rsid w:val="00354976"/>
    <w:rsid w:val="003608C5"/>
    <w:rsid w:val="00362FBF"/>
    <w:rsid w:val="00364559"/>
    <w:rsid w:val="00366ACF"/>
    <w:rsid w:val="00366CAA"/>
    <w:rsid w:val="003700D0"/>
    <w:rsid w:val="003728CE"/>
    <w:rsid w:val="003772D5"/>
    <w:rsid w:val="00377A0B"/>
    <w:rsid w:val="00377A1F"/>
    <w:rsid w:val="0039171B"/>
    <w:rsid w:val="00391BFB"/>
    <w:rsid w:val="00394762"/>
    <w:rsid w:val="003A12C9"/>
    <w:rsid w:val="003A43BD"/>
    <w:rsid w:val="003A6587"/>
    <w:rsid w:val="003B051E"/>
    <w:rsid w:val="003B1DE9"/>
    <w:rsid w:val="003B2671"/>
    <w:rsid w:val="003B50A0"/>
    <w:rsid w:val="003B54ED"/>
    <w:rsid w:val="003B65B4"/>
    <w:rsid w:val="003B734B"/>
    <w:rsid w:val="003C0F2E"/>
    <w:rsid w:val="003C10BA"/>
    <w:rsid w:val="003C6287"/>
    <w:rsid w:val="003C6C39"/>
    <w:rsid w:val="003C7D30"/>
    <w:rsid w:val="003D1E12"/>
    <w:rsid w:val="003D54BD"/>
    <w:rsid w:val="003D5D8D"/>
    <w:rsid w:val="003E1920"/>
    <w:rsid w:val="003E4211"/>
    <w:rsid w:val="003E462E"/>
    <w:rsid w:val="003F0514"/>
    <w:rsid w:val="003F1C64"/>
    <w:rsid w:val="003F354F"/>
    <w:rsid w:val="003F5DDA"/>
    <w:rsid w:val="00400AD8"/>
    <w:rsid w:val="00403403"/>
    <w:rsid w:val="00412755"/>
    <w:rsid w:val="004135BC"/>
    <w:rsid w:val="00414720"/>
    <w:rsid w:val="00414CC9"/>
    <w:rsid w:val="00421C05"/>
    <w:rsid w:val="00422E63"/>
    <w:rsid w:val="0042415E"/>
    <w:rsid w:val="00430189"/>
    <w:rsid w:val="00433726"/>
    <w:rsid w:val="004352C7"/>
    <w:rsid w:val="00436722"/>
    <w:rsid w:val="00436B8E"/>
    <w:rsid w:val="00437871"/>
    <w:rsid w:val="0044110B"/>
    <w:rsid w:val="00441205"/>
    <w:rsid w:val="004438D6"/>
    <w:rsid w:val="00443C99"/>
    <w:rsid w:val="00444B43"/>
    <w:rsid w:val="004460ED"/>
    <w:rsid w:val="00447F86"/>
    <w:rsid w:val="004514CB"/>
    <w:rsid w:val="00452830"/>
    <w:rsid w:val="0046042B"/>
    <w:rsid w:val="00462218"/>
    <w:rsid w:val="00463058"/>
    <w:rsid w:val="0046526F"/>
    <w:rsid w:val="00466D39"/>
    <w:rsid w:val="004676CA"/>
    <w:rsid w:val="004703A9"/>
    <w:rsid w:val="00470DEF"/>
    <w:rsid w:val="0049103E"/>
    <w:rsid w:val="00493D67"/>
    <w:rsid w:val="004944AF"/>
    <w:rsid w:val="00496F08"/>
    <w:rsid w:val="004A1E8C"/>
    <w:rsid w:val="004A646F"/>
    <w:rsid w:val="004B0783"/>
    <w:rsid w:val="004B1352"/>
    <w:rsid w:val="004B2944"/>
    <w:rsid w:val="004B3178"/>
    <w:rsid w:val="004B375E"/>
    <w:rsid w:val="004C0E80"/>
    <w:rsid w:val="004C59DD"/>
    <w:rsid w:val="004C7334"/>
    <w:rsid w:val="004D1CDD"/>
    <w:rsid w:val="004D3B91"/>
    <w:rsid w:val="004D59FC"/>
    <w:rsid w:val="004D65CB"/>
    <w:rsid w:val="004D69BA"/>
    <w:rsid w:val="004E649F"/>
    <w:rsid w:val="004E6FD1"/>
    <w:rsid w:val="004E7E40"/>
    <w:rsid w:val="004F221A"/>
    <w:rsid w:val="004F298F"/>
    <w:rsid w:val="004F29FB"/>
    <w:rsid w:val="005042F9"/>
    <w:rsid w:val="00505BFB"/>
    <w:rsid w:val="005108F5"/>
    <w:rsid w:val="00513E1F"/>
    <w:rsid w:val="0051465A"/>
    <w:rsid w:val="00515EDB"/>
    <w:rsid w:val="0052505E"/>
    <w:rsid w:val="00525B16"/>
    <w:rsid w:val="00530DE5"/>
    <w:rsid w:val="00532554"/>
    <w:rsid w:val="00532889"/>
    <w:rsid w:val="00536FE9"/>
    <w:rsid w:val="00540B75"/>
    <w:rsid w:val="005423EA"/>
    <w:rsid w:val="005435E8"/>
    <w:rsid w:val="00545C72"/>
    <w:rsid w:val="00547156"/>
    <w:rsid w:val="005505A3"/>
    <w:rsid w:val="0055293F"/>
    <w:rsid w:val="00554EFF"/>
    <w:rsid w:val="005578BF"/>
    <w:rsid w:val="0056120A"/>
    <w:rsid w:val="005652B3"/>
    <w:rsid w:val="00565BDA"/>
    <w:rsid w:val="005661AD"/>
    <w:rsid w:val="00573D2B"/>
    <w:rsid w:val="00574B3C"/>
    <w:rsid w:val="00574B4A"/>
    <w:rsid w:val="0058231C"/>
    <w:rsid w:val="00585B6F"/>
    <w:rsid w:val="00595EF7"/>
    <w:rsid w:val="00597313"/>
    <w:rsid w:val="00597B50"/>
    <w:rsid w:val="005A0E6D"/>
    <w:rsid w:val="005A1B6F"/>
    <w:rsid w:val="005A1CD4"/>
    <w:rsid w:val="005A3AA3"/>
    <w:rsid w:val="005A3E7B"/>
    <w:rsid w:val="005A46E6"/>
    <w:rsid w:val="005B4423"/>
    <w:rsid w:val="005B59C8"/>
    <w:rsid w:val="005C4341"/>
    <w:rsid w:val="005C4F8C"/>
    <w:rsid w:val="005C546C"/>
    <w:rsid w:val="005C6936"/>
    <w:rsid w:val="005D028C"/>
    <w:rsid w:val="005D0F5A"/>
    <w:rsid w:val="005D21A8"/>
    <w:rsid w:val="005D2E2B"/>
    <w:rsid w:val="005D7740"/>
    <w:rsid w:val="005E1535"/>
    <w:rsid w:val="005E295F"/>
    <w:rsid w:val="005E442D"/>
    <w:rsid w:val="005E5B21"/>
    <w:rsid w:val="005F093E"/>
    <w:rsid w:val="005F1F29"/>
    <w:rsid w:val="005F21AF"/>
    <w:rsid w:val="005F2BA5"/>
    <w:rsid w:val="005F68AF"/>
    <w:rsid w:val="006010B3"/>
    <w:rsid w:val="00604201"/>
    <w:rsid w:val="00604442"/>
    <w:rsid w:val="006058BB"/>
    <w:rsid w:val="00607573"/>
    <w:rsid w:val="00607C0E"/>
    <w:rsid w:val="00607E33"/>
    <w:rsid w:val="006112D3"/>
    <w:rsid w:val="00611B97"/>
    <w:rsid w:val="006137CE"/>
    <w:rsid w:val="0061428C"/>
    <w:rsid w:val="00617733"/>
    <w:rsid w:val="00623478"/>
    <w:rsid w:val="00625FB7"/>
    <w:rsid w:val="00630206"/>
    <w:rsid w:val="0063029D"/>
    <w:rsid w:val="0063203D"/>
    <w:rsid w:val="006326E1"/>
    <w:rsid w:val="00632842"/>
    <w:rsid w:val="00633DC7"/>
    <w:rsid w:val="00634EB0"/>
    <w:rsid w:val="00635675"/>
    <w:rsid w:val="006409E8"/>
    <w:rsid w:val="006430ED"/>
    <w:rsid w:val="00643DE2"/>
    <w:rsid w:val="00647AF3"/>
    <w:rsid w:val="0065715D"/>
    <w:rsid w:val="00657248"/>
    <w:rsid w:val="0065786D"/>
    <w:rsid w:val="006618BD"/>
    <w:rsid w:val="006625A7"/>
    <w:rsid w:val="00664876"/>
    <w:rsid w:val="00665A4E"/>
    <w:rsid w:val="006700EF"/>
    <w:rsid w:val="0067383E"/>
    <w:rsid w:val="00674216"/>
    <w:rsid w:val="006748BD"/>
    <w:rsid w:val="00676B1A"/>
    <w:rsid w:val="00676B86"/>
    <w:rsid w:val="006815E6"/>
    <w:rsid w:val="00681BE6"/>
    <w:rsid w:val="006826DB"/>
    <w:rsid w:val="00682ACC"/>
    <w:rsid w:val="0068349C"/>
    <w:rsid w:val="00684060"/>
    <w:rsid w:val="00684FAF"/>
    <w:rsid w:val="00686087"/>
    <w:rsid w:val="0068700A"/>
    <w:rsid w:val="0069116E"/>
    <w:rsid w:val="006917E7"/>
    <w:rsid w:val="00691DD0"/>
    <w:rsid w:val="00694EFA"/>
    <w:rsid w:val="006966F2"/>
    <w:rsid w:val="006A2C73"/>
    <w:rsid w:val="006A3537"/>
    <w:rsid w:val="006A69C0"/>
    <w:rsid w:val="006B0749"/>
    <w:rsid w:val="006B1D3B"/>
    <w:rsid w:val="006B2E32"/>
    <w:rsid w:val="006B3DEF"/>
    <w:rsid w:val="006B411A"/>
    <w:rsid w:val="006C0089"/>
    <w:rsid w:val="006C0E5A"/>
    <w:rsid w:val="006C1FED"/>
    <w:rsid w:val="006C6E34"/>
    <w:rsid w:val="006D3270"/>
    <w:rsid w:val="006E0D43"/>
    <w:rsid w:val="006E4C55"/>
    <w:rsid w:val="006E50BA"/>
    <w:rsid w:val="006E7663"/>
    <w:rsid w:val="006F0280"/>
    <w:rsid w:val="00703CC7"/>
    <w:rsid w:val="00705954"/>
    <w:rsid w:val="007065A1"/>
    <w:rsid w:val="00711AF2"/>
    <w:rsid w:val="00712BE7"/>
    <w:rsid w:val="007158C5"/>
    <w:rsid w:val="007164ED"/>
    <w:rsid w:val="007206BC"/>
    <w:rsid w:val="00726330"/>
    <w:rsid w:val="0072690B"/>
    <w:rsid w:val="00731267"/>
    <w:rsid w:val="007340E4"/>
    <w:rsid w:val="00734904"/>
    <w:rsid w:val="007362AA"/>
    <w:rsid w:val="00741C0B"/>
    <w:rsid w:val="00744104"/>
    <w:rsid w:val="00747A78"/>
    <w:rsid w:val="00747ED2"/>
    <w:rsid w:val="00752778"/>
    <w:rsid w:val="007556F6"/>
    <w:rsid w:val="00762CD8"/>
    <w:rsid w:val="00763C38"/>
    <w:rsid w:val="007664EE"/>
    <w:rsid w:val="007677E1"/>
    <w:rsid w:val="007719B3"/>
    <w:rsid w:val="007727AB"/>
    <w:rsid w:val="00775910"/>
    <w:rsid w:val="00783602"/>
    <w:rsid w:val="007837AB"/>
    <w:rsid w:val="00784A2C"/>
    <w:rsid w:val="00784D85"/>
    <w:rsid w:val="00785EAD"/>
    <w:rsid w:val="00787662"/>
    <w:rsid w:val="007918E6"/>
    <w:rsid w:val="00792CA7"/>
    <w:rsid w:val="00793AB4"/>
    <w:rsid w:val="007958DF"/>
    <w:rsid w:val="007A609C"/>
    <w:rsid w:val="007A6E6F"/>
    <w:rsid w:val="007B1BD6"/>
    <w:rsid w:val="007B5359"/>
    <w:rsid w:val="007B5B22"/>
    <w:rsid w:val="007B70F1"/>
    <w:rsid w:val="007C310B"/>
    <w:rsid w:val="007C40B9"/>
    <w:rsid w:val="007C4A4A"/>
    <w:rsid w:val="007C4A9D"/>
    <w:rsid w:val="007C4D3F"/>
    <w:rsid w:val="007D4D65"/>
    <w:rsid w:val="007D6E43"/>
    <w:rsid w:val="007E051A"/>
    <w:rsid w:val="007E3292"/>
    <w:rsid w:val="007E6B1A"/>
    <w:rsid w:val="007E701E"/>
    <w:rsid w:val="007E7961"/>
    <w:rsid w:val="007E7A54"/>
    <w:rsid w:val="007F0DBB"/>
    <w:rsid w:val="007F3581"/>
    <w:rsid w:val="007F545D"/>
    <w:rsid w:val="008010ED"/>
    <w:rsid w:val="00803DAA"/>
    <w:rsid w:val="00803F02"/>
    <w:rsid w:val="00804FEB"/>
    <w:rsid w:val="008062ED"/>
    <w:rsid w:val="0080731C"/>
    <w:rsid w:val="008107DF"/>
    <w:rsid w:val="008111C0"/>
    <w:rsid w:val="0081548E"/>
    <w:rsid w:val="0081671F"/>
    <w:rsid w:val="00823198"/>
    <w:rsid w:val="0082368F"/>
    <w:rsid w:val="008241F1"/>
    <w:rsid w:val="008269F7"/>
    <w:rsid w:val="00830D76"/>
    <w:rsid w:val="00831BEC"/>
    <w:rsid w:val="0083264A"/>
    <w:rsid w:val="00833A8D"/>
    <w:rsid w:val="008362AE"/>
    <w:rsid w:val="0084019F"/>
    <w:rsid w:val="00842960"/>
    <w:rsid w:val="008438AF"/>
    <w:rsid w:val="00845A26"/>
    <w:rsid w:val="008460AD"/>
    <w:rsid w:val="00857BBB"/>
    <w:rsid w:val="00862796"/>
    <w:rsid w:val="0086331F"/>
    <w:rsid w:val="008670DC"/>
    <w:rsid w:val="00871204"/>
    <w:rsid w:val="0087525B"/>
    <w:rsid w:val="00876816"/>
    <w:rsid w:val="0087787B"/>
    <w:rsid w:val="00877E14"/>
    <w:rsid w:val="00880DAA"/>
    <w:rsid w:val="008810A7"/>
    <w:rsid w:val="008815F2"/>
    <w:rsid w:val="008974A6"/>
    <w:rsid w:val="00897F99"/>
    <w:rsid w:val="008A3365"/>
    <w:rsid w:val="008B3353"/>
    <w:rsid w:val="008B3FBA"/>
    <w:rsid w:val="008B49E5"/>
    <w:rsid w:val="008B7592"/>
    <w:rsid w:val="008C1030"/>
    <w:rsid w:val="008C205A"/>
    <w:rsid w:val="008C5393"/>
    <w:rsid w:val="008C593E"/>
    <w:rsid w:val="008C6181"/>
    <w:rsid w:val="008D0D9C"/>
    <w:rsid w:val="008D368E"/>
    <w:rsid w:val="008D4EC5"/>
    <w:rsid w:val="008D526B"/>
    <w:rsid w:val="008D662A"/>
    <w:rsid w:val="008E0752"/>
    <w:rsid w:val="008F0E18"/>
    <w:rsid w:val="008F2E7A"/>
    <w:rsid w:val="008F3F4C"/>
    <w:rsid w:val="008F579F"/>
    <w:rsid w:val="008F5F3A"/>
    <w:rsid w:val="00901A69"/>
    <w:rsid w:val="0090204A"/>
    <w:rsid w:val="00902382"/>
    <w:rsid w:val="009040A8"/>
    <w:rsid w:val="00904896"/>
    <w:rsid w:val="009054BE"/>
    <w:rsid w:val="0090552F"/>
    <w:rsid w:val="0090784F"/>
    <w:rsid w:val="00912A8C"/>
    <w:rsid w:val="0091369B"/>
    <w:rsid w:val="00915C49"/>
    <w:rsid w:val="00920145"/>
    <w:rsid w:val="00924449"/>
    <w:rsid w:val="009249AA"/>
    <w:rsid w:val="009257ED"/>
    <w:rsid w:val="00927AD2"/>
    <w:rsid w:val="0093341D"/>
    <w:rsid w:val="009343C4"/>
    <w:rsid w:val="00935AF8"/>
    <w:rsid w:val="00936B38"/>
    <w:rsid w:val="00936B75"/>
    <w:rsid w:val="009370C1"/>
    <w:rsid w:val="009371FA"/>
    <w:rsid w:val="00937E0B"/>
    <w:rsid w:val="00945E59"/>
    <w:rsid w:val="009473FF"/>
    <w:rsid w:val="00950E6C"/>
    <w:rsid w:val="00951067"/>
    <w:rsid w:val="009571E1"/>
    <w:rsid w:val="009668C7"/>
    <w:rsid w:val="00967834"/>
    <w:rsid w:val="00967F60"/>
    <w:rsid w:val="009722E0"/>
    <w:rsid w:val="009762AD"/>
    <w:rsid w:val="009802CD"/>
    <w:rsid w:val="00983115"/>
    <w:rsid w:val="009832BF"/>
    <w:rsid w:val="0098528D"/>
    <w:rsid w:val="00985443"/>
    <w:rsid w:val="009857FA"/>
    <w:rsid w:val="0098651A"/>
    <w:rsid w:val="0099378E"/>
    <w:rsid w:val="00995366"/>
    <w:rsid w:val="009956A2"/>
    <w:rsid w:val="00995BA4"/>
    <w:rsid w:val="00995CBA"/>
    <w:rsid w:val="00996C84"/>
    <w:rsid w:val="00997AF2"/>
    <w:rsid w:val="009A0232"/>
    <w:rsid w:val="009A265B"/>
    <w:rsid w:val="009A38F5"/>
    <w:rsid w:val="009A4836"/>
    <w:rsid w:val="009A6C2A"/>
    <w:rsid w:val="009A7E08"/>
    <w:rsid w:val="009B0743"/>
    <w:rsid w:val="009B202F"/>
    <w:rsid w:val="009B21DB"/>
    <w:rsid w:val="009B39B3"/>
    <w:rsid w:val="009C038C"/>
    <w:rsid w:val="009C0D4D"/>
    <w:rsid w:val="009C2B5C"/>
    <w:rsid w:val="009C3351"/>
    <w:rsid w:val="009C4BE8"/>
    <w:rsid w:val="009C4CBB"/>
    <w:rsid w:val="009C691F"/>
    <w:rsid w:val="009D0554"/>
    <w:rsid w:val="009D0E39"/>
    <w:rsid w:val="009D5877"/>
    <w:rsid w:val="009D6491"/>
    <w:rsid w:val="009D7B29"/>
    <w:rsid w:val="009E0C7E"/>
    <w:rsid w:val="009E3049"/>
    <w:rsid w:val="009F3D20"/>
    <w:rsid w:val="009F59CA"/>
    <w:rsid w:val="00A04CFC"/>
    <w:rsid w:val="00A07B22"/>
    <w:rsid w:val="00A103EC"/>
    <w:rsid w:val="00A12C83"/>
    <w:rsid w:val="00A1474E"/>
    <w:rsid w:val="00A1570F"/>
    <w:rsid w:val="00A15736"/>
    <w:rsid w:val="00A23201"/>
    <w:rsid w:val="00A24182"/>
    <w:rsid w:val="00A26766"/>
    <w:rsid w:val="00A27DCF"/>
    <w:rsid w:val="00A332E8"/>
    <w:rsid w:val="00A35759"/>
    <w:rsid w:val="00A52DEF"/>
    <w:rsid w:val="00A53F2A"/>
    <w:rsid w:val="00A61C5D"/>
    <w:rsid w:val="00A70856"/>
    <w:rsid w:val="00A70A27"/>
    <w:rsid w:val="00A70AE5"/>
    <w:rsid w:val="00A73A85"/>
    <w:rsid w:val="00A74F8E"/>
    <w:rsid w:val="00A74FE9"/>
    <w:rsid w:val="00A81B77"/>
    <w:rsid w:val="00A83065"/>
    <w:rsid w:val="00A838D9"/>
    <w:rsid w:val="00A85B76"/>
    <w:rsid w:val="00A86563"/>
    <w:rsid w:val="00A96433"/>
    <w:rsid w:val="00AA087F"/>
    <w:rsid w:val="00AB367D"/>
    <w:rsid w:val="00AB767D"/>
    <w:rsid w:val="00AC2413"/>
    <w:rsid w:val="00AC26D7"/>
    <w:rsid w:val="00AC4047"/>
    <w:rsid w:val="00AD1AE6"/>
    <w:rsid w:val="00AD4540"/>
    <w:rsid w:val="00AD4B34"/>
    <w:rsid w:val="00AD5B60"/>
    <w:rsid w:val="00AD6CE8"/>
    <w:rsid w:val="00AF2033"/>
    <w:rsid w:val="00AF76D0"/>
    <w:rsid w:val="00AF7B23"/>
    <w:rsid w:val="00B0575C"/>
    <w:rsid w:val="00B06E8A"/>
    <w:rsid w:val="00B10B65"/>
    <w:rsid w:val="00B11C58"/>
    <w:rsid w:val="00B154D9"/>
    <w:rsid w:val="00B21755"/>
    <w:rsid w:val="00B237D1"/>
    <w:rsid w:val="00B23918"/>
    <w:rsid w:val="00B25596"/>
    <w:rsid w:val="00B31A0E"/>
    <w:rsid w:val="00B408E9"/>
    <w:rsid w:val="00B4686D"/>
    <w:rsid w:val="00B538E6"/>
    <w:rsid w:val="00B53FB1"/>
    <w:rsid w:val="00B5470D"/>
    <w:rsid w:val="00B54CED"/>
    <w:rsid w:val="00B566C4"/>
    <w:rsid w:val="00B6049D"/>
    <w:rsid w:val="00B60A17"/>
    <w:rsid w:val="00B63465"/>
    <w:rsid w:val="00B654B0"/>
    <w:rsid w:val="00B66D25"/>
    <w:rsid w:val="00B72AB8"/>
    <w:rsid w:val="00B73F69"/>
    <w:rsid w:val="00B7738D"/>
    <w:rsid w:val="00B80A84"/>
    <w:rsid w:val="00B80E79"/>
    <w:rsid w:val="00B82F8C"/>
    <w:rsid w:val="00B836A7"/>
    <w:rsid w:val="00B8734F"/>
    <w:rsid w:val="00B878C0"/>
    <w:rsid w:val="00BA0321"/>
    <w:rsid w:val="00BA3677"/>
    <w:rsid w:val="00BA63DC"/>
    <w:rsid w:val="00BB009B"/>
    <w:rsid w:val="00BB142A"/>
    <w:rsid w:val="00BB197D"/>
    <w:rsid w:val="00BB6409"/>
    <w:rsid w:val="00BC03AA"/>
    <w:rsid w:val="00BC0560"/>
    <w:rsid w:val="00BC0A45"/>
    <w:rsid w:val="00BC0EC1"/>
    <w:rsid w:val="00BC2BD4"/>
    <w:rsid w:val="00BC3EC1"/>
    <w:rsid w:val="00BC4A96"/>
    <w:rsid w:val="00BC58E2"/>
    <w:rsid w:val="00BC59CE"/>
    <w:rsid w:val="00BD0E82"/>
    <w:rsid w:val="00BD1562"/>
    <w:rsid w:val="00BD1740"/>
    <w:rsid w:val="00BD2A46"/>
    <w:rsid w:val="00BD405C"/>
    <w:rsid w:val="00BD7A85"/>
    <w:rsid w:val="00BE07F7"/>
    <w:rsid w:val="00BE0AA2"/>
    <w:rsid w:val="00BE2DF5"/>
    <w:rsid w:val="00BE72CA"/>
    <w:rsid w:val="00BF2330"/>
    <w:rsid w:val="00BF3296"/>
    <w:rsid w:val="00BF50CA"/>
    <w:rsid w:val="00C03953"/>
    <w:rsid w:val="00C06788"/>
    <w:rsid w:val="00C101C6"/>
    <w:rsid w:val="00C10CDB"/>
    <w:rsid w:val="00C12EBC"/>
    <w:rsid w:val="00C13BB3"/>
    <w:rsid w:val="00C15C16"/>
    <w:rsid w:val="00C168A0"/>
    <w:rsid w:val="00C21762"/>
    <w:rsid w:val="00C32AB5"/>
    <w:rsid w:val="00C3337D"/>
    <w:rsid w:val="00C352E4"/>
    <w:rsid w:val="00C35684"/>
    <w:rsid w:val="00C37BFA"/>
    <w:rsid w:val="00C37C52"/>
    <w:rsid w:val="00C40160"/>
    <w:rsid w:val="00C41D20"/>
    <w:rsid w:val="00C429D9"/>
    <w:rsid w:val="00C430E2"/>
    <w:rsid w:val="00C46EE2"/>
    <w:rsid w:val="00C50140"/>
    <w:rsid w:val="00C50D7B"/>
    <w:rsid w:val="00C50DC1"/>
    <w:rsid w:val="00C55D32"/>
    <w:rsid w:val="00C5665F"/>
    <w:rsid w:val="00C572EB"/>
    <w:rsid w:val="00C60717"/>
    <w:rsid w:val="00C60D5B"/>
    <w:rsid w:val="00C6319C"/>
    <w:rsid w:val="00C6538A"/>
    <w:rsid w:val="00C653CB"/>
    <w:rsid w:val="00C71C3B"/>
    <w:rsid w:val="00C73408"/>
    <w:rsid w:val="00C77C19"/>
    <w:rsid w:val="00C77E53"/>
    <w:rsid w:val="00C81B22"/>
    <w:rsid w:val="00C848DC"/>
    <w:rsid w:val="00C90F4A"/>
    <w:rsid w:val="00C910BF"/>
    <w:rsid w:val="00C9124E"/>
    <w:rsid w:val="00C9661F"/>
    <w:rsid w:val="00C97124"/>
    <w:rsid w:val="00CA101B"/>
    <w:rsid w:val="00CA24A7"/>
    <w:rsid w:val="00CA3773"/>
    <w:rsid w:val="00CA5DF2"/>
    <w:rsid w:val="00CA6E2E"/>
    <w:rsid w:val="00CB30AA"/>
    <w:rsid w:val="00CB511A"/>
    <w:rsid w:val="00CB65B9"/>
    <w:rsid w:val="00CC0B2E"/>
    <w:rsid w:val="00CC1947"/>
    <w:rsid w:val="00CC2705"/>
    <w:rsid w:val="00CC4096"/>
    <w:rsid w:val="00CC54CE"/>
    <w:rsid w:val="00CC618C"/>
    <w:rsid w:val="00CC650E"/>
    <w:rsid w:val="00CC70B5"/>
    <w:rsid w:val="00CC76E6"/>
    <w:rsid w:val="00CC7D46"/>
    <w:rsid w:val="00CD04BF"/>
    <w:rsid w:val="00CD438F"/>
    <w:rsid w:val="00CD7A68"/>
    <w:rsid w:val="00CE0277"/>
    <w:rsid w:val="00CE0B1E"/>
    <w:rsid w:val="00CE451C"/>
    <w:rsid w:val="00CE53ED"/>
    <w:rsid w:val="00CE64F4"/>
    <w:rsid w:val="00CE7AE5"/>
    <w:rsid w:val="00CF0805"/>
    <w:rsid w:val="00CF0BAE"/>
    <w:rsid w:val="00CF1CDC"/>
    <w:rsid w:val="00CF4F34"/>
    <w:rsid w:val="00CF602F"/>
    <w:rsid w:val="00CF65D4"/>
    <w:rsid w:val="00CF75FF"/>
    <w:rsid w:val="00D02717"/>
    <w:rsid w:val="00D03F7B"/>
    <w:rsid w:val="00D070CB"/>
    <w:rsid w:val="00D07367"/>
    <w:rsid w:val="00D10BC1"/>
    <w:rsid w:val="00D11584"/>
    <w:rsid w:val="00D11A02"/>
    <w:rsid w:val="00D11C72"/>
    <w:rsid w:val="00D144DF"/>
    <w:rsid w:val="00D17AD8"/>
    <w:rsid w:val="00D231A7"/>
    <w:rsid w:val="00D266CC"/>
    <w:rsid w:val="00D2675B"/>
    <w:rsid w:val="00D369BD"/>
    <w:rsid w:val="00D37944"/>
    <w:rsid w:val="00D4145C"/>
    <w:rsid w:val="00D41818"/>
    <w:rsid w:val="00D424D7"/>
    <w:rsid w:val="00D436FC"/>
    <w:rsid w:val="00D44BB3"/>
    <w:rsid w:val="00D52F66"/>
    <w:rsid w:val="00D5769D"/>
    <w:rsid w:val="00D60338"/>
    <w:rsid w:val="00D62F6C"/>
    <w:rsid w:val="00D63DEA"/>
    <w:rsid w:val="00D677AB"/>
    <w:rsid w:val="00D70618"/>
    <w:rsid w:val="00D75F19"/>
    <w:rsid w:val="00D77905"/>
    <w:rsid w:val="00D77E35"/>
    <w:rsid w:val="00D93DE5"/>
    <w:rsid w:val="00D9421C"/>
    <w:rsid w:val="00DA1782"/>
    <w:rsid w:val="00DA18E3"/>
    <w:rsid w:val="00DA49A2"/>
    <w:rsid w:val="00DB047B"/>
    <w:rsid w:val="00DB07F2"/>
    <w:rsid w:val="00DB70B1"/>
    <w:rsid w:val="00DC24DF"/>
    <w:rsid w:val="00DD02A0"/>
    <w:rsid w:val="00DD3653"/>
    <w:rsid w:val="00DD45FB"/>
    <w:rsid w:val="00DD5062"/>
    <w:rsid w:val="00DD6E0A"/>
    <w:rsid w:val="00DE188C"/>
    <w:rsid w:val="00DE2F47"/>
    <w:rsid w:val="00DE3673"/>
    <w:rsid w:val="00DE4430"/>
    <w:rsid w:val="00DE497C"/>
    <w:rsid w:val="00DE7A5B"/>
    <w:rsid w:val="00DE7FC7"/>
    <w:rsid w:val="00DF142E"/>
    <w:rsid w:val="00DF15D7"/>
    <w:rsid w:val="00DF3C66"/>
    <w:rsid w:val="00DF62CB"/>
    <w:rsid w:val="00DF6B1B"/>
    <w:rsid w:val="00DF7348"/>
    <w:rsid w:val="00DF7A35"/>
    <w:rsid w:val="00DF7CBA"/>
    <w:rsid w:val="00E015AE"/>
    <w:rsid w:val="00E01C46"/>
    <w:rsid w:val="00E03E70"/>
    <w:rsid w:val="00E07000"/>
    <w:rsid w:val="00E15A92"/>
    <w:rsid w:val="00E16F21"/>
    <w:rsid w:val="00E1712E"/>
    <w:rsid w:val="00E2063B"/>
    <w:rsid w:val="00E2193A"/>
    <w:rsid w:val="00E2239E"/>
    <w:rsid w:val="00E24B9A"/>
    <w:rsid w:val="00E24F0A"/>
    <w:rsid w:val="00E279C5"/>
    <w:rsid w:val="00E35798"/>
    <w:rsid w:val="00E3761E"/>
    <w:rsid w:val="00E438A7"/>
    <w:rsid w:val="00E44BFB"/>
    <w:rsid w:val="00E44DD7"/>
    <w:rsid w:val="00E4549A"/>
    <w:rsid w:val="00E458E4"/>
    <w:rsid w:val="00E464CB"/>
    <w:rsid w:val="00E47D48"/>
    <w:rsid w:val="00E50381"/>
    <w:rsid w:val="00E5154F"/>
    <w:rsid w:val="00E54886"/>
    <w:rsid w:val="00E570AD"/>
    <w:rsid w:val="00E64CCE"/>
    <w:rsid w:val="00E64E77"/>
    <w:rsid w:val="00E673ED"/>
    <w:rsid w:val="00E71E69"/>
    <w:rsid w:val="00E72C1C"/>
    <w:rsid w:val="00E7537E"/>
    <w:rsid w:val="00E77DF6"/>
    <w:rsid w:val="00E81440"/>
    <w:rsid w:val="00E9311D"/>
    <w:rsid w:val="00E93215"/>
    <w:rsid w:val="00E95ACE"/>
    <w:rsid w:val="00E979CF"/>
    <w:rsid w:val="00EA0881"/>
    <w:rsid w:val="00EA4589"/>
    <w:rsid w:val="00EB35CC"/>
    <w:rsid w:val="00EB690C"/>
    <w:rsid w:val="00EC4E8F"/>
    <w:rsid w:val="00EC5528"/>
    <w:rsid w:val="00EC5A77"/>
    <w:rsid w:val="00EC61DE"/>
    <w:rsid w:val="00ED2F4D"/>
    <w:rsid w:val="00ED3701"/>
    <w:rsid w:val="00ED3F72"/>
    <w:rsid w:val="00ED4CBB"/>
    <w:rsid w:val="00ED5AF7"/>
    <w:rsid w:val="00EE492B"/>
    <w:rsid w:val="00EE6304"/>
    <w:rsid w:val="00EE6E45"/>
    <w:rsid w:val="00EE74DB"/>
    <w:rsid w:val="00EF14E8"/>
    <w:rsid w:val="00EF4E65"/>
    <w:rsid w:val="00EF60F6"/>
    <w:rsid w:val="00EF787F"/>
    <w:rsid w:val="00F01D11"/>
    <w:rsid w:val="00F0275A"/>
    <w:rsid w:val="00F05B03"/>
    <w:rsid w:val="00F07ACE"/>
    <w:rsid w:val="00F10AD8"/>
    <w:rsid w:val="00F11465"/>
    <w:rsid w:val="00F12B86"/>
    <w:rsid w:val="00F14ADF"/>
    <w:rsid w:val="00F2301B"/>
    <w:rsid w:val="00F235F3"/>
    <w:rsid w:val="00F26F69"/>
    <w:rsid w:val="00F32839"/>
    <w:rsid w:val="00F32A4C"/>
    <w:rsid w:val="00F333BD"/>
    <w:rsid w:val="00F3629A"/>
    <w:rsid w:val="00F40CF1"/>
    <w:rsid w:val="00F4690E"/>
    <w:rsid w:val="00F476EA"/>
    <w:rsid w:val="00F578E9"/>
    <w:rsid w:val="00F610A6"/>
    <w:rsid w:val="00F64E47"/>
    <w:rsid w:val="00F700B7"/>
    <w:rsid w:val="00F73574"/>
    <w:rsid w:val="00F8332A"/>
    <w:rsid w:val="00F83F95"/>
    <w:rsid w:val="00F8593C"/>
    <w:rsid w:val="00F8716B"/>
    <w:rsid w:val="00F909B2"/>
    <w:rsid w:val="00F9348C"/>
    <w:rsid w:val="00F93585"/>
    <w:rsid w:val="00F93ED3"/>
    <w:rsid w:val="00F95543"/>
    <w:rsid w:val="00F965C4"/>
    <w:rsid w:val="00FA2DF7"/>
    <w:rsid w:val="00FB2075"/>
    <w:rsid w:val="00FB4C88"/>
    <w:rsid w:val="00FB5A1A"/>
    <w:rsid w:val="00FC0D9E"/>
    <w:rsid w:val="00FC3F79"/>
    <w:rsid w:val="00FC41BD"/>
    <w:rsid w:val="00FD2889"/>
    <w:rsid w:val="00FD2A0D"/>
    <w:rsid w:val="00FD727F"/>
    <w:rsid w:val="00FE13A8"/>
    <w:rsid w:val="00FE1591"/>
    <w:rsid w:val="00FE171B"/>
    <w:rsid w:val="00FE2A21"/>
    <w:rsid w:val="00FE3206"/>
    <w:rsid w:val="00FE34BD"/>
    <w:rsid w:val="00FE655D"/>
    <w:rsid w:val="00FE7595"/>
    <w:rsid w:val="00FF0365"/>
    <w:rsid w:val="00FF1DF0"/>
    <w:rsid w:val="00FF5D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778543F5"/>
  <w15:chartTrackingRefBased/>
  <w15:docId w15:val="{71E96A12-FB53-4147-B320-BD9E9D1A9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F4E65"/>
    <w:pPr>
      <w:spacing w:after="200" w:line="276" w:lineRule="auto"/>
    </w:pPr>
    <w:rPr>
      <w:sz w:val="22"/>
      <w:szCs w:val="22"/>
      <w:lang w:eastAsia="en-US"/>
    </w:rPr>
  </w:style>
  <w:style w:type="paragraph" w:styleId="Nagwek1">
    <w:name w:val="heading 1"/>
    <w:basedOn w:val="Normalny"/>
    <w:next w:val="Normalny"/>
    <w:link w:val="Nagwek1Znak"/>
    <w:autoRedefine/>
    <w:qFormat/>
    <w:rsid w:val="00E3761E"/>
    <w:pPr>
      <w:keepLines/>
      <w:spacing w:before="120" w:after="120"/>
      <w:jc w:val="center"/>
      <w:outlineLvl w:val="0"/>
    </w:pPr>
    <w:rPr>
      <w:rFonts w:ascii="Verdana" w:eastAsia="Times New Roman" w:hAnsi="Verdana" w:cs="Arial"/>
      <w:b/>
      <w:sz w:val="20"/>
      <w:szCs w:val="20"/>
      <w:lang w:eastAsia="pl-PL"/>
    </w:rPr>
  </w:style>
  <w:style w:type="paragraph" w:styleId="Nagwek2">
    <w:name w:val="heading 2"/>
    <w:basedOn w:val="Normalny"/>
    <w:next w:val="Normalny"/>
    <w:link w:val="Nagwek2Znak"/>
    <w:autoRedefine/>
    <w:qFormat/>
    <w:rsid w:val="00E3761E"/>
    <w:pPr>
      <w:keepNext/>
      <w:spacing w:after="120"/>
      <w:jc w:val="center"/>
      <w:outlineLvl w:val="1"/>
    </w:pPr>
    <w:rPr>
      <w:rFonts w:ascii="Verdana" w:eastAsia="Times New Roman" w:hAnsi="Verdana"/>
      <w:b/>
      <w:sz w:val="20"/>
      <w:szCs w:val="20"/>
      <w:lang w:eastAsia="pl-PL"/>
    </w:rPr>
  </w:style>
  <w:style w:type="paragraph" w:styleId="Nagwek3">
    <w:name w:val="heading 3"/>
    <w:basedOn w:val="Normalny"/>
    <w:next w:val="Normalny"/>
    <w:link w:val="Nagwek3Znak"/>
    <w:autoRedefine/>
    <w:uiPriority w:val="9"/>
    <w:unhideWhenUsed/>
    <w:qFormat/>
    <w:rsid w:val="008362AE"/>
    <w:pPr>
      <w:keepNext/>
      <w:numPr>
        <w:numId w:val="4"/>
      </w:numPr>
      <w:spacing w:after="240" w:line="360" w:lineRule="auto"/>
      <w:ind w:hanging="453"/>
      <w:jc w:val="both"/>
      <w:outlineLvl w:val="2"/>
    </w:pPr>
    <w:rPr>
      <w:rFonts w:ascii="Verdana" w:eastAsia="Times New Roman" w:hAnsi="Verdana" w:cs="Arial"/>
      <w:sz w:val="20"/>
      <w:szCs w:val="20"/>
      <w:lang w:eastAsia="pl-PL"/>
    </w:rPr>
  </w:style>
  <w:style w:type="paragraph" w:styleId="Nagwek4">
    <w:name w:val="heading 4"/>
    <w:basedOn w:val="Normalny"/>
    <w:next w:val="Normalny"/>
    <w:link w:val="Nagwek4Znak"/>
    <w:autoRedefine/>
    <w:uiPriority w:val="9"/>
    <w:unhideWhenUsed/>
    <w:qFormat/>
    <w:rsid w:val="00E3761E"/>
    <w:pPr>
      <w:keepNext/>
      <w:spacing w:after="120"/>
      <w:outlineLvl w:val="3"/>
    </w:pPr>
    <w:rPr>
      <w:rFonts w:ascii="Verdana" w:eastAsia="Times New Roman" w:hAnsi="Verdana"/>
      <w:b/>
      <w:bCs/>
      <w:sz w:val="20"/>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05E34"/>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205E34"/>
    <w:rPr>
      <w:rFonts w:ascii="Tahoma" w:hAnsi="Tahoma" w:cs="Tahoma"/>
      <w:sz w:val="16"/>
      <w:szCs w:val="16"/>
    </w:rPr>
  </w:style>
  <w:style w:type="paragraph" w:styleId="Nagwek">
    <w:name w:val="header"/>
    <w:basedOn w:val="Normalny"/>
    <w:link w:val="NagwekZnak"/>
    <w:uiPriority w:val="99"/>
    <w:unhideWhenUsed/>
    <w:rsid w:val="0086331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6331F"/>
  </w:style>
  <w:style w:type="paragraph" w:styleId="Stopka">
    <w:name w:val="footer"/>
    <w:basedOn w:val="Normalny"/>
    <w:link w:val="StopkaZnak"/>
    <w:uiPriority w:val="99"/>
    <w:unhideWhenUsed/>
    <w:rsid w:val="008633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6331F"/>
  </w:style>
  <w:style w:type="paragraph" w:styleId="Bezodstpw">
    <w:name w:val="No Spacing"/>
    <w:link w:val="BezodstpwZnak"/>
    <w:uiPriority w:val="1"/>
    <w:qFormat/>
    <w:rsid w:val="00C60D5B"/>
    <w:rPr>
      <w:rFonts w:eastAsia="Times New Roman"/>
      <w:sz w:val="22"/>
      <w:szCs w:val="22"/>
      <w:lang w:eastAsia="en-US"/>
    </w:rPr>
  </w:style>
  <w:style w:type="character" w:customStyle="1" w:styleId="BezodstpwZnak">
    <w:name w:val="Bez odstępów Znak"/>
    <w:link w:val="Bezodstpw"/>
    <w:uiPriority w:val="1"/>
    <w:rsid w:val="00C60D5B"/>
    <w:rPr>
      <w:rFonts w:eastAsia="Times New Roman"/>
      <w:sz w:val="22"/>
      <w:szCs w:val="22"/>
      <w:lang w:val="pl-PL" w:eastAsia="en-US" w:bidi="ar-SA"/>
    </w:rPr>
  </w:style>
  <w:style w:type="paragraph" w:styleId="Akapitzlist">
    <w:name w:val="List Paragraph"/>
    <w:basedOn w:val="Normalny"/>
    <w:uiPriority w:val="34"/>
    <w:qFormat/>
    <w:rsid w:val="00CB511A"/>
    <w:pPr>
      <w:ind w:left="720"/>
      <w:contextualSpacing/>
    </w:pPr>
  </w:style>
  <w:style w:type="character" w:styleId="Odwoaniedokomentarza">
    <w:name w:val="annotation reference"/>
    <w:basedOn w:val="Domylnaczcionkaakapitu"/>
    <w:uiPriority w:val="99"/>
    <w:unhideWhenUsed/>
    <w:rsid w:val="007E3292"/>
    <w:rPr>
      <w:sz w:val="16"/>
      <w:szCs w:val="16"/>
    </w:rPr>
  </w:style>
  <w:style w:type="paragraph" w:styleId="Tekstkomentarza">
    <w:name w:val="annotation text"/>
    <w:basedOn w:val="Normalny"/>
    <w:link w:val="TekstkomentarzaZnak"/>
    <w:uiPriority w:val="99"/>
    <w:unhideWhenUsed/>
    <w:rsid w:val="007E3292"/>
    <w:pPr>
      <w:spacing w:line="240" w:lineRule="auto"/>
    </w:pPr>
    <w:rPr>
      <w:sz w:val="20"/>
      <w:szCs w:val="20"/>
    </w:rPr>
  </w:style>
  <w:style w:type="character" w:customStyle="1" w:styleId="TekstkomentarzaZnak">
    <w:name w:val="Tekst komentarza Znak"/>
    <w:basedOn w:val="Domylnaczcionkaakapitu"/>
    <w:link w:val="Tekstkomentarza"/>
    <w:uiPriority w:val="99"/>
    <w:rsid w:val="007E3292"/>
    <w:rPr>
      <w:lang w:eastAsia="en-US"/>
    </w:rPr>
  </w:style>
  <w:style w:type="paragraph" w:customStyle="1" w:styleId="wText">
    <w:name w:val="wText"/>
    <w:basedOn w:val="Normalny"/>
    <w:uiPriority w:val="2"/>
    <w:qFormat/>
    <w:rsid w:val="007E3292"/>
    <w:pPr>
      <w:spacing w:after="180" w:line="240" w:lineRule="auto"/>
      <w:jc w:val="both"/>
    </w:pPr>
    <w:rPr>
      <w:rFonts w:asciiTheme="majorHAnsi" w:eastAsia="MS Mincho" w:hAnsiTheme="majorHAnsi" w:cstheme="majorHAnsi"/>
      <w:sz w:val="20"/>
    </w:rPr>
  </w:style>
  <w:style w:type="character" w:customStyle="1" w:styleId="Nagwek3Znak">
    <w:name w:val="Nagłówek 3 Znak"/>
    <w:basedOn w:val="Domylnaczcionkaakapitu"/>
    <w:link w:val="Nagwek3"/>
    <w:uiPriority w:val="9"/>
    <w:rsid w:val="008362AE"/>
    <w:rPr>
      <w:rFonts w:ascii="Verdana" w:eastAsia="Times New Roman" w:hAnsi="Verdana" w:cs="Arial"/>
    </w:rPr>
  </w:style>
  <w:style w:type="table" w:styleId="Tabela-Siatka">
    <w:name w:val="Table Grid"/>
    <w:basedOn w:val="Standardowy"/>
    <w:uiPriority w:val="39"/>
    <w:rsid w:val="00BC2BD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rsid w:val="00BC2BD4"/>
    <w:pPr>
      <w:spacing w:after="120" w:line="240" w:lineRule="auto"/>
      <w:jc w:val="center"/>
    </w:pPr>
    <w:rPr>
      <w:rFonts w:ascii="Times New Roman" w:eastAsia="Times New Roman" w:hAnsi="Times New Roman"/>
      <w:b/>
      <w:sz w:val="28"/>
      <w:szCs w:val="20"/>
      <w:lang w:eastAsia="pl-PL"/>
    </w:rPr>
  </w:style>
  <w:style w:type="character" w:customStyle="1" w:styleId="Tekstpodstawowy3Znak">
    <w:name w:val="Tekst podstawowy 3 Znak"/>
    <w:basedOn w:val="Domylnaczcionkaakapitu"/>
    <w:link w:val="Tekstpodstawowy3"/>
    <w:rsid w:val="00BC2BD4"/>
    <w:rPr>
      <w:rFonts w:ascii="Times New Roman" w:eastAsia="Times New Roman" w:hAnsi="Times New Roman"/>
      <w:b/>
      <w:sz w:val="28"/>
    </w:rPr>
  </w:style>
  <w:style w:type="character" w:styleId="Hipercze">
    <w:name w:val="Hyperlink"/>
    <w:uiPriority w:val="99"/>
    <w:unhideWhenUsed/>
    <w:rsid w:val="00B0575C"/>
    <w:rPr>
      <w:color w:val="0000FF"/>
      <w:u w:val="single"/>
    </w:rPr>
  </w:style>
  <w:style w:type="paragraph" w:styleId="Tekstpodstawowywcity">
    <w:name w:val="Body Text Indent"/>
    <w:basedOn w:val="Normalny"/>
    <w:link w:val="TekstpodstawowywcityZnak"/>
    <w:unhideWhenUsed/>
    <w:rsid w:val="00B23918"/>
    <w:pPr>
      <w:spacing w:after="120"/>
      <w:ind w:left="283"/>
    </w:pPr>
  </w:style>
  <w:style w:type="character" w:customStyle="1" w:styleId="TekstpodstawowywcityZnak">
    <w:name w:val="Tekst podstawowy wcięty Znak"/>
    <w:basedOn w:val="Domylnaczcionkaakapitu"/>
    <w:link w:val="Tekstpodstawowywcity"/>
    <w:rsid w:val="00B23918"/>
    <w:rPr>
      <w:sz w:val="22"/>
      <w:szCs w:val="22"/>
      <w:lang w:eastAsia="en-US"/>
    </w:rPr>
  </w:style>
  <w:style w:type="paragraph" w:customStyle="1" w:styleId="Default">
    <w:name w:val="Default"/>
    <w:rsid w:val="00CB65B9"/>
    <w:pPr>
      <w:autoSpaceDE w:val="0"/>
      <w:autoSpaceDN w:val="0"/>
      <w:adjustRightInd w:val="0"/>
    </w:pPr>
    <w:rPr>
      <w:rFonts w:ascii="Verdana" w:hAnsi="Verdana" w:cs="Verdana"/>
      <w:color w:val="000000"/>
      <w:sz w:val="24"/>
      <w:szCs w:val="24"/>
      <w:lang w:eastAsia="en-US"/>
    </w:rPr>
  </w:style>
  <w:style w:type="paragraph" w:styleId="Tekstpodstawowy">
    <w:name w:val="Body Text"/>
    <w:basedOn w:val="Normalny"/>
    <w:link w:val="TekstpodstawowyZnak"/>
    <w:uiPriority w:val="99"/>
    <w:unhideWhenUsed/>
    <w:rsid w:val="00170CB7"/>
    <w:pPr>
      <w:spacing w:after="120" w:line="240" w:lineRule="auto"/>
      <w:jc w:val="both"/>
    </w:pPr>
    <w:rPr>
      <w:rFonts w:ascii="Verdana" w:eastAsia="Times New Roman" w:hAnsi="Verdana"/>
      <w:sz w:val="20"/>
      <w:szCs w:val="24"/>
      <w:lang w:eastAsia="pl-PL"/>
    </w:rPr>
  </w:style>
  <w:style w:type="character" w:customStyle="1" w:styleId="TekstpodstawowyZnak">
    <w:name w:val="Tekst podstawowy Znak"/>
    <w:basedOn w:val="Domylnaczcionkaakapitu"/>
    <w:link w:val="Tekstpodstawowy"/>
    <w:uiPriority w:val="99"/>
    <w:rsid w:val="00170CB7"/>
    <w:rPr>
      <w:rFonts w:ascii="Verdana" w:eastAsia="Times New Roman" w:hAnsi="Verdana"/>
      <w:szCs w:val="24"/>
    </w:rPr>
  </w:style>
  <w:style w:type="paragraph" w:styleId="Tematkomentarza">
    <w:name w:val="annotation subject"/>
    <w:basedOn w:val="Tekstkomentarza"/>
    <w:next w:val="Tekstkomentarza"/>
    <w:link w:val="TematkomentarzaZnak"/>
    <w:uiPriority w:val="99"/>
    <w:semiHidden/>
    <w:unhideWhenUsed/>
    <w:rsid w:val="008D526B"/>
    <w:rPr>
      <w:b/>
      <w:bCs/>
    </w:rPr>
  </w:style>
  <w:style w:type="character" w:customStyle="1" w:styleId="TematkomentarzaZnak">
    <w:name w:val="Temat komentarza Znak"/>
    <w:basedOn w:val="TekstkomentarzaZnak"/>
    <w:link w:val="Tematkomentarza"/>
    <w:uiPriority w:val="99"/>
    <w:semiHidden/>
    <w:rsid w:val="008D526B"/>
    <w:rPr>
      <w:b/>
      <w:bCs/>
      <w:lang w:eastAsia="en-US"/>
    </w:rPr>
  </w:style>
  <w:style w:type="paragraph" w:styleId="Tekstprzypisukocowego">
    <w:name w:val="endnote text"/>
    <w:basedOn w:val="Normalny"/>
    <w:link w:val="TekstprzypisukocowegoZnak"/>
    <w:uiPriority w:val="99"/>
    <w:semiHidden/>
    <w:unhideWhenUsed/>
    <w:rsid w:val="007B5B2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B5B22"/>
    <w:rPr>
      <w:lang w:eastAsia="en-US"/>
    </w:rPr>
  </w:style>
  <w:style w:type="character" w:styleId="Odwoanieprzypisukocowego">
    <w:name w:val="endnote reference"/>
    <w:basedOn w:val="Domylnaczcionkaakapitu"/>
    <w:uiPriority w:val="99"/>
    <w:semiHidden/>
    <w:unhideWhenUsed/>
    <w:rsid w:val="007B5B22"/>
    <w:rPr>
      <w:vertAlign w:val="superscript"/>
    </w:rPr>
  </w:style>
  <w:style w:type="paragraph" w:customStyle="1" w:styleId="Tekstpodstawowywcity31">
    <w:name w:val="Tekst podstawowy wcięty 31"/>
    <w:basedOn w:val="Normalny"/>
    <w:rsid w:val="009A38F5"/>
    <w:pPr>
      <w:tabs>
        <w:tab w:val="left" w:pos="720"/>
      </w:tabs>
      <w:spacing w:after="0" w:line="240" w:lineRule="auto"/>
      <w:ind w:left="720" w:hanging="360"/>
      <w:jc w:val="both"/>
    </w:pPr>
    <w:rPr>
      <w:rFonts w:ascii="Times New Roman" w:eastAsia="MS Mincho" w:hAnsi="Times New Roman"/>
      <w:sz w:val="24"/>
      <w:szCs w:val="20"/>
      <w:lang w:eastAsia="pl-PL"/>
    </w:rPr>
  </w:style>
  <w:style w:type="paragraph" w:customStyle="1" w:styleId="Tekstpodstawowy21">
    <w:name w:val="Tekst podstawowy 21"/>
    <w:basedOn w:val="Normalny"/>
    <w:rsid w:val="00F64E47"/>
    <w:pPr>
      <w:spacing w:after="120" w:line="240" w:lineRule="auto"/>
      <w:jc w:val="both"/>
    </w:pPr>
    <w:rPr>
      <w:rFonts w:ascii="Times New Roman" w:eastAsia="Times New Roman" w:hAnsi="Times New Roman"/>
      <w:sz w:val="20"/>
      <w:szCs w:val="20"/>
      <w:lang w:eastAsia="pl-PL"/>
    </w:rPr>
  </w:style>
  <w:style w:type="paragraph" w:styleId="Tekstpodstawowy2">
    <w:name w:val="Body Text 2"/>
    <w:basedOn w:val="Normalny"/>
    <w:link w:val="Tekstpodstawowy2Znak"/>
    <w:unhideWhenUsed/>
    <w:rsid w:val="00FC41BD"/>
    <w:pPr>
      <w:spacing w:after="120" w:line="480" w:lineRule="auto"/>
    </w:pPr>
  </w:style>
  <w:style w:type="character" w:customStyle="1" w:styleId="Tekstpodstawowy2Znak">
    <w:name w:val="Tekst podstawowy 2 Znak"/>
    <w:basedOn w:val="Domylnaczcionkaakapitu"/>
    <w:link w:val="Tekstpodstawowy2"/>
    <w:rsid w:val="00FC41BD"/>
    <w:rPr>
      <w:sz w:val="22"/>
      <w:szCs w:val="22"/>
      <w:lang w:eastAsia="en-US"/>
    </w:rPr>
  </w:style>
  <w:style w:type="paragraph" w:styleId="Zwykytekst">
    <w:name w:val="Plain Text"/>
    <w:basedOn w:val="Normalny"/>
    <w:link w:val="ZwykytekstZnak"/>
    <w:uiPriority w:val="99"/>
    <w:unhideWhenUsed/>
    <w:rsid w:val="003346A6"/>
    <w:pPr>
      <w:spacing w:after="0" w:line="240" w:lineRule="auto"/>
    </w:pPr>
    <w:rPr>
      <w:szCs w:val="21"/>
    </w:rPr>
  </w:style>
  <w:style w:type="character" w:customStyle="1" w:styleId="ZwykytekstZnak">
    <w:name w:val="Zwykły tekst Znak"/>
    <w:basedOn w:val="Domylnaczcionkaakapitu"/>
    <w:link w:val="Zwykytekst"/>
    <w:uiPriority w:val="99"/>
    <w:rsid w:val="003346A6"/>
    <w:rPr>
      <w:sz w:val="22"/>
      <w:szCs w:val="21"/>
      <w:lang w:eastAsia="en-US"/>
    </w:rPr>
  </w:style>
  <w:style w:type="paragraph" w:styleId="Poprawka">
    <w:name w:val="Revision"/>
    <w:hidden/>
    <w:uiPriority w:val="99"/>
    <w:semiHidden/>
    <w:rsid w:val="00623478"/>
    <w:rPr>
      <w:sz w:val="22"/>
      <w:szCs w:val="22"/>
      <w:lang w:eastAsia="en-US"/>
    </w:rPr>
  </w:style>
  <w:style w:type="character" w:customStyle="1" w:styleId="Nagwek1Znak">
    <w:name w:val="Nagłówek 1 Znak"/>
    <w:basedOn w:val="Domylnaczcionkaakapitu"/>
    <w:link w:val="Nagwek1"/>
    <w:rsid w:val="00E3761E"/>
    <w:rPr>
      <w:rFonts w:ascii="Verdana" w:eastAsia="Times New Roman" w:hAnsi="Verdana" w:cs="Arial"/>
      <w:b/>
    </w:rPr>
  </w:style>
  <w:style w:type="character" w:customStyle="1" w:styleId="Nagwek2Znak">
    <w:name w:val="Nagłówek 2 Znak"/>
    <w:basedOn w:val="Domylnaczcionkaakapitu"/>
    <w:link w:val="Nagwek2"/>
    <w:rsid w:val="00E3761E"/>
    <w:rPr>
      <w:rFonts w:ascii="Verdana" w:eastAsia="Times New Roman" w:hAnsi="Verdana"/>
      <w:b/>
    </w:rPr>
  </w:style>
  <w:style w:type="character" w:customStyle="1" w:styleId="Nagwek4Znak">
    <w:name w:val="Nagłówek 4 Znak"/>
    <w:basedOn w:val="Domylnaczcionkaakapitu"/>
    <w:link w:val="Nagwek4"/>
    <w:uiPriority w:val="9"/>
    <w:rsid w:val="00E3761E"/>
    <w:rPr>
      <w:rFonts w:ascii="Verdana" w:eastAsia="Times New Roman" w:hAnsi="Verdana"/>
      <w:b/>
      <w:bCs/>
      <w:szCs w:val="28"/>
    </w:rPr>
  </w:style>
  <w:style w:type="character" w:customStyle="1" w:styleId="Keyword">
    <w:name w:val="Key word"/>
    <w:rsid w:val="00E3761E"/>
    <w:rPr>
      <w:rFonts w:ascii="Franklin Gothic Demi" w:hAnsi="Franklin Gothic Demi"/>
    </w:rPr>
  </w:style>
  <w:style w:type="paragraph" w:customStyle="1" w:styleId="Tekstpodstawowywcity21">
    <w:name w:val="Tekst podstawowy wcięty 21"/>
    <w:basedOn w:val="Normalny"/>
    <w:rsid w:val="00E3761E"/>
    <w:pPr>
      <w:tabs>
        <w:tab w:val="left" w:pos="720"/>
      </w:tabs>
      <w:spacing w:after="120" w:line="240" w:lineRule="auto"/>
      <w:ind w:left="360" w:hanging="360"/>
      <w:jc w:val="both"/>
    </w:pPr>
    <w:rPr>
      <w:rFonts w:ascii="Times New Roman" w:eastAsia="Times New Roman" w:hAnsi="Times New Roman"/>
      <w:b/>
      <w:sz w:val="20"/>
      <w:szCs w:val="20"/>
      <w:lang w:eastAsia="pl-PL"/>
    </w:rPr>
  </w:style>
  <w:style w:type="paragraph" w:styleId="Tekstprzypisudolnego">
    <w:name w:val="footnote text"/>
    <w:basedOn w:val="Normalny"/>
    <w:link w:val="TekstprzypisudolnegoZnak"/>
    <w:uiPriority w:val="99"/>
    <w:unhideWhenUsed/>
    <w:qFormat/>
    <w:rsid w:val="00E3761E"/>
    <w:pPr>
      <w:jc w:val="both"/>
    </w:pPr>
    <w:rPr>
      <w:sz w:val="20"/>
      <w:szCs w:val="20"/>
    </w:rPr>
  </w:style>
  <w:style w:type="character" w:customStyle="1" w:styleId="TekstprzypisudolnegoZnak">
    <w:name w:val="Tekst przypisu dolnego Znak"/>
    <w:basedOn w:val="Domylnaczcionkaakapitu"/>
    <w:link w:val="Tekstprzypisudolnego"/>
    <w:uiPriority w:val="99"/>
    <w:rsid w:val="00E3761E"/>
    <w:rPr>
      <w:lang w:eastAsia="en-US"/>
    </w:rPr>
  </w:style>
  <w:style w:type="paragraph" w:customStyle="1" w:styleId="Akapitzlist1">
    <w:name w:val="Akapit z listą1"/>
    <w:basedOn w:val="Normalny"/>
    <w:rsid w:val="00E3761E"/>
    <w:pPr>
      <w:ind w:left="720"/>
      <w:contextualSpacing/>
      <w:jc w:val="both"/>
    </w:pPr>
    <w:rPr>
      <w:rFonts w:eastAsia="Times New Roman"/>
    </w:rPr>
  </w:style>
  <w:style w:type="paragraph" w:styleId="Tekstpodstawowywcity2">
    <w:name w:val="Body Text Indent 2"/>
    <w:basedOn w:val="Normalny"/>
    <w:link w:val="Tekstpodstawowywcity2Znak"/>
    <w:uiPriority w:val="99"/>
    <w:unhideWhenUsed/>
    <w:rsid w:val="00E3761E"/>
    <w:pPr>
      <w:spacing w:after="120" w:line="480" w:lineRule="auto"/>
      <w:ind w:left="283"/>
      <w:jc w:val="both"/>
    </w:pPr>
    <w:rPr>
      <w:rFonts w:ascii="Verdana" w:eastAsia="Times New Roman" w:hAnsi="Verdana"/>
      <w:sz w:val="20"/>
      <w:szCs w:val="24"/>
      <w:lang w:eastAsia="pl-PL"/>
    </w:rPr>
  </w:style>
  <w:style w:type="character" w:customStyle="1" w:styleId="Tekstpodstawowywcity2Znak">
    <w:name w:val="Tekst podstawowy wcięty 2 Znak"/>
    <w:basedOn w:val="Domylnaczcionkaakapitu"/>
    <w:link w:val="Tekstpodstawowywcity2"/>
    <w:uiPriority w:val="99"/>
    <w:rsid w:val="00E3761E"/>
    <w:rPr>
      <w:rFonts w:ascii="Verdana" w:eastAsia="Times New Roman" w:hAnsi="Verdana"/>
      <w:szCs w:val="24"/>
    </w:rPr>
  </w:style>
  <w:style w:type="paragraph" w:customStyle="1" w:styleId="Tekstpodstawowywcity22">
    <w:name w:val="Tekst podstawowy wcięty 22"/>
    <w:basedOn w:val="Normalny"/>
    <w:rsid w:val="00E3761E"/>
    <w:pPr>
      <w:tabs>
        <w:tab w:val="left" w:pos="720"/>
      </w:tabs>
      <w:spacing w:after="120" w:line="240" w:lineRule="auto"/>
      <w:ind w:left="360" w:hanging="360"/>
      <w:jc w:val="both"/>
    </w:pPr>
    <w:rPr>
      <w:rFonts w:ascii="Times New Roman" w:eastAsia="Times New Roman" w:hAnsi="Times New Roman"/>
      <w:b/>
      <w:sz w:val="20"/>
      <w:szCs w:val="20"/>
      <w:lang w:eastAsia="pl-PL"/>
    </w:rPr>
  </w:style>
  <w:style w:type="paragraph" w:customStyle="1" w:styleId="Tekstpodstawowywcity310">
    <w:name w:val="Tekst podstawowy wci?ty 31"/>
    <w:basedOn w:val="Normalny"/>
    <w:rsid w:val="00E3761E"/>
    <w:pPr>
      <w:tabs>
        <w:tab w:val="left" w:pos="720"/>
      </w:tabs>
      <w:spacing w:after="120" w:line="240" w:lineRule="auto"/>
      <w:ind w:left="360" w:hanging="360"/>
      <w:jc w:val="both"/>
    </w:pPr>
    <w:rPr>
      <w:rFonts w:ascii="Times New Roman" w:eastAsia="Times New Roman" w:hAnsi="Times New Roman"/>
      <w:sz w:val="20"/>
      <w:szCs w:val="20"/>
      <w:lang w:eastAsia="pl-PL"/>
    </w:rPr>
  </w:style>
  <w:style w:type="paragraph" w:customStyle="1" w:styleId="Nagwek10">
    <w:name w:val="Nag?Ńwek 1"/>
    <w:basedOn w:val="Normalny"/>
    <w:next w:val="Normalny"/>
    <w:rsid w:val="00E3761E"/>
    <w:pPr>
      <w:keepNext/>
      <w:spacing w:after="120" w:line="240" w:lineRule="auto"/>
      <w:jc w:val="center"/>
    </w:pPr>
    <w:rPr>
      <w:rFonts w:ascii="Times New Roman" w:eastAsia="Times New Roman" w:hAnsi="Times New Roman"/>
      <w:sz w:val="20"/>
      <w:szCs w:val="20"/>
      <w:lang w:eastAsia="pl-PL"/>
    </w:rPr>
  </w:style>
  <w:style w:type="paragraph" w:styleId="Nagwekspisutreci">
    <w:name w:val="TOC Heading"/>
    <w:basedOn w:val="Nagwek1"/>
    <w:next w:val="Normalny"/>
    <w:uiPriority w:val="39"/>
    <w:semiHidden/>
    <w:unhideWhenUsed/>
    <w:qFormat/>
    <w:rsid w:val="00E3761E"/>
    <w:pPr>
      <w:keepNext/>
      <w:spacing w:before="480"/>
      <w:jc w:val="left"/>
      <w:outlineLvl w:val="9"/>
    </w:pPr>
    <w:rPr>
      <w:rFonts w:ascii="Cambria" w:hAnsi="Cambria"/>
      <w:bCs/>
      <w:color w:val="365F91"/>
      <w:sz w:val="28"/>
      <w:szCs w:val="28"/>
      <w:lang w:eastAsia="en-US"/>
    </w:rPr>
  </w:style>
  <w:style w:type="paragraph" w:styleId="Spistreci1">
    <w:name w:val="toc 1"/>
    <w:basedOn w:val="Normalny"/>
    <w:next w:val="Normalny"/>
    <w:autoRedefine/>
    <w:uiPriority w:val="39"/>
    <w:unhideWhenUsed/>
    <w:qFormat/>
    <w:rsid w:val="00E3761E"/>
    <w:pPr>
      <w:tabs>
        <w:tab w:val="right" w:leader="underscore" w:pos="9061"/>
      </w:tabs>
      <w:spacing w:before="120" w:after="120" w:line="240" w:lineRule="auto"/>
    </w:pPr>
    <w:rPr>
      <w:rFonts w:eastAsia="Times New Roman" w:cs="Calibri"/>
      <w:b/>
      <w:bCs/>
      <w:caps/>
      <w:sz w:val="20"/>
      <w:szCs w:val="20"/>
      <w:lang w:eastAsia="pl-PL"/>
    </w:rPr>
  </w:style>
  <w:style w:type="paragraph" w:styleId="Spistreci2">
    <w:name w:val="toc 2"/>
    <w:basedOn w:val="Normalny"/>
    <w:next w:val="Normalny"/>
    <w:autoRedefine/>
    <w:uiPriority w:val="39"/>
    <w:unhideWhenUsed/>
    <w:qFormat/>
    <w:rsid w:val="00E3761E"/>
    <w:pPr>
      <w:tabs>
        <w:tab w:val="right" w:leader="underscore" w:pos="9061"/>
      </w:tabs>
      <w:spacing w:after="0" w:line="240" w:lineRule="auto"/>
      <w:ind w:left="200"/>
    </w:pPr>
    <w:rPr>
      <w:rFonts w:eastAsia="Times New Roman" w:cs="Calibri"/>
      <w:smallCaps/>
      <w:sz w:val="20"/>
      <w:szCs w:val="20"/>
      <w:lang w:eastAsia="pl-PL"/>
    </w:rPr>
  </w:style>
  <w:style w:type="paragraph" w:styleId="Spistreci3">
    <w:name w:val="toc 3"/>
    <w:basedOn w:val="Normalny"/>
    <w:next w:val="Normalny"/>
    <w:autoRedefine/>
    <w:uiPriority w:val="39"/>
    <w:unhideWhenUsed/>
    <w:qFormat/>
    <w:rsid w:val="00E3761E"/>
    <w:pPr>
      <w:tabs>
        <w:tab w:val="right" w:leader="underscore" w:pos="9061"/>
      </w:tabs>
      <w:spacing w:after="0" w:line="240" w:lineRule="auto"/>
      <w:ind w:left="400"/>
    </w:pPr>
    <w:rPr>
      <w:rFonts w:eastAsia="Times New Roman" w:cs="Calibri"/>
      <w:i/>
      <w:iCs/>
      <w:sz w:val="20"/>
      <w:szCs w:val="20"/>
      <w:lang w:eastAsia="pl-PL"/>
    </w:rPr>
  </w:style>
  <w:style w:type="paragraph" w:styleId="Podtytu">
    <w:name w:val="Subtitle"/>
    <w:basedOn w:val="Normalny"/>
    <w:next w:val="Normalny"/>
    <w:link w:val="PodtytuZnak"/>
    <w:uiPriority w:val="11"/>
    <w:qFormat/>
    <w:rsid w:val="00E3761E"/>
    <w:pPr>
      <w:spacing w:after="60" w:line="240" w:lineRule="auto"/>
      <w:jc w:val="center"/>
      <w:outlineLvl w:val="1"/>
    </w:pPr>
    <w:rPr>
      <w:rFonts w:ascii="Cambria" w:eastAsia="Times New Roman" w:hAnsi="Cambria"/>
      <w:sz w:val="20"/>
      <w:szCs w:val="24"/>
      <w:lang w:eastAsia="pl-PL"/>
    </w:rPr>
  </w:style>
  <w:style w:type="character" w:customStyle="1" w:styleId="PodtytuZnak">
    <w:name w:val="Podtytuł Znak"/>
    <w:basedOn w:val="Domylnaczcionkaakapitu"/>
    <w:link w:val="Podtytu"/>
    <w:uiPriority w:val="11"/>
    <w:rsid w:val="00E3761E"/>
    <w:rPr>
      <w:rFonts w:ascii="Cambria" w:eastAsia="Times New Roman" w:hAnsi="Cambria"/>
      <w:szCs w:val="24"/>
    </w:rPr>
  </w:style>
  <w:style w:type="paragraph" w:styleId="Tytu">
    <w:name w:val="Title"/>
    <w:basedOn w:val="Normalny"/>
    <w:next w:val="Normalny"/>
    <w:link w:val="TytuZnak"/>
    <w:qFormat/>
    <w:rsid w:val="00E3761E"/>
    <w:pPr>
      <w:spacing w:before="240" w:after="60" w:line="240" w:lineRule="auto"/>
      <w:jc w:val="center"/>
      <w:outlineLvl w:val="0"/>
    </w:pPr>
    <w:rPr>
      <w:rFonts w:ascii="Cambria" w:eastAsia="Times New Roman" w:hAnsi="Cambria"/>
      <w:b/>
      <w:bCs/>
      <w:kern w:val="28"/>
      <w:sz w:val="32"/>
      <w:szCs w:val="32"/>
      <w:lang w:eastAsia="pl-PL"/>
    </w:rPr>
  </w:style>
  <w:style w:type="character" w:customStyle="1" w:styleId="TytuZnak">
    <w:name w:val="Tytuł Znak"/>
    <w:basedOn w:val="Domylnaczcionkaakapitu"/>
    <w:link w:val="Tytu"/>
    <w:rsid w:val="00E3761E"/>
    <w:rPr>
      <w:rFonts w:ascii="Cambria" w:eastAsia="Times New Roman" w:hAnsi="Cambria"/>
      <w:b/>
      <w:bCs/>
      <w:kern w:val="28"/>
      <w:sz w:val="32"/>
      <w:szCs w:val="32"/>
    </w:rPr>
  </w:style>
  <w:style w:type="paragraph" w:styleId="Spistreci4">
    <w:name w:val="toc 4"/>
    <w:basedOn w:val="Normalny"/>
    <w:next w:val="Normalny"/>
    <w:autoRedefine/>
    <w:uiPriority w:val="39"/>
    <w:unhideWhenUsed/>
    <w:rsid w:val="00E3761E"/>
    <w:pPr>
      <w:tabs>
        <w:tab w:val="right" w:leader="underscore" w:pos="9061"/>
      </w:tabs>
      <w:spacing w:after="0" w:line="240" w:lineRule="auto"/>
      <w:ind w:left="600"/>
    </w:pPr>
    <w:rPr>
      <w:rFonts w:eastAsia="Times New Roman" w:cs="Calibri"/>
      <w:sz w:val="18"/>
      <w:szCs w:val="18"/>
      <w:lang w:eastAsia="pl-PL"/>
    </w:rPr>
  </w:style>
  <w:style w:type="paragraph" w:styleId="Spistreci5">
    <w:name w:val="toc 5"/>
    <w:basedOn w:val="Normalny"/>
    <w:next w:val="Normalny"/>
    <w:autoRedefine/>
    <w:uiPriority w:val="39"/>
    <w:unhideWhenUsed/>
    <w:rsid w:val="00E3761E"/>
    <w:pPr>
      <w:spacing w:after="0" w:line="240" w:lineRule="auto"/>
      <w:ind w:left="800"/>
    </w:pPr>
    <w:rPr>
      <w:rFonts w:eastAsia="Times New Roman" w:cs="Calibri"/>
      <w:sz w:val="18"/>
      <w:szCs w:val="18"/>
      <w:lang w:eastAsia="pl-PL"/>
    </w:rPr>
  </w:style>
  <w:style w:type="paragraph" w:styleId="Spistreci6">
    <w:name w:val="toc 6"/>
    <w:basedOn w:val="Normalny"/>
    <w:next w:val="Normalny"/>
    <w:autoRedefine/>
    <w:uiPriority w:val="39"/>
    <w:unhideWhenUsed/>
    <w:rsid w:val="00E3761E"/>
    <w:pPr>
      <w:spacing w:after="0" w:line="240" w:lineRule="auto"/>
      <w:ind w:left="1000"/>
    </w:pPr>
    <w:rPr>
      <w:rFonts w:eastAsia="Times New Roman" w:cs="Calibri"/>
      <w:sz w:val="18"/>
      <w:szCs w:val="18"/>
      <w:lang w:eastAsia="pl-PL"/>
    </w:rPr>
  </w:style>
  <w:style w:type="paragraph" w:styleId="Spistreci7">
    <w:name w:val="toc 7"/>
    <w:basedOn w:val="Normalny"/>
    <w:next w:val="Normalny"/>
    <w:autoRedefine/>
    <w:uiPriority w:val="39"/>
    <w:unhideWhenUsed/>
    <w:rsid w:val="00E3761E"/>
    <w:pPr>
      <w:spacing w:after="0" w:line="240" w:lineRule="auto"/>
      <w:ind w:left="1200"/>
    </w:pPr>
    <w:rPr>
      <w:rFonts w:eastAsia="Times New Roman" w:cs="Calibri"/>
      <w:sz w:val="18"/>
      <w:szCs w:val="18"/>
      <w:lang w:eastAsia="pl-PL"/>
    </w:rPr>
  </w:style>
  <w:style w:type="paragraph" w:styleId="Spistreci8">
    <w:name w:val="toc 8"/>
    <w:basedOn w:val="Normalny"/>
    <w:next w:val="Normalny"/>
    <w:autoRedefine/>
    <w:uiPriority w:val="39"/>
    <w:unhideWhenUsed/>
    <w:rsid w:val="00E3761E"/>
    <w:pPr>
      <w:spacing w:after="0" w:line="240" w:lineRule="auto"/>
      <w:ind w:left="1400"/>
    </w:pPr>
    <w:rPr>
      <w:rFonts w:eastAsia="Times New Roman" w:cs="Calibri"/>
      <w:sz w:val="18"/>
      <w:szCs w:val="18"/>
      <w:lang w:eastAsia="pl-PL"/>
    </w:rPr>
  </w:style>
  <w:style w:type="paragraph" w:styleId="Spistreci9">
    <w:name w:val="toc 9"/>
    <w:basedOn w:val="Normalny"/>
    <w:next w:val="Normalny"/>
    <w:autoRedefine/>
    <w:uiPriority w:val="39"/>
    <w:unhideWhenUsed/>
    <w:rsid w:val="00E3761E"/>
    <w:pPr>
      <w:spacing w:after="0" w:line="240" w:lineRule="auto"/>
      <w:ind w:left="1600"/>
    </w:pPr>
    <w:rPr>
      <w:rFonts w:eastAsia="Times New Roman" w:cs="Calibri"/>
      <w:sz w:val="18"/>
      <w:szCs w:val="18"/>
      <w:lang w:eastAsia="pl-PL"/>
    </w:rPr>
  </w:style>
  <w:style w:type="paragraph" w:styleId="Legenda">
    <w:name w:val="caption"/>
    <w:basedOn w:val="Normalny"/>
    <w:next w:val="Normalny"/>
    <w:qFormat/>
    <w:rsid w:val="00E3761E"/>
    <w:pPr>
      <w:keepNext/>
      <w:keepLines/>
      <w:spacing w:before="120" w:after="120" w:line="240" w:lineRule="auto"/>
      <w:ind w:left="1134"/>
      <w:jc w:val="center"/>
    </w:pPr>
    <w:rPr>
      <w:rFonts w:ascii="Franklin Gothic Book" w:eastAsia="Times New Roman" w:hAnsi="Franklin Gothic Book"/>
      <w:bCs/>
      <w:i/>
      <w:color w:val="616365"/>
      <w:sz w:val="20"/>
      <w:szCs w:val="20"/>
      <w:lang w:val="en-US" w:eastAsia="fr-FR"/>
    </w:rPr>
  </w:style>
  <w:style w:type="paragraph" w:customStyle="1" w:styleId="Listlevel1">
    <w:name w:val="List level 1"/>
    <w:basedOn w:val="Normalny"/>
    <w:link w:val="Listlevel1Car"/>
    <w:rsid w:val="00E3761E"/>
    <w:pPr>
      <w:keepLines/>
      <w:numPr>
        <w:numId w:val="5"/>
      </w:numPr>
      <w:spacing w:after="60" w:line="240" w:lineRule="auto"/>
      <w:jc w:val="both"/>
    </w:pPr>
    <w:rPr>
      <w:rFonts w:ascii="Franklin Gothic Book" w:eastAsia="Times New Roman" w:hAnsi="Franklin Gothic Book"/>
      <w:sz w:val="20"/>
      <w:szCs w:val="24"/>
      <w:lang w:val="en-US" w:eastAsia="fr-FR"/>
    </w:rPr>
  </w:style>
  <w:style w:type="character" w:customStyle="1" w:styleId="Listlevel1Car">
    <w:name w:val="List level 1 Car"/>
    <w:link w:val="Listlevel1"/>
    <w:rsid w:val="00E3761E"/>
    <w:rPr>
      <w:rFonts w:ascii="Franklin Gothic Book" w:eastAsia="Times New Roman" w:hAnsi="Franklin Gothic Book"/>
      <w:szCs w:val="24"/>
      <w:lang w:val="en-US" w:eastAsia="fr-FR"/>
    </w:rPr>
  </w:style>
  <w:style w:type="paragraph" w:customStyle="1" w:styleId="1">
    <w:name w:val="1"/>
    <w:basedOn w:val="Normalny"/>
    <w:next w:val="Mapadokumentu"/>
    <w:link w:val="PlandokumentuZnak"/>
    <w:uiPriority w:val="99"/>
    <w:unhideWhenUsed/>
    <w:rsid w:val="00E3761E"/>
    <w:pPr>
      <w:spacing w:after="120" w:line="240" w:lineRule="auto"/>
      <w:jc w:val="both"/>
    </w:pPr>
    <w:rPr>
      <w:rFonts w:ascii="Tahoma" w:eastAsia="Times New Roman" w:hAnsi="Tahoma" w:cs="Tahoma"/>
      <w:sz w:val="16"/>
      <w:szCs w:val="16"/>
    </w:rPr>
  </w:style>
  <w:style w:type="character" w:customStyle="1" w:styleId="PlandokumentuZnak">
    <w:name w:val="Plan dokumentu Znak"/>
    <w:link w:val="1"/>
    <w:uiPriority w:val="99"/>
    <w:rsid w:val="00E3761E"/>
    <w:rPr>
      <w:rFonts w:ascii="Tahoma" w:eastAsia="Times New Roman" w:hAnsi="Tahoma" w:cs="Tahoma"/>
      <w:sz w:val="16"/>
      <w:szCs w:val="16"/>
      <w:lang w:eastAsia="en-US"/>
    </w:rPr>
  </w:style>
  <w:style w:type="paragraph" w:customStyle="1" w:styleId="Tekstpodstawowywcity3">
    <w:name w:val="Tekst podstawowy wci?ty 3"/>
    <w:basedOn w:val="Normalny"/>
    <w:rsid w:val="00E3761E"/>
    <w:pPr>
      <w:spacing w:after="120" w:line="240" w:lineRule="auto"/>
      <w:ind w:firstLine="360"/>
      <w:jc w:val="both"/>
    </w:pPr>
    <w:rPr>
      <w:rFonts w:ascii="Verdana" w:eastAsia="Times New Roman" w:hAnsi="Verdana"/>
      <w:sz w:val="20"/>
      <w:szCs w:val="20"/>
      <w:lang w:eastAsia="pl-PL"/>
    </w:rPr>
  </w:style>
  <w:style w:type="paragraph" w:customStyle="1" w:styleId="Tekstpodstawowy22">
    <w:name w:val="Tekst podstawowy 22"/>
    <w:basedOn w:val="Normalny"/>
    <w:rsid w:val="00E3761E"/>
    <w:pPr>
      <w:spacing w:after="0" w:line="240" w:lineRule="auto"/>
      <w:jc w:val="both"/>
    </w:pPr>
    <w:rPr>
      <w:rFonts w:ascii="Times New Roman" w:eastAsia="Times New Roman" w:hAnsi="Times New Roman"/>
      <w:sz w:val="24"/>
      <w:szCs w:val="20"/>
      <w:lang w:eastAsia="pl-PL"/>
    </w:rPr>
  </w:style>
  <w:style w:type="paragraph" w:customStyle="1" w:styleId="Tekstpodstawowywcity23">
    <w:name w:val="Tekst podstawowy wcięty 23"/>
    <w:basedOn w:val="Normalny"/>
    <w:rsid w:val="00E3761E"/>
    <w:pPr>
      <w:tabs>
        <w:tab w:val="left" w:pos="720"/>
      </w:tabs>
      <w:spacing w:after="0" w:line="240" w:lineRule="auto"/>
      <w:ind w:left="360" w:hanging="360"/>
      <w:jc w:val="both"/>
    </w:pPr>
    <w:rPr>
      <w:rFonts w:ascii="Times New Roman" w:eastAsia="Times New Roman" w:hAnsi="Times New Roman"/>
      <w:b/>
      <w:sz w:val="24"/>
      <w:szCs w:val="20"/>
      <w:lang w:eastAsia="pl-PL"/>
    </w:rPr>
  </w:style>
  <w:style w:type="paragraph" w:customStyle="1" w:styleId="Tytu0">
    <w:name w:val="Tytu?"/>
    <w:basedOn w:val="Normalny"/>
    <w:rsid w:val="00E3761E"/>
    <w:pPr>
      <w:tabs>
        <w:tab w:val="left" w:pos="720"/>
      </w:tabs>
      <w:spacing w:after="0" w:line="240" w:lineRule="auto"/>
      <w:jc w:val="center"/>
    </w:pPr>
    <w:rPr>
      <w:rFonts w:ascii="Times New Roman" w:eastAsia="Times New Roman" w:hAnsi="Times New Roman"/>
      <w:b/>
      <w:sz w:val="24"/>
      <w:szCs w:val="20"/>
      <w:lang w:eastAsia="pl-PL"/>
    </w:rPr>
  </w:style>
  <w:style w:type="paragraph" w:styleId="Tekstpodstawowywcity30">
    <w:name w:val="Body Text Indent 3"/>
    <w:basedOn w:val="Normalny"/>
    <w:link w:val="Tekstpodstawowywcity3Znak"/>
    <w:uiPriority w:val="99"/>
    <w:semiHidden/>
    <w:unhideWhenUsed/>
    <w:rsid w:val="00E3761E"/>
    <w:pPr>
      <w:spacing w:after="120" w:line="240" w:lineRule="auto"/>
      <w:ind w:left="283"/>
      <w:jc w:val="both"/>
    </w:pPr>
    <w:rPr>
      <w:rFonts w:ascii="Verdana" w:eastAsia="Times New Roman" w:hAnsi="Verdana"/>
      <w:sz w:val="16"/>
      <w:szCs w:val="16"/>
      <w:lang w:eastAsia="pl-PL"/>
    </w:rPr>
  </w:style>
  <w:style w:type="character" w:customStyle="1" w:styleId="Tekstpodstawowywcity3Znak">
    <w:name w:val="Tekst podstawowy wcięty 3 Znak"/>
    <w:basedOn w:val="Domylnaczcionkaakapitu"/>
    <w:link w:val="Tekstpodstawowywcity30"/>
    <w:uiPriority w:val="99"/>
    <w:semiHidden/>
    <w:rsid w:val="00E3761E"/>
    <w:rPr>
      <w:rFonts w:ascii="Verdana" w:eastAsia="Times New Roman" w:hAnsi="Verdana"/>
      <w:sz w:val="16"/>
      <w:szCs w:val="16"/>
    </w:rPr>
  </w:style>
  <w:style w:type="character" w:styleId="Numerstrony">
    <w:name w:val="page number"/>
    <w:rsid w:val="00E3761E"/>
  </w:style>
  <w:style w:type="character" w:styleId="Odwoanieprzypisudolnego">
    <w:name w:val="footnote reference"/>
    <w:rsid w:val="00E3761E"/>
    <w:rPr>
      <w:rFonts w:cs="Arial"/>
      <w:i/>
      <w:szCs w:val="20"/>
      <w:vertAlign w:val="superscript"/>
    </w:rPr>
  </w:style>
  <w:style w:type="paragraph" w:styleId="Cytat">
    <w:name w:val="Quote"/>
    <w:basedOn w:val="Normalny"/>
    <w:next w:val="Normalny"/>
    <w:link w:val="CytatZnak"/>
    <w:uiPriority w:val="29"/>
    <w:qFormat/>
    <w:rsid w:val="00E3761E"/>
    <w:pPr>
      <w:spacing w:before="200" w:after="0" w:line="360" w:lineRule="auto"/>
      <w:ind w:left="360" w:right="360"/>
      <w:jc w:val="both"/>
    </w:pPr>
    <w:rPr>
      <w:rFonts w:ascii="Verdana" w:eastAsia="MS Mincho" w:hAnsi="Verdana"/>
      <w:i/>
      <w:iCs/>
      <w:sz w:val="20"/>
    </w:rPr>
  </w:style>
  <w:style w:type="character" w:customStyle="1" w:styleId="CytatZnak">
    <w:name w:val="Cytat Znak"/>
    <w:basedOn w:val="Domylnaczcionkaakapitu"/>
    <w:link w:val="Cytat"/>
    <w:uiPriority w:val="29"/>
    <w:rsid w:val="00E3761E"/>
    <w:rPr>
      <w:rFonts w:ascii="Verdana" w:eastAsia="MS Mincho" w:hAnsi="Verdana"/>
      <w:i/>
      <w:iCs/>
      <w:szCs w:val="22"/>
      <w:lang w:eastAsia="en-US"/>
    </w:rPr>
  </w:style>
  <w:style w:type="character" w:styleId="UyteHipercze">
    <w:name w:val="FollowedHyperlink"/>
    <w:uiPriority w:val="99"/>
    <w:semiHidden/>
    <w:unhideWhenUsed/>
    <w:rsid w:val="00E3761E"/>
    <w:rPr>
      <w:color w:val="954F72"/>
      <w:u w:val="single"/>
    </w:rPr>
  </w:style>
  <w:style w:type="character" w:styleId="Uwydatnienie">
    <w:name w:val="Emphasis"/>
    <w:uiPriority w:val="20"/>
    <w:qFormat/>
    <w:rsid w:val="00E3761E"/>
    <w:rPr>
      <w:i/>
      <w:iCs/>
    </w:rPr>
  </w:style>
  <w:style w:type="paragraph" w:customStyle="1" w:styleId="default0">
    <w:name w:val="default"/>
    <w:basedOn w:val="Normalny"/>
    <w:rsid w:val="00E3761E"/>
    <w:pPr>
      <w:autoSpaceDE w:val="0"/>
      <w:autoSpaceDN w:val="0"/>
      <w:spacing w:after="0" w:line="240" w:lineRule="auto"/>
    </w:pPr>
    <w:rPr>
      <w:rFonts w:ascii="Verdana" w:hAnsi="Verdana"/>
      <w:color w:val="000000"/>
      <w:sz w:val="24"/>
      <w:szCs w:val="24"/>
      <w:lang w:eastAsia="pl-PL"/>
    </w:rPr>
  </w:style>
  <w:style w:type="paragraph" w:styleId="Mapadokumentu">
    <w:name w:val="Document Map"/>
    <w:basedOn w:val="Normalny"/>
    <w:link w:val="MapadokumentuZnak"/>
    <w:uiPriority w:val="99"/>
    <w:semiHidden/>
    <w:unhideWhenUsed/>
    <w:rsid w:val="00E3761E"/>
    <w:pPr>
      <w:spacing w:after="0" w:line="240" w:lineRule="auto"/>
      <w:jc w:val="both"/>
    </w:pPr>
    <w:rPr>
      <w:rFonts w:ascii="Segoe UI" w:eastAsia="Times New Roman" w:hAnsi="Segoe UI" w:cs="Segoe UI"/>
      <w:sz w:val="16"/>
      <w:szCs w:val="16"/>
      <w:lang w:eastAsia="pl-PL"/>
    </w:rPr>
  </w:style>
  <w:style w:type="character" w:customStyle="1" w:styleId="MapadokumentuZnak">
    <w:name w:val="Mapa dokumentu Znak"/>
    <w:basedOn w:val="Domylnaczcionkaakapitu"/>
    <w:link w:val="Mapadokumentu"/>
    <w:uiPriority w:val="99"/>
    <w:semiHidden/>
    <w:rsid w:val="00E3761E"/>
    <w:rPr>
      <w:rFonts w:ascii="Segoe UI" w:eastAsia="Times New Roman" w:hAnsi="Segoe UI" w:cs="Segoe UI"/>
      <w:sz w:val="16"/>
      <w:szCs w:val="16"/>
    </w:rPr>
  </w:style>
  <w:style w:type="table" w:customStyle="1" w:styleId="TableGrid">
    <w:name w:val="TableGrid"/>
    <w:rsid w:val="00E3761E"/>
    <w:rPr>
      <w:rFonts w:eastAsia="Times New Roman"/>
      <w:sz w:val="22"/>
      <w:szCs w:val="22"/>
    </w:rPr>
    <w:tblPr>
      <w:tblCellMar>
        <w:top w:w="0" w:type="dxa"/>
        <w:left w:w="0" w:type="dxa"/>
        <w:bottom w:w="0" w:type="dxa"/>
        <w:right w:w="0" w:type="dxa"/>
      </w:tblCellMar>
    </w:tblPr>
  </w:style>
  <w:style w:type="paragraph" w:customStyle="1" w:styleId="wText1">
    <w:name w:val="wText_1"/>
    <w:link w:val="wTextChar"/>
    <w:uiPriority w:val="2"/>
    <w:qFormat/>
    <w:rsid w:val="00E3761E"/>
    <w:pPr>
      <w:spacing w:after="180"/>
      <w:jc w:val="both"/>
    </w:pPr>
    <w:rPr>
      <w:rFonts w:ascii="Calibri Light" w:eastAsia="MS Mincho" w:hAnsi="Calibri Light" w:cs="Calibri Light"/>
      <w:szCs w:val="22"/>
      <w:lang w:eastAsia="en-US"/>
    </w:rPr>
  </w:style>
  <w:style w:type="character" w:customStyle="1" w:styleId="wTextChar">
    <w:name w:val="wText Char"/>
    <w:link w:val="wText1"/>
    <w:uiPriority w:val="2"/>
    <w:rsid w:val="00E3761E"/>
    <w:rPr>
      <w:rFonts w:ascii="Calibri Light" w:eastAsia="MS Mincho" w:hAnsi="Calibri Light" w:cs="Calibri Light"/>
      <w:szCs w:val="22"/>
      <w:lang w:eastAsia="en-US"/>
    </w:rPr>
  </w:style>
  <w:style w:type="character" w:styleId="Nierozpoznanawzmianka">
    <w:name w:val="Unresolved Mention"/>
    <w:uiPriority w:val="99"/>
    <w:semiHidden/>
    <w:unhideWhenUsed/>
    <w:rsid w:val="00E3761E"/>
    <w:rPr>
      <w:color w:val="605E5C"/>
      <w:shd w:val="clear" w:color="auto" w:fill="E1DFDD"/>
    </w:rPr>
  </w:style>
  <w:style w:type="character" w:customStyle="1" w:styleId="ui-provider">
    <w:name w:val="ui-provider"/>
    <w:basedOn w:val="Domylnaczcionkaakapitu"/>
    <w:rsid w:val="00E3761E"/>
  </w:style>
  <w:style w:type="paragraph" w:styleId="Cytatintensywny">
    <w:name w:val="Intense Quote"/>
    <w:basedOn w:val="Normalny"/>
    <w:next w:val="Normalny"/>
    <w:link w:val="CytatintensywnyZnak"/>
    <w:uiPriority w:val="30"/>
    <w:qFormat/>
    <w:rsid w:val="00E3761E"/>
    <w:pPr>
      <w:pBdr>
        <w:top w:val="single" w:sz="4" w:space="10" w:color="0F4761"/>
        <w:bottom w:val="single" w:sz="4" w:space="10" w:color="0F4761"/>
      </w:pBdr>
      <w:spacing w:before="360" w:after="360" w:line="240" w:lineRule="auto"/>
      <w:ind w:left="864" w:right="864"/>
      <w:jc w:val="center"/>
    </w:pPr>
    <w:rPr>
      <w:rFonts w:ascii="Verdana" w:eastAsia="Times New Roman" w:hAnsi="Verdana"/>
      <w:i/>
      <w:iCs/>
      <w:color w:val="0F4761"/>
      <w:sz w:val="20"/>
      <w:szCs w:val="24"/>
      <w:lang w:eastAsia="pl-PL"/>
    </w:rPr>
  </w:style>
  <w:style w:type="character" w:customStyle="1" w:styleId="CytatintensywnyZnak">
    <w:name w:val="Cytat intensywny Znak"/>
    <w:basedOn w:val="Domylnaczcionkaakapitu"/>
    <w:link w:val="Cytatintensywny"/>
    <w:uiPriority w:val="30"/>
    <w:rsid w:val="00E3761E"/>
    <w:rPr>
      <w:rFonts w:ascii="Verdana" w:eastAsia="Times New Roman" w:hAnsi="Verdana"/>
      <w:i/>
      <w:iCs/>
      <w:color w:val="0F4761"/>
      <w:szCs w:val="24"/>
    </w:rPr>
  </w:style>
  <w:style w:type="character" w:customStyle="1" w:styleId="Nagwek1Znak1">
    <w:name w:val="Nagłówek 1 Znak1"/>
    <w:rsid w:val="00E3761E"/>
    <w:rPr>
      <w:rFonts w:ascii="Verdana" w:eastAsia="Times New Roman" w:hAnsi="Verdana"/>
      <w:b/>
      <w:bCs/>
      <w:kern w:val="32"/>
      <w:szCs w:val="32"/>
    </w:rPr>
  </w:style>
  <w:style w:type="paragraph" w:styleId="Indeks1">
    <w:name w:val="index 1"/>
    <w:basedOn w:val="Normalny"/>
    <w:next w:val="Normalny"/>
    <w:autoRedefine/>
    <w:uiPriority w:val="99"/>
    <w:semiHidden/>
    <w:unhideWhenUsed/>
    <w:rsid w:val="00E3761E"/>
    <w:pPr>
      <w:spacing w:after="120" w:line="240" w:lineRule="auto"/>
      <w:ind w:left="200" w:hanging="200"/>
      <w:jc w:val="both"/>
    </w:pPr>
    <w:rPr>
      <w:rFonts w:ascii="Verdana" w:eastAsia="Times New Roman" w:hAnsi="Verdana"/>
      <w:sz w:val="20"/>
      <w:szCs w:val="24"/>
      <w:lang w:eastAsia="pl-PL"/>
    </w:rPr>
  </w:style>
  <w:style w:type="table" w:styleId="Tabelasiatki1jasnaakcent1">
    <w:name w:val="Grid Table 1 Light Accent 1"/>
    <w:basedOn w:val="Standardowy"/>
    <w:uiPriority w:val="46"/>
    <w:rsid w:val="00E3761E"/>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Nagwek2Znak1">
    <w:name w:val="Nagłówek 2 Znak1"/>
    <w:rsid w:val="00E3761E"/>
    <w:rPr>
      <w:rFonts w:ascii="Verdana" w:eastAsia="Times New Roman" w:hAnsi="Verdana"/>
      <w:b/>
      <w:bCs/>
      <w:iCs/>
      <w:szCs w:val="28"/>
    </w:rPr>
  </w:style>
  <w:style w:type="character" w:customStyle="1" w:styleId="Nagwek3Znak1">
    <w:name w:val="Nagłówek 3 Znak1"/>
    <w:uiPriority w:val="9"/>
    <w:rsid w:val="00E3761E"/>
    <w:rPr>
      <w:rFonts w:ascii="Verdana" w:eastAsia="Times New Roman" w:hAnsi="Verdana"/>
      <w:b/>
      <w:bCs/>
      <w:szCs w:val="26"/>
    </w:rPr>
  </w:style>
  <w:style w:type="numbering" w:customStyle="1" w:styleId="Styl1">
    <w:name w:val="Styl1"/>
    <w:uiPriority w:val="99"/>
    <w:rsid w:val="00E3761E"/>
    <w:pPr>
      <w:numPr>
        <w:numId w:val="8"/>
      </w:numPr>
    </w:pPr>
  </w:style>
  <w:style w:type="numbering" w:customStyle="1" w:styleId="Styl2">
    <w:name w:val="Styl2"/>
    <w:uiPriority w:val="99"/>
    <w:rsid w:val="00E3761E"/>
    <w:pPr>
      <w:numPr>
        <w:numId w:val="9"/>
      </w:numPr>
    </w:pPr>
  </w:style>
  <w:style w:type="paragraph" w:customStyle="1" w:styleId="Tekstpodstawowy23">
    <w:name w:val="Tekst podstawowy 23"/>
    <w:basedOn w:val="Normalny"/>
    <w:rsid w:val="00B878C0"/>
    <w:pPr>
      <w:spacing w:after="0" w:line="240" w:lineRule="auto"/>
      <w:jc w:val="both"/>
    </w:pPr>
    <w:rPr>
      <w:rFonts w:ascii="Times New Roman" w:eastAsia="Times New Roman" w:hAnsi="Times New Roman"/>
      <w:sz w:val="24"/>
      <w:szCs w:val="20"/>
      <w:lang w:eastAsia="pl-PL"/>
    </w:rPr>
  </w:style>
  <w:style w:type="paragraph" w:customStyle="1" w:styleId="Tekstpodstawowywcity24">
    <w:name w:val="Tekst podstawowy wcięty 24"/>
    <w:basedOn w:val="Normalny"/>
    <w:rsid w:val="00B878C0"/>
    <w:pPr>
      <w:tabs>
        <w:tab w:val="left" w:pos="720"/>
      </w:tabs>
      <w:spacing w:after="0" w:line="240" w:lineRule="auto"/>
      <w:ind w:left="360" w:hanging="360"/>
      <w:jc w:val="both"/>
    </w:pPr>
    <w:rPr>
      <w:rFonts w:ascii="Times New Roman" w:eastAsia="Times New Roman" w:hAnsi="Times New Roman"/>
      <w:b/>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77681">
      <w:bodyDiv w:val="1"/>
      <w:marLeft w:val="0"/>
      <w:marRight w:val="0"/>
      <w:marTop w:val="0"/>
      <w:marBottom w:val="0"/>
      <w:divBdr>
        <w:top w:val="none" w:sz="0" w:space="0" w:color="auto"/>
        <w:left w:val="none" w:sz="0" w:space="0" w:color="auto"/>
        <w:bottom w:val="none" w:sz="0" w:space="0" w:color="auto"/>
        <w:right w:val="none" w:sz="0" w:space="0" w:color="auto"/>
      </w:divBdr>
    </w:div>
    <w:div w:id="429930291">
      <w:bodyDiv w:val="1"/>
      <w:marLeft w:val="0"/>
      <w:marRight w:val="0"/>
      <w:marTop w:val="0"/>
      <w:marBottom w:val="0"/>
      <w:divBdr>
        <w:top w:val="none" w:sz="0" w:space="0" w:color="auto"/>
        <w:left w:val="none" w:sz="0" w:space="0" w:color="auto"/>
        <w:bottom w:val="none" w:sz="0" w:space="0" w:color="auto"/>
        <w:right w:val="none" w:sz="0" w:space="0" w:color="auto"/>
      </w:divBdr>
    </w:div>
    <w:div w:id="919562704">
      <w:bodyDiv w:val="1"/>
      <w:marLeft w:val="0"/>
      <w:marRight w:val="0"/>
      <w:marTop w:val="0"/>
      <w:marBottom w:val="0"/>
      <w:divBdr>
        <w:top w:val="none" w:sz="0" w:space="0" w:color="auto"/>
        <w:left w:val="none" w:sz="0" w:space="0" w:color="auto"/>
        <w:bottom w:val="none" w:sz="0" w:space="0" w:color="auto"/>
        <w:right w:val="none" w:sz="0" w:space="0" w:color="auto"/>
      </w:divBdr>
    </w:div>
    <w:div w:id="209311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9.wmf"/><Relationship Id="rId3" Type="http://schemas.openxmlformats.org/officeDocument/2006/relationships/numbering" Target="numbering.xml"/><Relationship Id="rId21" Type="http://schemas.openxmlformats.org/officeDocument/2006/relationships/oleObject" Target="embeddings/oleObject7.bin"/><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9.bin"/><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8.wmf"/><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8.bin"/><Relationship Id="rId28" Type="http://schemas.openxmlformats.org/officeDocument/2006/relationships/image" Target="media/image10.wmf"/><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7.wmf"/><Relationship Id="rId27" Type="http://schemas.openxmlformats.org/officeDocument/2006/relationships/oleObject" Target="embeddings/oleObject10.bin"/><Relationship Id="rId30" Type="http://schemas.openxmlformats.org/officeDocument/2006/relationships/footer" Target="footer1.xml"/><Relationship Id="rId8"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12.jpeg"/></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9263484a-4811-448b-b935-4ccfcdbbdeea" origin="userSelected">
  <element uid="697367d0-0d11-4d4e-80a2-256155fcabe6" value=""/>
  <element uid="d9569de3-fae5-4e2d-a5c1-e0a5a3c84173" value=""/>
</sisl>
</file>

<file path=customXml/itemProps1.xml><?xml version="1.0" encoding="utf-8"?>
<ds:datastoreItem xmlns:ds="http://schemas.openxmlformats.org/officeDocument/2006/customXml" ds:itemID="{C3665123-155D-4FF6-BF15-D140AFDCC08C}">
  <ds:schemaRefs>
    <ds:schemaRef ds:uri="http://schemas.openxmlformats.org/officeDocument/2006/bibliography"/>
  </ds:schemaRefs>
</ds:datastoreItem>
</file>

<file path=customXml/itemProps2.xml><?xml version="1.0" encoding="utf-8"?>
<ds:datastoreItem xmlns:ds="http://schemas.openxmlformats.org/officeDocument/2006/customXml" ds:itemID="{2B532EC1-0831-4500-8C20-66AB3AF5F0A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109</Pages>
  <Words>21537</Words>
  <Characters>129223</Characters>
  <Application>Microsoft Office Word</Application>
  <DocSecurity>0</DocSecurity>
  <Lines>1076</Lines>
  <Paragraphs>300</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150460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#Kategoria: [Wewnętrzne/Nie zawiera danych osobowych]# </cp:keywords>
  <cp:lastModifiedBy>Leszczyńska-Toboła Jolanta</cp:lastModifiedBy>
  <cp:revision>4</cp:revision>
  <cp:lastPrinted>2025-03-27T09:02:00Z</cp:lastPrinted>
  <dcterms:created xsi:type="dcterms:W3CDTF">2025-06-04T15:27:00Z</dcterms:created>
  <dcterms:modified xsi:type="dcterms:W3CDTF">2025-06-05T10:00:00Z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1c17f25a-4fc5-4bda-9fe5-1ae13e501498</vt:lpwstr>
  </property>
  <property fmtid="{D5CDD505-2E9C-101B-9397-08002B2CF9AE}" pid="3" name="bjSaver">
    <vt:lpwstr>t0PFlb9CW86Ufg8kSl1ZTJSZJlnWJbVj</vt:lpwstr>
  </property>
  <property fmtid="{D5CDD505-2E9C-101B-9397-08002B2CF9AE}" pid="4" name="bjDocumentLabelXML">
    <vt:lpwstr>&lt;?xml version="1.0" encoding="us-ascii"?&gt;&lt;sisl xmlns:xsd="http://www.w3.org/2001/XMLSchema" xmlns:xsi="http://www.w3.org/2001/XMLSchema-instance" sislVersion="0" policy="9263484a-4811-448b-b935-4ccfcdbbdeea" origin="userSelected" xmlns="http://www.boldonj</vt:lpwstr>
  </property>
  <property fmtid="{D5CDD505-2E9C-101B-9397-08002B2CF9AE}" pid="5" name="bjDocumentLabelXML-0">
    <vt:lpwstr>ames.com/2008/01/sie/internal/label"&gt;&lt;element uid="697367d0-0d11-4d4e-80a2-256155fcabe6" value="" /&gt;&lt;element uid="d9569de3-fae5-4e2d-a5c1-e0a5a3c84173" value="" /&gt;&lt;/sisl&gt;</vt:lpwstr>
  </property>
  <property fmtid="{D5CDD505-2E9C-101B-9397-08002B2CF9AE}" pid="6" name="bjDocumentSecurityLabel">
    <vt:lpwstr>Kategoria: Wewnętrzne/Nie zawiera danych osobowych</vt:lpwstr>
  </property>
</Properties>
</file>