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104C" w14:textId="77777777" w:rsidR="0045488A" w:rsidRPr="00162D97" w:rsidRDefault="0045488A" w:rsidP="008F2C31">
      <w:pPr>
        <w:spacing w:after="0" w:line="360" w:lineRule="auto"/>
        <w:jc w:val="center"/>
        <w:outlineLvl w:val="0"/>
        <w:rPr>
          <w:rFonts w:ascii="Verdana" w:hAnsi="Verdana"/>
          <w:sz w:val="20"/>
          <w:szCs w:val="20"/>
        </w:rPr>
      </w:pPr>
    </w:p>
    <w:p w14:paraId="18365014" w14:textId="77777777" w:rsidR="00AB1739" w:rsidRDefault="003624D0" w:rsidP="00AB1739">
      <w:pPr>
        <w:spacing w:after="0" w:line="360" w:lineRule="auto"/>
        <w:jc w:val="center"/>
        <w:outlineLvl w:val="0"/>
        <w:rPr>
          <w:rFonts w:ascii="Verdana" w:hAnsi="Verdana"/>
          <w:sz w:val="20"/>
          <w:szCs w:val="20"/>
        </w:rPr>
      </w:pPr>
      <w:r w:rsidRPr="001652A1">
        <w:rPr>
          <w:rFonts w:ascii="Verdana" w:hAnsi="Verdana"/>
          <w:sz w:val="20"/>
          <w:szCs w:val="20"/>
        </w:rPr>
        <w:t xml:space="preserve">Uchwała Nr </w:t>
      </w:r>
      <w:r w:rsidR="00AB1739" w:rsidRPr="00B536AA">
        <w:rPr>
          <w:rFonts w:ascii="Verdana" w:hAnsi="Verdana"/>
          <w:sz w:val="20"/>
          <w:szCs w:val="20"/>
        </w:rPr>
        <w:t xml:space="preserve">20/2239/2025 </w:t>
      </w:r>
    </w:p>
    <w:p w14:paraId="3CFCEC3F" w14:textId="4C0FE0F7" w:rsidR="003624D0" w:rsidRPr="001652A1" w:rsidRDefault="003624D0" w:rsidP="00AB1739">
      <w:pPr>
        <w:spacing w:after="0" w:line="360" w:lineRule="auto"/>
        <w:jc w:val="center"/>
        <w:outlineLvl w:val="0"/>
        <w:rPr>
          <w:rFonts w:ascii="Verdana" w:hAnsi="Verdana"/>
          <w:sz w:val="20"/>
          <w:szCs w:val="20"/>
        </w:rPr>
      </w:pPr>
      <w:r w:rsidRPr="001652A1">
        <w:rPr>
          <w:rFonts w:ascii="Verdana" w:hAnsi="Verdana"/>
          <w:sz w:val="20"/>
          <w:szCs w:val="20"/>
        </w:rPr>
        <w:t>Rady Nadzorczej Giełdy Papierów Wartościowych w Warszawie S.A.</w:t>
      </w:r>
    </w:p>
    <w:p w14:paraId="4E000CB8" w14:textId="62B0BB35" w:rsidR="003624D0" w:rsidRPr="001652A1" w:rsidRDefault="003624D0" w:rsidP="00AB1739">
      <w:pPr>
        <w:spacing w:after="120" w:line="360" w:lineRule="auto"/>
        <w:jc w:val="center"/>
        <w:rPr>
          <w:rFonts w:ascii="Verdana" w:hAnsi="Verdana"/>
          <w:sz w:val="20"/>
          <w:szCs w:val="20"/>
        </w:rPr>
      </w:pPr>
      <w:r w:rsidRPr="001652A1">
        <w:rPr>
          <w:rFonts w:ascii="Verdana" w:hAnsi="Verdana"/>
          <w:sz w:val="20"/>
          <w:szCs w:val="20"/>
        </w:rPr>
        <w:t xml:space="preserve">z dnia </w:t>
      </w:r>
      <w:r w:rsidR="00AB1739" w:rsidRPr="00B536AA">
        <w:rPr>
          <w:rFonts w:ascii="Verdana" w:hAnsi="Verdana"/>
          <w:sz w:val="20"/>
          <w:szCs w:val="20"/>
        </w:rPr>
        <w:t>23 kwietnia</w:t>
      </w:r>
      <w:r w:rsidR="00083463" w:rsidRPr="001652A1">
        <w:rPr>
          <w:rFonts w:ascii="Verdana" w:hAnsi="Verdana"/>
          <w:sz w:val="20"/>
          <w:szCs w:val="20"/>
        </w:rPr>
        <w:t xml:space="preserve"> </w:t>
      </w:r>
      <w:r w:rsidRPr="001652A1">
        <w:rPr>
          <w:rFonts w:ascii="Verdana" w:hAnsi="Verdana"/>
          <w:sz w:val="20"/>
          <w:szCs w:val="20"/>
        </w:rPr>
        <w:t>202</w:t>
      </w:r>
      <w:r w:rsidR="001B59FA">
        <w:rPr>
          <w:rFonts w:ascii="Verdana" w:hAnsi="Verdana"/>
          <w:sz w:val="20"/>
          <w:szCs w:val="20"/>
        </w:rPr>
        <w:t>5</w:t>
      </w:r>
      <w:r w:rsidRPr="001652A1">
        <w:rPr>
          <w:rFonts w:ascii="Verdana" w:hAnsi="Verdana"/>
          <w:sz w:val="20"/>
          <w:szCs w:val="20"/>
        </w:rPr>
        <w:t xml:space="preserve"> r.</w:t>
      </w:r>
    </w:p>
    <w:p w14:paraId="72F4D4E5" w14:textId="39E4DF0E" w:rsidR="003624D0" w:rsidRPr="001652A1" w:rsidRDefault="003624D0" w:rsidP="00AB1739">
      <w:pPr>
        <w:spacing w:before="120" w:after="480" w:line="360" w:lineRule="auto"/>
        <w:jc w:val="center"/>
        <w:rPr>
          <w:rFonts w:ascii="Verdana" w:hAnsi="Verdana"/>
          <w:sz w:val="20"/>
          <w:szCs w:val="20"/>
        </w:rPr>
      </w:pPr>
      <w:r w:rsidRPr="001652A1">
        <w:rPr>
          <w:rFonts w:ascii="Verdana" w:hAnsi="Verdana"/>
          <w:sz w:val="20"/>
          <w:szCs w:val="20"/>
        </w:rPr>
        <w:t>w sprawie zmiany Regulaminu Giełdy</w:t>
      </w:r>
    </w:p>
    <w:p w14:paraId="0ABC257A" w14:textId="3B07577E" w:rsidR="00A87365" w:rsidRPr="001652A1" w:rsidRDefault="003624D0" w:rsidP="008F2C31">
      <w:pPr>
        <w:spacing w:after="360" w:line="360" w:lineRule="auto"/>
        <w:jc w:val="both"/>
        <w:rPr>
          <w:rFonts w:ascii="Verdana" w:hAnsi="Verdana"/>
          <w:sz w:val="20"/>
          <w:szCs w:val="20"/>
        </w:rPr>
      </w:pPr>
      <w:r w:rsidRPr="001652A1">
        <w:rPr>
          <w:rFonts w:ascii="Verdana" w:hAnsi="Verdana"/>
          <w:sz w:val="20"/>
          <w:szCs w:val="20"/>
        </w:rPr>
        <w:t xml:space="preserve">Na podstawie § 18 ust. 2 pkt 9) Statutu Giełdy, Rada Giełdy postanawia, </w:t>
      </w:r>
      <w:r w:rsidRPr="001652A1">
        <w:rPr>
          <w:rFonts w:ascii="Verdana" w:hAnsi="Verdana"/>
          <w:sz w:val="20"/>
          <w:szCs w:val="20"/>
        </w:rPr>
        <w:br/>
        <w:t>co następuje:</w:t>
      </w:r>
    </w:p>
    <w:p w14:paraId="2C95BD88" w14:textId="5DA6B41C" w:rsidR="003624D0" w:rsidRPr="00BE75AF" w:rsidRDefault="003624D0" w:rsidP="008F2C31">
      <w:pPr>
        <w:spacing w:after="120" w:line="360" w:lineRule="auto"/>
        <w:jc w:val="center"/>
        <w:rPr>
          <w:rFonts w:ascii="Verdana" w:hAnsi="Verdana"/>
          <w:sz w:val="20"/>
          <w:szCs w:val="20"/>
        </w:rPr>
      </w:pPr>
      <w:r w:rsidRPr="00BE75AF">
        <w:rPr>
          <w:rFonts w:ascii="Verdana" w:hAnsi="Verdana"/>
          <w:sz w:val="20"/>
          <w:szCs w:val="20"/>
        </w:rPr>
        <w:t>§ 1</w:t>
      </w:r>
    </w:p>
    <w:p w14:paraId="2043CE03" w14:textId="425CCD25" w:rsidR="00D80A72" w:rsidRPr="001652A1" w:rsidRDefault="00D80A72" w:rsidP="008F2C31">
      <w:pPr>
        <w:spacing w:after="360" w:line="360" w:lineRule="auto"/>
        <w:jc w:val="both"/>
        <w:rPr>
          <w:rFonts w:ascii="Verdana" w:hAnsi="Verdana" w:cs="Arial"/>
          <w:sz w:val="20"/>
          <w:szCs w:val="20"/>
        </w:rPr>
      </w:pPr>
      <w:r w:rsidRPr="001652A1">
        <w:rPr>
          <w:rFonts w:ascii="Verdana" w:hAnsi="Verdana"/>
          <w:sz w:val="20"/>
          <w:szCs w:val="20"/>
        </w:rPr>
        <w:t xml:space="preserve">W Regulaminie Giełdy, uchwalonym Uchwałą Nr 1/1110/2006 Rady Nadzorczej Giełdy Papierów Wartościowych w Warszawie S.A. z dnia 4 stycznia 2006 r. (z późn. zm.), </w:t>
      </w:r>
      <w:r w:rsidRPr="001652A1">
        <w:rPr>
          <w:rFonts w:ascii="Verdana" w:hAnsi="Verdana" w:cs="Arial"/>
          <w:sz w:val="20"/>
          <w:szCs w:val="20"/>
        </w:rPr>
        <w:t xml:space="preserve">wprowadza się następujące zmiany:  </w:t>
      </w:r>
    </w:p>
    <w:p w14:paraId="22B66D05" w14:textId="14BE096D" w:rsidR="00914331" w:rsidRPr="00914331" w:rsidRDefault="00D75545" w:rsidP="00914331">
      <w:pPr>
        <w:pStyle w:val="Akapitzlist"/>
        <w:numPr>
          <w:ilvl w:val="0"/>
          <w:numId w:val="1"/>
        </w:numPr>
        <w:spacing w:after="360" w:line="360" w:lineRule="auto"/>
        <w:ind w:left="284" w:hanging="284"/>
        <w:jc w:val="both"/>
        <w:rPr>
          <w:rFonts w:ascii="Verdana" w:hAnsi="Verdana" w:cs="Arial"/>
          <w:sz w:val="20"/>
          <w:szCs w:val="20"/>
        </w:rPr>
      </w:pPr>
      <w:r w:rsidRPr="001652A1">
        <w:rPr>
          <w:rFonts w:ascii="Verdana" w:hAnsi="Verdana" w:cs="Arial"/>
          <w:sz w:val="20"/>
          <w:szCs w:val="20"/>
        </w:rPr>
        <w:t>w § 2</w:t>
      </w:r>
      <w:r w:rsidR="00483607">
        <w:rPr>
          <w:rFonts w:ascii="Verdana" w:hAnsi="Verdana" w:cs="Arial"/>
          <w:sz w:val="20"/>
          <w:szCs w:val="20"/>
        </w:rPr>
        <w:t xml:space="preserve"> </w:t>
      </w:r>
      <w:r w:rsidR="00914331">
        <w:rPr>
          <w:rFonts w:ascii="Verdana" w:hAnsi="Verdana" w:cs="Arial"/>
          <w:sz w:val="20"/>
          <w:szCs w:val="20"/>
        </w:rPr>
        <w:t xml:space="preserve">w  </w:t>
      </w:r>
      <w:r w:rsidR="001B59FA" w:rsidRPr="00483607">
        <w:rPr>
          <w:rFonts w:ascii="Verdana" w:hAnsi="Verdana" w:cs="Arial"/>
          <w:sz w:val="20"/>
          <w:szCs w:val="20"/>
        </w:rPr>
        <w:t xml:space="preserve">pkt </w:t>
      </w:r>
      <w:r w:rsidR="00BD6286" w:rsidRPr="00483607">
        <w:rPr>
          <w:rFonts w:ascii="Verdana" w:hAnsi="Verdana" w:cs="Arial"/>
          <w:sz w:val="20"/>
          <w:szCs w:val="20"/>
        </w:rPr>
        <w:t>25</w:t>
      </w:r>
      <w:r w:rsidR="001B59FA" w:rsidRPr="00483607">
        <w:rPr>
          <w:rFonts w:ascii="Verdana" w:hAnsi="Verdana" w:cs="Arial"/>
          <w:sz w:val="20"/>
          <w:szCs w:val="20"/>
        </w:rPr>
        <w:t xml:space="preserve">) </w:t>
      </w:r>
      <w:r w:rsidR="00914331">
        <w:rPr>
          <w:rFonts w:ascii="Verdana" w:hAnsi="Verdana" w:cs="Arial"/>
          <w:sz w:val="20"/>
          <w:szCs w:val="20"/>
        </w:rPr>
        <w:t>wyrazy „</w:t>
      </w:r>
      <w:r w:rsidR="00914331" w:rsidRPr="002651E5">
        <w:rPr>
          <w:rFonts w:ascii="Verdana" w:hAnsi="Verdana"/>
          <w:sz w:val="20"/>
          <w:szCs w:val="20"/>
        </w:rPr>
        <w:t>przetwarzania po</w:t>
      </w:r>
      <w:r w:rsidR="00914331">
        <w:rPr>
          <w:rFonts w:ascii="Verdana" w:hAnsi="Verdana"/>
          <w:sz w:val="20"/>
          <w:szCs w:val="20"/>
        </w:rPr>
        <w:t>t</w:t>
      </w:r>
      <w:r w:rsidR="00914331" w:rsidRPr="002651E5">
        <w:rPr>
          <w:rFonts w:ascii="Verdana" w:hAnsi="Verdana"/>
          <w:sz w:val="20"/>
          <w:szCs w:val="20"/>
        </w:rPr>
        <w:t>ransakcyjnego zawartych transakcji</w:t>
      </w:r>
      <w:r w:rsidR="00914331">
        <w:rPr>
          <w:rFonts w:ascii="Verdana" w:hAnsi="Verdana"/>
          <w:sz w:val="20"/>
          <w:szCs w:val="20"/>
        </w:rPr>
        <w:t>” zastępuje się wyrazami „</w:t>
      </w:r>
      <w:r w:rsidR="00914331" w:rsidRPr="002651E5">
        <w:rPr>
          <w:rFonts w:ascii="Verdana" w:hAnsi="Verdana"/>
          <w:sz w:val="20"/>
          <w:szCs w:val="20"/>
        </w:rPr>
        <w:t>przetwarzania post</w:t>
      </w:r>
      <w:r w:rsidR="00914331">
        <w:rPr>
          <w:rFonts w:ascii="Verdana" w:hAnsi="Verdana"/>
          <w:sz w:val="20"/>
          <w:szCs w:val="20"/>
        </w:rPr>
        <w:t>t</w:t>
      </w:r>
      <w:r w:rsidR="00914331" w:rsidRPr="002651E5">
        <w:rPr>
          <w:rFonts w:ascii="Verdana" w:hAnsi="Verdana"/>
          <w:sz w:val="20"/>
          <w:szCs w:val="20"/>
        </w:rPr>
        <w:t>ransakcyjnego zawartych transakcji</w:t>
      </w:r>
      <w:r w:rsidR="00914331">
        <w:rPr>
          <w:rFonts w:ascii="Verdana" w:hAnsi="Verdana"/>
          <w:sz w:val="20"/>
          <w:szCs w:val="20"/>
        </w:rPr>
        <w:t xml:space="preserve">”; </w:t>
      </w:r>
    </w:p>
    <w:p w14:paraId="72E71AD4" w14:textId="4B6E8E8C" w:rsidR="00B04D4A" w:rsidRDefault="004C0A6F" w:rsidP="008F2C31">
      <w:pPr>
        <w:pStyle w:val="Akapitzlist"/>
        <w:numPr>
          <w:ilvl w:val="0"/>
          <w:numId w:val="1"/>
        </w:numPr>
        <w:spacing w:after="120" w:line="360" w:lineRule="auto"/>
        <w:ind w:left="284" w:hanging="284"/>
        <w:jc w:val="both"/>
        <w:rPr>
          <w:rFonts w:ascii="Verdana" w:hAnsi="Verdana"/>
          <w:sz w:val="20"/>
          <w:szCs w:val="20"/>
        </w:rPr>
      </w:pPr>
      <w:r>
        <w:rPr>
          <w:rFonts w:ascii="Verdana" w:hAnsi="Verdana"/>
          <w:sz w:val="20"/>
          <w:szCs w:val="20"/>
        </w:rPr>
        <w:t xml:space="preserve">w </w:t>
      </w:r>
      <w:r w:rsidR="00B04D4A">
        <w:rPr>
          <w:rFonts w:ascii="Verdana" w:hAnsi="Verdana"/>
          <w:sz w:val="20"/>
          <w:szCs w:val="20"/>
        </w:rPr>
        <w:t xml:space="preserve">§ </w:t>
      </w:r>
      <w:r w:rsidR="00E75E0E">
        <w:rPr>
          <w:rFonts w:ascii="Verdana" w:hAnsi="Verdana"/>
          <w:sz w:val="20"/>
          <w:szCs w:val="20"/>
        </w:rPr>
        <w:t>3 ust. 3</w:t>
      </w:r>
      <w:r w:rsidR="00711176">
        <w:rPr>
          <w:rFonts w:ascii="Verdana" w:hAnsi="Verdana"/>
          <w:sz w:val="20"/>
          <w:szCs w:val="20"/>
        </w:rPr>
        <w:t xml:space="preserve"> otrzymuje brzmienie</w:t>
      </w:r>
      <w:r w:rsidR="00B04D4A">
        <w:rPr>
          <w:rFonts w:ascii="Verdana" w:hAnsi="Verdana"/>
          <w:sz w:val="20"/>
          <w:szCs w:val="20"/>
        </w:rPr>
        <w:t>:</w:t>
      </w:r>
    </w:p>
    <w:p w14:paraId="1E42FD61" w14:textId="03158AB2" w:rsidR="00E75E0E" w:rsidRPr="00E07040" w:rsidRDefault="00711176" w:rsidP="008F2C31">
      <w:pPr>
        <w:spacing w:after="360" w:line="360" w:lineRule="auto"/>
        <w:ind w:left="284"/>
        <w:jc w:val="both"/>
        <w:rPr>
          <w:rFonts w:ascii="Verdana" w:eastAsia="Times New Roman" w:hAnsi="Verdana"/>
          <w:sz w:val="20"/>
          <w:szCs w:val="20"/>
          <w:lang w:eastAsia="pl-PL"/>
        </w:rPr>
      </w:pPr>
      <w:r>
        <w:rPr>
          <w:rFonts w:ascii="Verdana" w:hAnsi="Verdana"/>
          <w:sz w:val="20"/>
          <w:szCs w:val="20"/>
        </w:rPr>
        <w:t>„</w:t>
      </w:r>
      <w:r w:rsidR="00E75E0E">
        <w:rPr>
          <w:rFonts w:ascii="Verdana" w:hAnsi="Verdana"/>
          <w:sz w:val="20"/>
          <w:szCs w:val="20"/>
        </w:rPr>
        <w:t>3</w:t>
      </w:r>
      <w:r w:rsidR="004C0A6F">
        <w:rPr>
          <w:rFonts w:ascii="Verdana" w:hAnsi="Verdana"/>
          <w:sz w:val="20"/>
          <w:szCs w:val="20"/>
        </w:rPr>
        <w:t>.</w:t>
      </w:r>
      <w:r w:rsidR="00E07040">
        <w:rPr>
          <w:rFonts w:ascii="Verdana" w:hAnsi="Verdana"/>
          <w:sz w:val="20"/>
          <w:szCs w:val="20"/>
        </w:rPr>
        <w:t xml:space="preserve"> </w:t>
      </w:r>
      <w:r w:rsidR="00E75E0E" w:rsidRPr="00E75E0E">
        <w:rPr>
          <w:rFonts w:ascii="Verdana" w:hAnsi="Verdana"/>
          <w:sz w:val="20"/>
          <w:szCs w:val="20"/>
        </w:rPr>
        <w:t xml:space="preserve">W szczególnie uzasadnionych przypadkach Zarząd Giełdy może odstąpić </w:t>
      </w:r>
      <w:r w:rsidR="00E75E0E" w:rsidRPr="00E75E0E">
        <w:rPr>
          <w:rFonts w:ascii="Verdana" w:hAnsi="Verdana"/>
          <w:sz w:val="20"/>
          <w:szCs w:val="20"/>
        </w:rPr>
        <w:br/>
        <w:t xml:space="preserve">od stosowania wymogów określonych w ust. 2 pkt 2), o ile uzna, że nie zagraża </w:t>
      </w:r>
      <w:r w:rsidR="00E75E0E" w:rsidRPr="00E75E0E">
        <w:rPr>
          <w:rFonts w:ascii="Verdana" w:hAnsi="Verdana"/>
          <w:sz w:val="20"/>
          <w:szCs w:val="20"/>
        </w:rPr>
        <w:br/>
        <w:t xml:space="preserve">to interesowi uczestników obrotu giełdowego. Uchwała Zarządu Giełdy, </w:t>
      </w:r>
      <w:r w:rsidR="00E75E0E" w:rsidRPr="00E75E0E">
        <w:rPr>
          <w:rFonts w:ascii="Verdana" w:hAnsi="Verdana"/>
          <w:sz w:val="20"/>
          <w:szCs w:val="20"/>
        </w:rPr>
        <w:br/>
        <w:t>o której mowa w § 5, powinna zawierać wskazanie okoliczności faktycznych uzasadniających odstąpienie od stosowania tych wymogów, i jednocześnie uwzględniających wymogi, o których mowa w § 10 ust. 1 pkt 5)</w:t>
      </w:r>
      <w:r w:rsidR="00E75E0E">
        <w:rPr>
          <w:rFonts w:ascii="Verdana" w:hAnsi="Verdana"/>
          <w:sz w:val="20"/>
          <w:szCs w:val="20"/>
        </w:rPr>
        <w:t>.</w:t>
      </w:r>
      <w:r w:rsidRPr="00711176">
        <w:rPr>
          <w:rFonts w:ascii="Verdana" w:hAnsi="Verdana"/>
          <w:sz w:val="20"/>
          <w:szCs w:val="20"/>
        </w:rPr>
        <w:t>”</w:t>
      </w:r>
      <w:r w:rsidR="00E75E0E">
        <w:rPr>
          <w:rFonts w:ascii="Verdana" w:hAnsi="Verdana"/>
          <w:sz w:val="20"/>
          <w:szCs w:val="20"/>
        </w:rPr>
        <w:t>;</w:t>
      </w:r>
    </w:p>
    <w:p w14:paraId="40A39418" w14:textId="581CEB39" w:rsidR="004C0A6F" w:rsidRDefault="004C0A6F" w:rsidP="008F2C31">
      <w:pPr>
        <w:pStyle w:val="Akapitzlist"/>
        <w:numPr>
          <w:ilvl w:val="0"/>
          <w:numId w:val="1"/>
        </w:numPr>
        <w:spacing w:after="120" w:line="360" w:lineRule="auto"/>
        <w:ind w:left="284" w:hanging="284"/>
        <w:jc w:val="both"/>
        <w:rPr>
          <w:rFonts w:ascii="Verdana" w:hAnsi="Verdana"/>
          <w:sz w:val="20"/>
          <w:szCs w:val="20"/>
        </w:rPr>
      </w:pPr>
      <w:r w:rsidRPr="004C0A6F">
        <w:rPr>
          <w:rFonts w:ascii="Verdana" w:hAnsi="Verdana"/>
          <w:sz w:val="20"/>
          <w:szCs w:val="20"/>
        </w:rPr>
        <w:t xml:space="preserve">w § </w:t>
      </w:r>
      <w:r>
        <w:rPr>
          <w:rFonts w:ascii="Verdana" w:hAnsi="Verdana"/>
          <w:sz w:val="20"/>
          <w:szCs w:val="20"/>
        </w:rPr>
        <w:t>81</w:t>
      </w:r>
      <w:r w:rsidRPr="004C0A6F">
        <w:rPr>
          <w:rFonts w:ascii="Verdana" w:hAnsi="Verdana"/>
          <w:sz w:val="20"/>
          <w:szCs w:val="20"/>
        </w:rPr>
        <w:t xml:space="preserve"> ust. 3 otrzymuje brzmienie:</w:t>
      </w:r>
    </w:p>
    <w:p w14:paraId="50CFF426" w14:textId="3814EBD1" w:rsidR="004C0A6F" w:rsidRDefault="004C0A6F" w:rsidP="008F2C31">
      <w:pPr>
        <w:pStyle w:val="Akapitzlist"/>
        <w:spacing w:after="360" w:line="360" w:lineRule="auto"/>
        <w:ind w:left="284"/>
        <w:jc w:val="both"/>
        <w:rPr>
          <w:rFonts w:ascii="Verdana" w:hAnsi="Verdana"/>
          <w:sz w:val="20"/>
          <w:szCs w:val="20"/>
        </w:rPr>
      </w:pPr>
      <w:r w:rsidRPr="004C0A6F">
        <w:rPr>
          <w:rFonts w:ascii="Verdana" w:hAnsi="Verdana"/>
          <w:sz w:val="20"/>
          <w:szCs w:val="20"/>
        </w:rPr>
        <w:t>„</w:t>
      </w:r>
      <w:r>
        <w:rPr>
          <w:rFonts w:ascii="Verdana" w:hAnsi="Verdana"/>
          <w:sz w:val="20"/>
          <w:szCs w:val="20"/>
        </w:rPr>
        <w:t xml:space="preserve">3. </w:t>
      </w:r>
      <w:r w:rsidRPr="004C0A6F">
        <w:rPr>
          <w:rFonts w:ascii="Verdana" w:hAnsi="Verdana"/>
          <w:sz w:val="20"/>
          <w:szCs w:val="20"/>
        </w:rPr>
        <w:t xml:space="preserve">W systemie animatora rynku podmiot pełniący zadania animatora rynku obowiązany jest do wspomagania płynności danych instrumentów finansowych </w:t>
      </w:r>
      <w:r w:rsidRPr="004C0A6F">
        <w:rPr>
          <w:rFonts w:ascii="Verdana" w:hAnsi="Verdana"/>
          <w:sz w:val="20"/>
          <w:szCs w:val="20"/>
        </w:rPr>
        <w:br/>
        <w:t>w drodze składania i utrzymywania w arkuszu zleceń, w czasie trwania każdej sesji, na której zgodnie z właściwym harmonogramem ma miejsce faza notowań ciągłych, zleceń maklerskich z limitem ceny, w okresach i na zasadach określonych przez Zarząd Giełdy w Szczegółowych Zasadach Obrotu Giełdowego. Animator nie może utrzymywać w arkuszu zleceń w tym samym czasie więcej niż jednego zlecenia kupna lub zlecenia sprzedaży</w:t>
      </w:r>
      <w:r>
        <w:rPr>
          <w:rFonts w:ascii="Verdana" w:hAnsi="Verdana"/>
          <w:sz w:val="20"/>
          <w:szCs w:val="20"/>
        </w:rPr>
        <w:t>.”;</w:t>
      </w:r>
    </w:p>
    <w:p w14:paraId="15A77E41" w14:textId="77777777" w:rsidR="00B9694C" w:rsidRDefault="00B9694C" w:rsidP="008F2C31">
      <w:pPr>
        <w:pStyle w:val="Akapitzlist"/>
        <w:spacing w:after="360" w:line="360" w:lineRule="auto"/>
        <w:ind w:left="284"/>
        <w:jc w:val="both"/>
        <w:rPr>
          <w:rFonts w:ascii="Verdana" w:hAnsi="Verdana"/>
          <w:sz w:val="20"/>
          <w:szCs w:val="20"/>
        </w:rPr>
      </w:pPr>
    </w:p>
    <w:p w14:paraId="51B51DE1" w14:textId="51221F23" w:rsidR="004C0A6F" w:rsidRDefault="00AD633B" w:rsidP="008F2C31">
      <w:pPr>
        <w:pStyle w:val="Akapitzlist"/>
        <w:numPr>
          <w:ilvl w:val="0"/>
          <w:numId w:val="1"/>
        </w:numPr>
        <w:spacing w:after="120" w:line="360" w:lineRule="auto"/>
        <w:ind w:left="284" w:hanging="284"/>
        <w:jc w:val="both"/>
        <w:rPr>
          <w:rFonts w:ascii="Verdana" w:hAnsi="Verdana"/>
          <w:sz w:val="20"/>
          <w:szCs w:val="20"/>
        </w:rPr>
      </w:pPr>
      <w:r w:rsidRPr="00AD633B">
        <w:rPr>
          <w:rFonts w:ascii="Verdana" w:hAnsi="Verdana"/>
          <w:sz w:val="20"/>
          <w:szCs w:val="20"/>
        </w:rPr>
        <w:lastRenderedPageBreak/>
        <w:t xml:space="preserve">w § </w:t>
      </w:r>
      <w:r>
        <w:rPr>
          <w:rFonts w:ascii="Verdana" w:hAnsi="Verdana"/>
          <w:sz w:val="20"/>
          <w:szCs w:val="20"/>
        </w:rPr>
        <w:t>105:</w:t>
      </w:r>
    </w:p>
    <w:p w14:paraId="2511509E" w14:textId="260B9D75" w:rsidR="00AD633B" w:rsidRDefault="00AD633B" w:rsidP="008F2C31">
      <w:pPr>
        <w:pStyle w:val="Akapitzlist"/>
        <w:numPr>
          <w:ilvl w:val="0"/>
          <w:numId w:val="2"/>
        </w:numPr>
        <w:spacing w:after="120" w:line="360" w:lineRule="auto"/>
        <w:ind w:left="567" w:hanging="283"/>
        <w:jc w:val="both"/>
        <w:rPr>
          <w:rFonts w:ascii="Verdana" w:hAnsi="Verdana"/>
          <w:sz w:val="20"/>
          <w:szCs w:val="20"/>
        </w:rPr>
      </w:pPr>
      <w:bookmarkStart w:id="0" w:name="_Hlk195193730"/>
      <w:r>
        <w:rPr>
          <w:rFonts w:ascii="Verdana" w:hAnsi="Verdana"/>
          <w:sz w:val="20"/>
          <w:szCs w:val="20"/>
        </w:rPr>
        <w:t>w ust. 1 pkt 2</w:t>
      </w:r>
      <w:r w:rsidRPr="00AD633B">
        <w:rPr>
          <w:rFonts w:ascii="Verdana" w:eastAsia="Calibri" w:hAnsi="Verdana"/>
          <w:sz w:val="20"/>
          <w:szCs w:val="20"/>
          <w:lang w:eastAsia="en-US"/>
        </w:rPr>
        <w:t xml:space="preserve"> </w:t>
      </w:r>
      <w:r w:rsidRPr="00AD633B">
        <w:rPr>
          <w:rFonts w:ascii="Verdana" w:hAnsi="Verdana"/>
          <w:sz w:val="20"/>
          <w:szCs w:val="20"/>
        </w:rPr>
        <w:t>otrzymuje brzmienie</w:t>
      </w:r>
      <w:bookmarkEnd w:id="0"/>
      <w:r>
        <w:rPr>
          <w:rFonts w:ascii="Verdana" w:hAnsi="Verdana"/>
          <w:sz w:val="20"/>
          <w:szCs w:val="20"/>
        </w:rPr>
        <w:t>:</w:t>
      </w:r>
    </w:p>
    <w:p w14:paraId="477F42A6" w14:textId="43A6F9A8" w:rsidR="00AD633B" w:rsidRPr="00AD633B" w:rsidRDefault="00AD633B" w:rsidP="008F2C31">
      <w:pPr>
        <w:pStyle w:val="Akapitzlist"/>
        <w:spacing w:after="240" w:line="360" w:lineRule="auto"/>
        <w:ind w:left="567"/>
        <w:jc w:val="both"/>
        <w:rPr>
          <w:rFonts w:ascii="Verdana" w:hAnsi="Verdana"/>
          <w:sz w:val="20"/>
          <w:szCs w:val="20"/>
        </w:rPr>
      </w:pPr>
      <w:r>
        <w:rPr>
          <w:rFonts w:ascii="Verdana" w:hAnsi="Verdana"/>
          <w:sz w:val="20"/>
          <w:szCs w:val="20"/>
        </w:rPr>
        <w:t xml:space="preserve">„2) </w:t>
      </w:r>
      <w:r w:rsidRPr="00AD633B">
        <w:rPr>
          <w:rFonts w:ascii="Verdana" w:hAnsi="Verdana"/>
          <w:sz w:val="20"/>
          <w:szCs w:val="20"/>
        </w:rPr>
        <w:t xml:space="preserve">na rachunek danego klienta członka giełdy korzystającego z dostępu sponsorowanego (zleceń maklerskich oznaczonych tym samym kodem, </w:t>
      </w:r>
      <w:r w:rsidR="00203AAC">
        <w:rPr>
          <w:rFonts w:ascii="Verdana" w:hAnsi="Verdana"/>
          <w:sz w:val="20"/>
          <w:szCs w:val="20"/>
        </w:rPr>
        <w:br/>
      </w:r>
      <w:r w:rsidRPr="00AD633B">
        <w:rPr>
          <w:rFonts w:ascii="Verdana" w:hAnsi="Verdana"/>
          <w:sz w:val="20"/>
          <w:szCs w:val="20"/>
        </w:rPr>
        <w:t>o którym mowa w § 107 ust. 1 pkt 11)</w:t>
      </w:r>
      <w:r>
        <w:rPr>
          <w:rFonts w:ascii="Verdana" w:hAnsi="Verdana"/>
          <w:sz w:val="20"/>
          <w:szCs w:val="20"/>
        </w:rPr>
        <w:t>.”;</w:t>
      </w:r>
    </w:p>
    <w:p w14:paraId="3B44F4A8" w14:textId="1435B048" w:rsidR="00AD633B" w:rsidRDefault="00AD633B" w:rsidP="008F2C31">
      <w:pPr>
        <w:pStyle w:val="Akapitzlist"/>
        <w:numPr>
          <w:ilvl w:val="0"/>
          <w:numId w:val="2"/>
        </w:numPr>
        <w:spacing w:after="120" w:line="360" w:lineRule="auto"/>
        <w:ind w:left="567" w:hanging="283"/>
        <w:jc w:val="both"/>
        <w:rPr>
          <w:rFonts w:ascii="Verdana" w:hAnsi="Verdana"/>
          <w:sz w:val="20"/>
          <w:szCs w:val="20"/>
        </w:rPr>
      </w:pPr>
      <w:r w:rsidRPr="00AD633B">
        <w:rPr>
          <w:rFonts w:ascii="Verdana" w:hAnsi="Verdana"/>
          <w:sz w:val="20"/>
          <w:szCs w:val="20"/>
        </w:rPr>
        <w:t xml:space="preserve">w ust. </w:t>
      </w:r>
      <w:r>
        <w:rPr>
          <w:rFonts w:ascii="Verdana" w:hAnsi="Verdana"/>
          <w:sz w:val="20"/>
          <w:szCs w:val="20"/>
        </w:rPr>
        <w:t>2</w:t>
      </w:r>
      <w:r w:rsidRPr="00AD633B">
        <w:rPr>
          <w:rFonts w:ascii="Verdana" w:hAnsi="Verdana"/>
          <w:sz w:val="20"/>
          <w:szCs w:val="20"/>
        </w:rPr>
        <w:t xml:space="preserve"> pkt </w:t>
      </w:r>
      <w:r>
        <w:rPr>
          <w:rFonts w:ascii="Verdana" w:hAnsi="Verdana"/>
          <w:sz w:val="20"/>
          <w:szCs w:val="20"/>
        </w:rPr>
        <w:t>5</w:t>
      </w:r>
      <w:r w:rsidRPr="00AD633B">
        <w:rPr>
          <w:rFonts w:ascii="Verdana" w:hAnsi="Verdana"/>
          <w:sz w:val="20"/>
          <w:szCs w:val="20"/>
        </w:rPr>
        <w:t xml:space="preserve"> otrzymuje brzmienie</w:t>
      </w:r>
      <w:r>
        <w:rPr>
          <w:rFonts w:ascii="Verdana" w:hAnsi="Verdana"/>
          <w:sz w:val="20"/>
          <w:szCs w:val="20"/>
        </w:rPr>
        <w:t>:</w:t>
      </w:r>
    </w:p>
    <w:p w14:paraId="6AB87366" w14:textId="7CBBF033" w:rsidR="00AD633B" w:rsidRDefault="00AD633B" w:rsidP="008F2C31">
      <w:pPr>
        <w:pStyle w:val="Akapitzlist"/>
        <w:spacing w:after="240" w:line="360" w:lineRule="auto"/>
        <w:ind w:left="567"/>
        <w:jc w:val="both"/>
        <w:rPr>
          <w:rFonts w:ascii="Verdana" w:hAnsi="Verdana"/>
          <w:sz w:val="20"/>
          <w:szCs w:val="20"/>
        </w:rPr>
      </w:pPr>
      <w:r>
        <w:rPr>
          <w:rFonts w:ascii="Verdana" w:hAnsi="Verdana"/>
          <w:sz w:val="20"/>
          <w:szCs w:val="20"/>
        </w:rPr>
        <w:t xml:space="preserve">„5) </w:t>
      </w:r>
      <w:r w:rsidRPr="00AD633B">
        <w:rPr>
          <w:rFonts w:ascii="Verdana" w:hAnsi="Verdana"/>
          <w:sz w:val="20"/>
          <w:szCs w:val="20"/>
        </w:rPr>
        <w:t>na wniosek członka giełdy - w zakresie odnoszącym się do zleceń, o których mowa w ust. 1 pkt 2, zgodnie z obowiązującymi u członka giełdy zasadami zawieszania dostępu sponsorowanego,</w:t>
      </w:r>
      <w:r>
        <w:rPr>
          <w:rFonts w:ascii="Verdana" w:hAnsi="Verdana"/>
          <w:sz w:val="20"/>
          <w:szCs w:val="20"/>
        </w:rPr>
        <w:t>”;</w:t>
      </w:r>
    </w:p>
    <w:p w14:paraId="64156F86" w14:textId="59838F38" w:rsidR="00AD633B" w:rsidRDefault="00AD633B" w:rsidP="008F2C31">
      <w:pPr>
        <w:pStyle w:val="Akapitzlist"/>
        <w:numPr>
          <w:ilvl w:val="0"/>
          <w:numId w:val="2"/>
        </w:numPr>
        <w:spacing w:after="120" w:line="360" w:lineRule="auto"/>
        <w:ind w:left="567" w:hanging="283"/>
        <w:jc w:val="both"/>
        <w:rPr>
          <w:rFonts w:ascii="Verdana" w:hAnsi="Verdana"/>
          <w:sz w:val="20"/>
          <w:szCs w:val="20"/>
        </w:rPr>
      </w:pPr>
      <w:r w:rsidRPr="00AD633B">
        <w:rPr>
          <w:rFonts w:ascii="Verdana" w:hAnsi="Verdana"/>
          <w:sz w:val="20"/>
          <w:szCs w:val="20"/>
        </w:rPr>
        <w:t xml:space="preserve">w ust. 2 pkt </w:t>
      </w:r>
      <w:r>
        <w:rPr>
          <w:rFonts w:ascii="Verdana" w:hAnsi="Verdana"/>
          <w:sz w:val="20"/>
          <w:szCs w:val="20"/>
        </w:rPr>
        <w:t>7</w:t>
      </w:r>
      <w:r w:rsidRPr="00AD633B">
        <w:rPr>
          <w:rFonts w:ascii="Verdana" w:hAnsi="Verdana"/>
          <w:sz w:val="20"/>
          <w:szCs w:val="20"/>
        </w:rPr>
        <w:t xml:space="preserve"> otrzymuje brzmienie</w:t>
      </w:r>
      <w:r>
        <w:rPr>
          <w:rFonts w:ascii="Verdana" w:hAnsi="Verdana"/>
          <w:sz w:val="20"/>
          <w:szCs w:val="20"/>
        </w:rPr>
        <w:t>:</w:t>
      </w:r>
    </w:p>
    <w:p w14:paraId="0726AFB3" w14:textId="76997C75" w:rsidR="00AD633B" w:rsidRPr="00263D79" w:rsidRDefault="00AD633B" w:rsidP="008F2C31">
      <w:pPr>
        <w:pStyle w:val="Akapitzlist"/>
        <w:spacing w:after="360" w:line="360" w:lineRule="auto"/>
        <w:ind w:left="567"/>
        <w:jc w:val="both"/>
        <w:rPr>
          <w:rFonts w:ascii="Verdana" w:hAnsi="Verdana"/>
          <w:sz w:val="20"/>
          <w:szCs w:val="20"/>
        </w:rPr>
      </w:pPr>
      <w:r>
        <w:rPr>
          <w:rFonts w:ascii="Verdana" w:hAnsi="Verdana"/>
          <w:sz w:val="20"/>
          <w:szCs w:val="20"/>
        </w:rPr>
        <w:t xml:space="preserve">„7) </w:t>
      </w:r>
      <w:r w:rsidRPr="00AD633B">
        <w:rPr>
          <w:rFonts w:ascii="Verdana" w:hAnsi="Verdana"/>
          <w:sz w:val="20"/>
          <w:szCs w:val="20"/>
        </w:rPr>
        <w:t xml:space="preserve">na wniosek uczestnika rozliczającego członka giełdy - w zakresie odnoszącym się do zleceń, o których mowa w ust. 1 pkt 2, zgodnie </w:t>
      </w:r>
      <w:r w:rsidR="00263D79">
        <w:rPr>
          <w:rFonts w:ascii="Verdana" w:hAnsi="Verdana"/>
          <w:sz w:val="20"/>
          <w:szCs w:val="20"/>
        </w:rPr>
        <w:br/>
      </w:r>
      <w:r w:rsidRPr="00AD633B">
        <w:rPr>
          <w:rFonts w:ascii="Verdana" w:hAnsi="Verdana"/>
          <w:sz w:val="20"/>
          <w:szCs w:val="20"/>
        </w:rPr>
        <w:t xml:space="preserve">z obowiązującymi członka giełdy zasadami rozliczania przez danego uczestnika rozliczającego </w:t>
      </w:r>
      <w:r w:rsidR="00263D79" w:rsidRPr="00AD633B">
        <w:rPr>
          <w:rFonts w:ascii="Verdana" w:hAnsi="Verdana"/>
          <w:sz w:val="20"/>
          <w:szCs w:val="20"/>
        </w:rPr>
        <w:t>oraz</w:t>
      </w:r>
      <w:r w:rsidR="00263D79" w:rsidRPr="00263D79">
        <w:rPr>
          <w:rFonts w:ascii="Verdana" w:hAnsi="Verdana"/>
          <w:sz w:val="20"/>
          <w:szCs w:val="20"/>
        </w:rPr>
        <w:t xml:space="preserve"> </w:t>
      </w:r>
      <w:r w:rsidR="00263D79" w:rsidRPr="00AD633B">
        <w:rPr>
          <w:rFonts w:ascii="Verdana" w:hAnsi="Verdana"/>
          <w:sz w:val="20"/>
          <w:szCs w:val="20"/>
        </w:rPr>
        <w:t>zgodnie</w:t>
      </w:r>
      <w:r w:rsidR="00263D79">
        <w:rPr>
          <w:rFonts w:ascii="Verdana" w:hAnsi="Verdana"/>
          <w:sz w:val="20"/>
          <w:szCs w:val="20"/>
        </w:rPr>
        <w:t xml:space="preserve"> </w:t>
      </w:r>
      <w:r w:rsidRPr="00263D79">
        <w:rPr>
          <w:rFonts w:ascii="Verdana" w:hAnsi="Verdana"/>
          <w:sz w:val="20"/>
          <w:szCs w:val="20"/>
        </w:rPr>
        <w:t>z obowiązującymi u członka giełdy zasadami zawieszania dostępu sponsorowanego,”</w:t>
      </w:r>
      <w:r w:rsidR="000444FF">
        <w:rPr>
          <w:rFonts w:ascii="Verdana" w:hAnsi="Verdana"/>
          <w:sz w:val="20"/>
          <w:szCs w:val="20"/>
        </w:rPr>
        <w:t>;</w:t>
      </w:r>
    </w:p>
    <w:p w14:paraId="5B8F37C5" w14:textId="12560244" w:rsidR="00AD633B" w:rsidRDefault="00AD633B" w:rsidP="00507785">
      <w:pPr>
        <w:pStyle w:val="Akapitzlist"/>
        <w:numPr>
          <w:ilvl w:val="0"/>
          <w:numId w:val="1"/>
        </w:numPr>
        <w:spacing w:after="240" w:line="360" w:lineRule="auto"/>
        <w:ind w:left="284" w:hanging="284"/>
        <w:jc w:val="both"/>
        <w:rPr>
          <w:rFonts w:ascii="Verdana" w:hAnsi="Verdana"/>
          <w:sz w:val="20"/>
          <w:szCs w:val="20"/>
        </w:rPr>
      </w:pPr>
      <w:r w:rsidRPr="00AD633B">
        <w:rPr>
          <w:rFonts w:ascii="Verdana" w:hAnsi="Verdana"/>
          <w:sz w:val="20"/>
          <w:szCs w:val="20"/>
        </w:rPr>
        <w:t xml:space="preserve">w § </w:t>
      </w:r>
      <w:r w:rsidR="00572623" w:rsidRPr="00572623">
        <w:rPr>
          <w:rFonts w:ascii="Verdana" w:hAnsi="Verdana"/>
          <w:sz w:val="20"/>
          <w:szCs w:val="20"/>
        </w:rPr>
        <w:t>10</w:t>
      </w:r>
      <w:r w:rsidR="00572623">
        <w:rPr>
          <w:rFonts w:ascii="Verdana" w:hAnsi="Verdana"/>
          <w:sz w:val="20"/>
          <w:szCs w:val="20"/>
        </w:rPr>
        <w:t>7</w:t>
      </w:r>
      <w:r w:rsidR="00507785">
        <w:rPr>
          <w:rFonts w:ascii="Verdana" w:hAnsi="Verdana"/>
          <w:sz w:val="20"/>
          <w:szCs w:val="20"/>
        </w:rPr>
        <w:t xml:space="preserve"> w ust. 1</w:t>
      </w:r>
      <w:r w:rsidR="00572623" w:rsidRPr="00572623">
        <w:rPr>
          <w:rFonts w:ascii="Verdana" w:hAnsi="Verdana"/>
          <w:sz w:val="20"/>
          <w:szCs w:val="20"/>
        </w:rPr>
        <w:t>:</w:t>
      </w:r>
    </w:p>
    <w:p w14:paraId="233A923B" w14:textId="08A1AF57" w:rsidR="00572623" w:rsidRDefault="00802BFB" w:rsidP="008F2C31">
      <w:pPr>
        <w:pStyle w:val="Akapitzlist"/>
        <w:numPr>
          <w:ilvl w:val="0"/>
          <w:numId w:val="3"/>
        </w:numPr>
        <w:spacing w:after="120" w:line="360" w:lineRule="auto"/>
        <w:ind w:left="567" w:hanging="283"/>
        <w:jc w:val="both"/>
        <w:rPr>
          <w:rFonts w:ascii="Verdana" w:hAnsi="Verdana"/>
          <w:sz w:val="20"/>
          <w:szCs w:val="20"/>
        </w:rPr>
      </w:pPr>
      <w:r>
        <w:rPr>
          <w:rFonts w:ascii="Verdana" w:hAnsi="Verdana"/>
          <w:sz w:val="20"/>
          <w:szCs w:val="20"/>
        </w:rPr>
        <w:t xml:space="preserve">w </w:t>
      </w:r>
      <w:r w:rsidR="00572623">
        <w:rPr>
          <w:rFonts w:ascii="Verdana" w:hAnsi="Verdana"/>
          <w:sz w:val="20"/>
          <w:szCs w:val="20"/>
        </w:rPr>
        <w:t xml:space="preserve">pkt 6 </w:t>
      </w:r>
      <w:r>
        <w:rPr>
          <w:rFonts w:ascii="Verdana" w:hAnsi="Verdana"/>
          <w:sz w:val="20"/>
          <w:szCs w:val="20"/>
        </w:rPr>
        <w:t>po lit. c dodaje się lit. d i e, w brzmieniu</w:t>
      </w:r>
      <w:r w:rsidR="00572623">
        <w:rPr>
          <w:rFonts w:ascii="Verdana" w:hAnsi="Verdana"/>
          <w:sz w:val="20"/>
          <w:szCs w:val="20"/>
        </w:rPr>
        <w:t>:</w:t>
      </w:r>
    </w:p>
    <w:p w14:paraId="7CC95217" w14:textId="3EE86C2B" w:rsidR="008047D3" w:rsidRPr="0027253F" w:rsidRDefault="00572623" w:rsidP="008F2C31">
      <w:pPr>
        <w:pStyle w:val="Akapitzlist"/>
        <w:spacing w:after="120" w:line="360" w:lineRule="auto"/>
        <w:ind w:left="567"/>
        <w:jc w:val="both"/>
        <w:rPr>
          <w:rFonts w:ascii="Verdana" w:hAnsi="Verdana" w:cs="Arial"/>
          <w:bCs/>
          <w:sz w:val="20"/>
          <w:szCs w:val="20"/>
          <w:lang w:val="en-US"/>
        </w:rPr>
      </w:pPr>
      <w:r w:rsidRPr="0027253F">
        <w:rPr>
          <w:rFonts w:ascii="Verdana" w:hAnsi="Verdana"/>
          <w:sz w:val="20"/>
          <w:szCs w:val="20"/>
          <w:lang w:val="en-US"/>
        </w:rPr>
        <w:t>„</w:t>
      </w:r>
      <w:r w:rsidR="00802BFB" w:rsidRPr="0027253F">
        <w:rPr>
          <w:rFonts w:ascii="Verdana" w:hAnsi="Verdana"/>
          <w:sz w:val="20"/>
          <w:szCs w:val="20"/>
          <w:lang w:val="en-US"/>
        </w:rPr>
        <w:t xml:space="preserve">d) </w:t>
      </w:r>
      <w:r w:rsidR="008047D3" w:rsidRPr="0027253F">
        <w:rPr>
          <w:rFonts w:ascii="Verdana" w:hAnsi="Verdana" w:cs="Arial"/>
          <w:bCs/>
          <w:sz w:val="20"/>
          <w:szCs w:val="20"/>
          <w:lang w:val="en-US"/>
        </w:rPr>
        <w:t>animator emitenta,</w:t>
      </w:r>
    </w:p>
    <w:p w14:paraId="36C506CA" w14:textId="413B3DDE" w:rsidR="008047D3" w:rsidRPr="0027253F" w:rsidRDefault="00802BFB" w:rsidP="008F2C31">
      <w:pPr>
        <w:pStyle w:val="Akapitzlist"/>
        <w:spacing w:after="240" w:line="360" w:lineRule="auto"/>
        <w:ind w:left="567"/>
        <w:jc w:val="both"/>
        <w:rPr>
          <w:rFonts w:ascii="Verdana" w:hAnsi="Verdana" w:cs="Arial"/>
          <w:bCs/>
          <w:sz w:val="20"/>
          <w:szCs w:val="20"/>
          <w:lang w:val="en-US"/>
        </w:rPr>
      </w:pPr>
      <w:r w:rsidRPr="0027253F">
        <w:rPr>
          <w:rFonts w:ascii="Verdana" w:hAnsi="Verdana" w:cs="Arial"/>
          <w:bCs/>
          <w:sz w:val="20"/>
          <w:szCs w:val="20"/>
          <w:lang w:val="en-US"/>
        </w:rPr>
        <w:t xml:space="preserve">e) </w:t>
      </w:r>
      <w:r w:rsidR="008047D3" w:rsidRPr="008047D3">
        <w:rPr>
          <w:rFonts w:ascii="Verdana" w:hAnsi="Verdana" w:cs="Arial"/>
          <w:bCs/>
          <w:sz w:val="20"/>
          <w:szCs w:val="20"/>
          <w:lang w:val="en-US"/>
        </w:rPr>
        <w:t>zestawianie zleceń („matched principal trading”),</w:t>
      </w:r>
      <w:r w:rsidR="008047D3">
        <w:rPr>
          <w:rFonts w:ascii="Verdana" w:hAnsi="Verdana" w:cs="Arial"/>
          <w:bCs/>
          <w:sz w:val="20"/>
          <w:szCs w:val="20"/>
          <w:lang w:val="en-US"/>
        </w:rPr>
        <w:t>”;</w:t>
      </w:r>
    </w:p>
    <w:p w14:paraId="77D3FD47" w14:textId="3DD05EC5" w:rsidR="00572623" w:rsidRDefault="008047D3" w:rsidP="008F2C31">
      <w:pPr>
        <w:pStyle w:val="Akapitzlist"/>
        <w:numPr>
          <w:ilvl w:val="0"/>
          <w:numId w:val="3"/>
        </w:numPr>
        <w:spacing w:after="120" w:line="360" w:lineRule="auto"/>
        <w:ind w:left="567" w:hanging="283"/>
        <w:jc w:val="both"/>
        <w:rPr>
          <w:rFonts w:ascii="Verdana" w:hAnsi="Verdana"/>
          <w:sz w:val="20"/>
          <w:szCs w:val="20"/>
        </w:rPr>
      </w:pPr>
      <w:r w:rsidRPr="008047D3">
        <w:rPr>
          <w:rFonts w:ascii="Verdana" w:hAnsi="Verdana"/>
          <w:sz w:val="20"/>
          <w:szCs w:val="20"/>
        </w:rPr>
        <w:t xml:space="preserve">pkt </w:t>
      </w:r>
      <w:r>
        <w:rPr>
          <w:rFonts w:ascii="Verdana" w:hAnsi="Verdana"/>
          <w:sz w:val="20"/>
          <w:szCs w:val="20"/>
        </w:rPr>
        <w:t xml:space="preserve">9 </w:t>
      </w:r>
      <w:r w:rsidRPr="008047D3">
        <w:rPr>
          <w:rFonts w:ascii="Verdana" w:hAnsi="Verdana"/>
          <w:sz w:val="20"/>
          <w:szCs w:val="20"/>
        </w:rPr>
        <w:t>otrzymuje brzmienie</w:t>
      </w:r>
      <w:r>
        <w:rPr>
          <w:rFonts w:ascii="Verdana" w:hAnsi="Verdana"/>
          <w:sz w:val="20"/>
          <w:szCs w:val="20"/>
        </w:rPr>
        <w:t>:</w:t>
      </w:r>
    </w:p>
    <w:p w14:paraId="7F55808D" w14:textId="73E8221D" w:rsidR="008047D3" w:rsidRPr="008047D3" w:rsidRDefault="008047D3" w:rsidP="008F2C31">
      <w:pPr>
        <w:pStyle w:val="Akapitzlist"/>
        <w:spacing w:after="360" w:line="360" w:lineRule="auto"/>
        <w:ind w:left="567"/>
        <w:jc w:val="both"/>
        <w:rPr>
          <w:rFonts w:ascii="Verdana" w:hAnsi="Verdana"/>
          <w:iCs/>
          <w:sz w:val="20"/>
          <w:szCs w:val="20"/>
        </w:rPr>
      </w:pPr>
      <w:r>
        <w:rPr>
          <w:rFonts w:ascii="Verdana" w:hAnsi="Verdana"/>
          <w:iCs/>
          <w:sz w:val="20"/>
        </w:rPr>
        <w:t>„</w:t>
      </w:r>
      <w:r w:rsidRPr="008047D3">
        <w:rPr>
          <w:rFonts w:ascii="Verdana" w:hAnsi="Verdana"/>
          <w:iCs/>
          <w:sz w:val="20"/>
        </w:rPr>
        <w:t>9)</w:t>
      </w:r>
      <w:r>
        <w:rPr>
          <w:rFonts w:ascii="Verdana" w:hAnsi="Verdana"/>
          <w:i/>
          <w:sz w:val="20"/>
        </w:rPr>
        <w:t xml:space="preserve"> </w:t>
      </w:r>
      <w:r w:rsidRPr="008047D3">
        <w:rPr>
          <w:rFonts w:ascii="Verdana" w:hAnsi="Verdana" w:cs="Arial"/>
          <w:bCs/>
          <w:iCs/>
          <w:sz w:val="20"/>
        </w:rPr>
        <w:t>i</w:t>
      </w:r>
      <w:r w:rsidRPr="008047D3">
        <w:rPr>
          <w:rFonts w:ascii="Verdana" w:eastAsia="Calibri" w:hAnsi="Verdana"/>
          <w:iCs/>
          <w:sz w:val="20"/>
        </w:rPr>
        <w:t>nformację czy dane zlecenie związane jest</w:t>
      </w:r>
      <w:r w:rsidR="00453676">
        <w:rPr>
          <w:rFonts w:ascii="Verdana" w:eastAsia="Calibri" w:hAnsi="Verdana"/>
          <w:iCs/>
          <w:sz w:val="20"/>
        </w:rPr>
        <w:t xml:space="preserve"> </w:t>
      </w:r>
      <w:r w:rsidR="00593472">
        <w:rPr>
          <w:rFonts w:ascii="Verdana" w:eastAsia="Calibri" w:hAnsi="Verdana"/>
          <w:iCs/>
          <w:sz w:val="20"/>
        </w:rPr>
        <w:t xml:space="preserve">z </w:t>
      </w:r>
      <w:r w:rsidRPr="008047D3">
        <w:rPr>
          <w:rFonts w:ascii="Verdana" w:eastAsia="Calibri" w:hAnsi="Verdana"/>
          <w:iCs/>
          <w:sz w:val="20"/>
        </w:rPr>
        <w:t>działalnością z zakresu zapewniania płynności,</w:t>
      </w:r>
      <w:r>
        <w:rPr>
          <w:rFonts w:ascii="Verdana" w:eastAsia="Calibri" w:hAnsi="Verdana"/>
          <w:iCs/>
          <w:sz w:val="20"/>
        </w:rPr>
        <w:t>”;</w:t>
      </w:r>
    </w:p>
    <w:p w14:paraId="7C4E9060" w14:textId="064B7AFD" w:rsidR="008047D3" w:rsidRDefault="006D5B10" w:rsidP="008F2C31">
      <w:pPr>
        <w:pStyle w:val="Akapitzlist"/>
        <w:numPr>
          <w:ilvl w:val="0"/>
          <w:numId w:val="1"/>
        </w:numPr>
        <w:spacing w:after="120" w:line="360" w:lineRule="auto"/>
        <w:ind w:left="284" w:hanging="284"/>
        <w:jc w:val="both"/>
        <w:rPr>
          <w:rFonts w:ascii="Verdana" w:hAnsi="Verdana"/>
          <w:sz w:val="20"/>
          <w:szCs w:val="20"/>
        </w:rPr>
      </w:pPr>
      <w:r>
        <w:rPr>
          <w:rFonts w:ascii="Verdana" w:hAnsi="Verdana"/>
          <w:sz w:val="20"/>
          <w:szCs w:val="20"/>
        </w:rPr>
        <w:t xml:space="preserve">w </w:t>
      </w:r>
      <w:r w:rsidR="00AD633B" w:rsidRPr="00AD633B">
        <w:rPr>
          <w:rFonts w:ascii="Verdana" w:hAnsi="Verdana"/>
          <w:sz w:val="20"/>
          <w:szCs w:val="20"/>
        </w:rPr>
        <w:t xml:space="preserve">§ </w:t>
      </w:r>
      <w:r w:rsidR="008047D3" w:rsidRPr="00572623">
        <w:rPr>
          <w:rFonts w:ascii="Verdana" w:hAnsi="Verdana"/>
          <w:sz w:val="20"/>
          <w:szCs w:val="20"/>
        </w:rPr>
        <w:t>1</w:t>
      </w:r>
      <w:r w:rsidR="008047D3">
        <w:rPr>
          <w:rFonts w:ascii="Verdana" w:hAnsi="Verdana"/>
          <w:sz w:val="20"/>
          <w:szCs w:val="20"/>
        </w:rPr>
        <w:t>10:</w:t>
      </w:r>
    </w:p>
    <w:p w14:paraId="57CCD0CA" w14:textId="389F8447" w:rsidR="007A17DD" w:rsidRDefault="006D5B10" w:rsidP="00507785">
      <w:pPr>
        <w:pStyle w:val="Tekstpodstawowy"/>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Verdana" w:hAnsi="Verdana"/>
          <w:iCs/>
          <w:sz w:val="20"/>
        </w:rPr>
      </w:pPr>
      <w:r>
        <w:rPr>
          <w:rFonts w:ascii="Verdana" w:hAnsi="Verdana"/>
          <w:iCs/>
          <w:sz w:val="20"/>
        </w:rPr>
        <w:t>w ust. 1 uchyla pkt 5;</w:t>
      </w:r>
    </w:p>
    <w:p w14:paraId="491B129A" w14:textId="5507C263" w:rsidR="006D5B10" w:rsidRDefault="006D5B10" w:rsidP="00507785">
      <w:pPr>
        <w:pStyle w:val="Tekstpodstawowy"/>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Verdana" w:hAnsi="Verdana"/>
          <w:iCs/>
          <w:sz w:val="20"/>
        </w:rPr>
      </w:pPr>
      <w:r>
        <w:rPr>
          <w:rFonts w:ascii="Verdana" w:hAnsi="Verdana"/>
          <w:iCs/>
          <w:sz w:val="20"/>
        </w:rPr>
        <w:t>uchyla się ust. 6;</w:t>
      </w:r>
    </w:p>
    <w:p w14:paraId="25B92BAE" w14:textId="41F48C4D" w:rsidR="006D5B10" w:rsidRDefault="006D5B10" w:rsidP="008F2C31">
      <w:pPr>
        <w:pStyle w:val="Tekstpodstawowy"/>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Verdana" w:hAnsi="Verdana"/>
          <w:iCs/>
          <w:sz w:val="20"/>
        </w:rPr>
      </w:pPr>
      <w:r>
        <w:rPr>
          <w:rFonts w:ascii="Verdana" w:hAnsi="Verdana"/>
          <w:iCs/>
          <w:sz w:val="20"/>
        </w:rPr>
        <w:t>ust. 7 otrzymuje brzmienie:</w:t>
      </w:r>
    </w:p>
    <w:p w14:paraId="2B622C8F" w14:textId="144D07AE" w:rsidR="006D5B10" w:rsidRDefault="006D5B10" w:rsidP="00507785">
      <w:pPr>
        <w:tabs>
          <w:tab w:val="center" w:pos="4536"/>
          <w:tab w:val="left" w:pos="5524"/>
        </w:tabs>
        <w:spacing w:after="240" w:line="360" w:lineRule="auto"/>
        <w:ind w:left="709"/>
        <w:jc w:val="both"/>
        <w:rPr>
          <w:rFonts w:ascii="Verdana" w:hAnsi="Verdana" w:cs="Arial"/>
          <w:bCs/>
          <w:iCs/>
          <w:sz w:val="20"/>
          <w:szCs w:val="20"/>
        </w:rPr>
      </w:pPr>
      <w:r>
        <w:rPr>
          <w:rFonts w:ascii="Verdana" w:hAnsi="Verdana"/>
          <w:iCs/>
          <w:sz w:val="20"/>
        </w:rPr>
        <w:t xml:space="preserve">„7. </w:t>
      </w:r>
      <w:r w:rsidRPr="007A17DD">
        <w:rPr>
          <w:rFonts w:ascii="Verdana" w:hAnsi="Verdana" w:cs="Arial"/>
          <w:bCs/>
          <w:iCs/>
          <w:sz w:val="20"/>
          <w:szCs w:val="20"/>
        </w:rPr>
        <w:t>Składając zlecenie maklerskie członek giełdy może wskazać oznaczenia lub  warunki realizacji zlecenia, zgodne z postanowieniami Szczegółowych Zasad Obrotu Giełdowego.</w:t>
      </w:r>
      <w:r>
        <w:rPr>
          <w:rFonts w:ascii="Verdana" w:hAnsi="Verdana" w:cs="Arial"/>
          <w:bCs/>
          <w:iCs/>
          <w:sz w:val="20"/>
          <w:szCs w:val="20"/>
        </w:rPr>
        <w:t>”;</w:t>
      </w:r>
      <w:r w:rsidRPr="007A17DD">
        <w:rPr>
          <w:rFonts w:ascii="Verdana" w:hAnsi="Verdana" w:cs="Arial"/>
          <w:bCs/>
          <w:iCs/>
          <w:sz w:val="20"/>
          <w:szCs w:val="20"/>
        </w:rPr>
        <w:t xml:space="preserve">  </w:t>
      </w:r>
    </w:p>
    <w:p w14:paraId="6A2C5488" w14:textId="7C28EF7B" w:rsidR="006D5B10" w:rsidRDefault="00EC508E" w:rsidP="008F2C31">
      <w:pPr>
        <w:pStyle w:val="Tekstpodstawowy"/>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Verdana" w:hAnsi="Verdana" w:cs="Arial"/>
          <w:bCs/>
          <w:iCs/>
          <w:sz w:val="20"/>
          <w:szCs w:val="20"/>
        </w:rPr>
      </w:pPr>
      <w:r>
        <w:rPr>
          <w:rFonts w:ascii="Verdana" w:hAnsi="Verdana" w:cs="Arial"/>
          <w:bCs/>
          <w:iCs/>
          <w:sz w:val="20"/>
          <w:szCs w:val="20"/>
        </w:rPr>
        <w:lastRenderedPageBreak/>
        <w:t>ust. 12 otrzymuje brzmienie:</w:t>
      </w:r>
    </w:p>
    <w:p w14:paraId="318F0C04" w14:textId="34C7ADD6" w:rsidR="007A17DD" w:rsidRPr="00EC508E" w:rsidRDefault="00EC508E" w:rsidP="008F2C31">
      <w:pPr>
        <w:pStyle w:val="Tekstpodstawow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line="360" w:lineRule="auto"/>
        <w:ind w:left="644"/>
        <w:jc w:val="both"/>
        <w:rPr>
          <w:rFonts w:ascii="Verdana" w:hAnsi="Verdana" w:cs="Arial"/>
          <w:bCs/>
          <w:iCs/>
          <w:sz w:val="20"/>
          <w:szCs w:val="20"/>
        </w:rPr>
      </w:pPr>
      <w:r>
        <w:rPr>
          <w:rFonts w:ascii="Verdana" w:hAnsi="Verdana" w:cs="Arial"/>
          <w:bCs/>
          <w:iCs/>
          <w:sz w:val="20"/>
          <w:szCs w:val="20"/>
        </w:rPr>
        <w:t xml:space="preserve">„12. </w:t>
      </w:r>
      <w:r w:rsidR="007A17DD" w:rsidRPr="007A17DD">
        <w:rPr>
          <w:rFonts w:ascii="Verdana" w:hAnsi="Verdana" w:cs="Arial"/>
          <w:iCs/>
          <w:sz w:val="20"/>
          <w:szCs w:val="20"/>
        </w:rPr>
        <w:t>Z chwilą ogłoszenia zawieszenia obrotu wstrzymywane jest zawieranie transakcji, zlecenia znajdujące się w arkuszu zleceń tracą ważność, a nowe zlecenia maklerskie nie mogą być składane</w:t>
      </w:r>
      <w:r w:rsidR="009A181A">
        <w:rPr>
          <w:rFonts w:ascii="Verdana" w:hAnsi="Verdana" w:cs="Arial"/>
          <w:iCs/>
          <w:sz w:val="20"/>
          <w:szCs w:val="20"/>
        </w:rPr>
        <w:t xml:space="preserve"> </w:t>
      </w:r>
      <w:r w:rsidR="009A181A">
        <w:rPr>
          <w:rFonts w:ascii="Verdana" w:hAnsi="Verdana" w:cs="Arial"/>
          <w:sz w:val="20"/>
          <w:szCs w:val="20"/>
        </w:rPr>
        <w:t>do końca okresu zawieszenia</w:t>
      </w:r>
      <w:r w:rsidR="00507785">
        <w:rPr>
          <w:rFonts w:ascii="Verdana" w:hAnsi="Verdana" w:cs="Arial"/>
          <w:iCs/>
          <w:sz w:val="20"/>
          <w:szCs w:val="20"/>
        </w:rPr>
        <w:t>,</w:t>
      </w:r>
      <w:r w:rsidR="007A17DD" w:rsidRPr="007A17DD">
        <w:rPr>
          <w:rFonts w:ascii="Verdana" w:hAnsi="Verdana" w:cs="Arial"/>
          <w:iCs/>
          <w:sz w:val="20"/>
          <w:szCs w:val="20"/>
        </w:rPr>
        <w:t xml:space="preserve"> </w:t>
      </w:r>
      <w:r w:rsidR="009A181A">
        <w:rPr>
          <w:rFonts w:ascii="Verdana" w:hAnsi="Verdana" w:cs="Arial"/>
          <w:iCs/>
          <w:sz w:val="20"/>
          <w:szCs w:val="20"/>
        </w:rPr>
        <w:br/>
      </w:r>
      <w:r w:rsidR="007A17DD" w:rsidRPr="007A17DD">
        <w:rPr>
          <w:rFonts w:ascii="Verdana" w:hAnsi="Verdana" w:cs="Arial"/>
          <w:iCs/>
          <w:sz w:val="20"/>
          <w:szCs w:val="20"/>
        </w:rPr>
        <w:t>o ile z przepisów Regulaminu Giełdy, Szczegółowych Zasad Obrotu Giełdowego lub decyzji o zawieszeniu nie wynika inaczej.”;</w:t>
      </w:r>
    </w:p>
    <w:p w14:paraId="0DB4039A" w14:textId="6F76DCAD" w:rsidR="008047D3" w:rsidRDefault="007A17DD" w:rsidP="008F2C31">
      <w:pPr>
        <w:pStyle w:val="Akapitzlist"/>
        <w:numPr>
          <w:ilvl w:val="0"/>
          <w:numId w:val="1"/>
        </w:numPr>
        <w:spacing w:after="120" w:line="360" w:lineRule="auto"/>
        <w:ind w:left="284" w:hanging="284"/>
        <w:jc w:val="both"/>
        <w:rPr>
          <w:rFonts w:ascii="Verdana" w:hAnsi="Verdana"/>
          <w:sz w:val="20"/>
          <w:szCs w:val="20"/>
        </w:rPr>
      </w:pPr>
      <w:r>
        <w:rPr>
          <w:rFonts w:ascii="Verdana" w:hAnsi="Verdana"/>
          <w:sz w:val="20"/>
          <w:szCs w:val="20"/>
        </w:rPr>
        <w:t xml:space="preserve">w </w:t>
      </w:r>
      <w:r w:rsidR="00AD633B" w:rsidRPr="00AD633B">
        <w:rPr>
          <w:rFonts w:ascii="Verdana" w:hAnsi="Verdana"/>
          <w:sz w:val="20"/>
          <w:szCs w:val="20"/>
        </w:rPr>
        <w:t xml:space="preserve">§ </w:t>
      </w:r>
      <w:r w:rsidRPr="007A17DD">
        <w:rPr>
          <w:rFonts w:ascii="Verdana" w:hAnsi="Verdana"/>
          <w:sz w:val="20"/>
          <w:szCs w:val="20"/>
        </w:rPr>
        <w:t>110</w:t>
      </w:r>
      <w:r>
        <w:rPr>
          <w:rFonts w:ascii="Verdana" w:hAnsi="Verdana"/>
          <w:sz w:val="20"/>
          <w:szCs w:val="20"/>
        </w:rPr>
        <w:t>a</w:t>
      </w:r>
      <w:r w:rsidRPr="007A17DD">
        <w:rPr>
          <w:rFonts w:ascii="Verdana" w:hAnsi="Verdana"/>
          <w:sz w:val="20"/>
          <w:szCs w:val="20"/>
        </w:rPr>
        <w:t xml:space="preserve"> </w:t>
      </w:r>
      <w:r>
        <w:rPr>
          <w:rFonts w:ascii="Verdana" w:hAnsi="Verdana"/>
          <w:sz w:val="20"/>
          <w:szCs w:val="20"/>
        </w:rPr>
        <w:t xml:space="preserve">ust. 2 </w:t>
      </w:r>
      <w:r w:rsidRPr="007A17DD">
        <w:rPr>
          <w:rFonts w:ascii="Verdana" w:hAnsi="Verdana"/>
          <w:sz w:val="20"/>
          <w:szCs w:val="20"/>
        </w:rPr>
        <w:t>otrzymuje brzmienie</w:t>
      </w:r>
      <w:r>
        <w:rPr>
          <w:rFonts w:ascii="Verdana" w:hAnsi="Verdana"/>
          <w:sz w:val="20"/>
          <w:szCs w:val="20"/>
        </w:rPr>
        <w:t>:</w:t>
      </w:r>
    </w:p>
    <w:p w14:paraId="3DFCD42E" w14:textId="4CFFF065" w:rsidR="007A17DD" w:rsidRDefault="007A17DD" w:rsidP="008F2C31">
      <w:pPr>
        <w:pStyle w:val="Akapitzlist"/>
        <w:spacing w:after="360" w:line="360" w:lineRule="auto"/>
        <w:ind w:left="284"/>
        <w:jc w:val="both"/>
        <w:rPr>
          <w:rFonts w:ascii="Verdana" w:hAnsi="Verdana"/>
          <w:iCs/>
          <w:sz w:val="20"/>
          <w:szCs w:val="20"/>
        </w:rPr>
      </w:pPr>
      <w:r>
        <w:rPr>
          <w:rFonts w:ascii="Verdana" w:hAnsi="Verdana"/>
          <w:iCs/>
          <w:sz w:val="20"/>
          <w:szCs w:val="20"/>
        </w:rPr>
        <w:t xml:space="preserve">„2. </w:t>
      </w:r>
      <w:r w:rsidRPr="00640CE0">
        <w:rPr>
          <w:rFonts w:ascii="Verdana" w:hAnsi="Verdana"/>
          <w:iCs/>
          <w:sz w:val="20"/>
          <w:szCs w:val="20"/>
        </w:rPr>
        <w:t xml:space="preserve">Do końca każdego roku kalendarzowego Giełda podaje do wiadomości uczestników obrotu maksymalne wielkości wskaźników, o których mowa w ust. 1, obowiązujące na giełdzie w kolejnym roku kalendarzowym, z zastrzeżeniem </w:t>
      </w:r>
      <w:r w:rsidR="00AB2A82">
        <w:rPr>
          <w:rFonts w:ascii="Verdana" w:hAnsi="Verdana"/>
          <w:iCs/>
          <w:sz w:val="20"/>
          <w:szCs w:val="20"/>
        </w:rPr>
        <w:br/>
      </w:r>
      <w:r w:rsidRPr="00640CE0">
        <w:rPr>
          <w:rFonts w:ascii="Verdana" w:hAnsi="Verdana"/>
          <w:iCs/>
          <w:sz w:val="20"/>
          <w:szCs w:val="20"/>
        </w:rPr>
        <w:t>ust. 3.</w:t>
      </w:r>
      <w:r>
        <w:rPr>
          <w:rFonts w:ascii="Verdana" w:hAnsi="Verdana"/>
          <w:iCs/>
          <w:sz w:val="20"/>
          <w:szCs w:val="20"/>
        </w:rPr>
        <w:t>”;</w:t>
      </w:r>
    </w:p>
    <w:p w14:paraId="2D0785D8" w14:textId="17730173" w:rsidR="00A13248" w:rsidRDefault="00A13248" w:rsidP="008F2C31">
      <w:pPr>
        <w:pStyle w:val="Akapitzlist"/>
        <w:numPr>
          <w:ilvl w:val="0"/>
          <w:numId w:val="1"/>
        </w:numPr>
        <w:spacing w:after="120" w:line="360" w:lineRule="auto"/>
        <w:ind w:left="284" w:hanging="284"/>
        <w:jc w:val="both"/>
        <w:rPr>
          <w:rFonts w:ascii="Verdana" w:hAnsi="Verdana"/>
          <w:sz w:val="20"/>
          <w:szCs w:val="20"/>
        </w:rPr>
      </w:pPr>
      <w:r>
        <w:rPr>
          <w:rFonts w:ascii="Verdana" w:hAnsi="Verdana"/>
          <w:sz w:val="20"/>
          <w:szCs w:val="20"/>
        </w:rPr>
        <w:t xml:space="preserve">w </w:t>
      </w:r>
      <w:r w:rsidRPr="00A13248">
        <w:rPr>
          <w:rFonts w:ascii="Verdana" w:hAnsi="Verdana"/>
          <w:sz w:val="20"/>
          <w:szCs w:val="20"/>
        </w:rPr>
        <w:t>§ 1</w:t>
      </w:r>
      <w:r>
        <w:rPr>
          <w:rFonts w:ascii="Verdana" w:hAnsi="Verdana"/>
          <w:sz w:val="20"/>
          <w:szCs w:val="20"/>
        </w:rPr>
        <w:t>19</w:t>
      </w:r>
      <w:r w:rsidRPr="00A13248">
        <w:rPr>
          <w:rFonts w:ascii="Verdana" w:hAnsi="Verdana"/>
          <w:sz w:val="20"/>
          <w:szCs w:val="20"/>
        </w:rPr>
        <w:t xml:space="preserve"> </w:t>
      </w:r>
      <w:r>
        <w:rPr>
          <w:rFonts w:ascii="Verdana" w:hAnsi="Verdana"/>
          <w:sz w:val="20"/>
          <w:szCs w:val="20"/>
        </w:rPr>
        <w:t xml:space="preserve">ust. 2 </w:t>
      </w:r>
      <w:r w:rsidRPr="00A13248">
        <w:rPr>
          <w:rFonts w:ascii="Verdana" w:hAnsi="Verdana"/>
          <w:sz w:val="20"/>
          <w:szCs w:val="20"/>
        </w:rPr>
        <w:t>otrzymuje brzmienie</w:t>
      </w:r>
      <w:r>
        <w:rPr>
          <w:rFonts w:ascii="Verdana" w:hAnsi="Verdana"/>
          <w:sz w:val="20"/>
          <w:szCs w:val="20"/>
        </w:rPr>
        <w:t>:</w:t>
      </w:r>
    </w:p>
    <w:p w14:paraId="6DE15580" w14:textId="3869148E" w:rsidR="00A13248" w:rsidRDefault="00A13248" w:rsidP="00FC2460">
      <w:pPr>
        <w:pStyle w:val="Akapitzlist"/>
        <w:spacing w:after="360" w:line="360" w:lineRule="auto"/>
        <w:ind w:left="284"/>
        <w:jc w:val="both"/>
        <w:rPr>
          <w:rFonts w:ascii="Verdana" w:hAnsi="Verdana"/>
          <w:sz w:val="20"/>
          <w:szCs w:val="20"/>
        </w:rPr>
      </w:pPr>
      <w:r>
        <w:rPr>
          <w:rFonts w:ascii="Verdana" w:hAnsi="Verdana"/>
          <w:sz w:val="20"/>
          <w:szCs w:val="20"/>
        </w:rPr>
        <w:t xml:space="preserve">„2. </w:t>
      </w:r>
      <w:r w:rsidRPr="00640CE0">
        <w:rPr>
          <w:rFonts w:ascii="Verdana" w:hAnsi="Verdana"/>
          <w:sz w:val="20"/>
          <w:szCs w:val="20"/>
        </w:rPr>
        <w:t>Anulowaniu nie mogą podlegać transakcje pakietowe z dniem rozliczenia ustalonym na dzień zawarcia transakcji oraz transakcje pakietowe zawierane poza godzinami sesji giełdowych</w:t>
      </w:r>
      <w:r>
        <w:rPr>
          <w:rFonts w:ascii="Verdana" w:hAnsi="Verdana"/>
          <w:sz w:val="20"/>
          <w:szCs w:val="20"/>
        </w:rPr>
        <w:t>.”;</w:t>
      </w:r>
    </w:p>
    <w:p w14:paraId="08116334" w14:textId="6AB9174A" w:rsidR="007A17DD" w:rsidRPr="009B7319" w:rsidRDefault="00EC508E" w:rsidP="008F2C31">
      <w:pPr>
        <w:pStyle w:val="Akapitzlist"/>
        <w:numPr>
          <w:ilvl w:val="0"/>
          <w:numId w:val="1"/>
        </w:numPr>
        <w:spacing w:after="120" w:line="360" w:lineRule="auto"/>
        <w:ind w:left="284" w:hanging="284"/>
        <w:jc w:val="both"/>
        <w:rPr>
          <w:rFonts w:ascii="Verdana" w:hAnsi="Verdana"/>
          <w:sz w:val="20"/>
          <w:szCs w:val="20"/>
        </w:rPr>
      </w:pPr>
      <w:r>
        <w:rPr>
          <w:rFonts w:ascii="Verdana" w:hAnsi="Verdana"/>
          <w:sz w:val="20"/>
          <w:szCs w:val="20"/>
        </w:rPr>
        <w:t xml:space="preserve"> w </w:t>
      </w:r>
      <w:r w:rsidR="00AD633B" w:rsidRPr="00AD633B">
        <w:rPr>
          <w:rFonts w:ascii="Verdana" w:hAnsi="Verdana"/>
          <w:sz w:val="20"/>
          <w:szCs w:val="20"/>
        </w:rPr>
        <w:t xml:space="preserve">§ </w:t>
      </w:r>
      <w:r w:rsidR="007A17DD" w:rsidRPr="007A17DD">
        <w:rPr>
          <w:rFonts w:ascii="Verdana" w:hAnsi="Verdana"/>
          <w:sz w:val="20"/>
          <w:szCs w:val="20"/>
        </w:rPr>
        <w:t>1</w:t>
      </w:r>
      <w:r w:rsidR="007A17DD">
        <w:rPr>
          <w:rFonts w:ascii="Verdana" w:hAnsi="Verdana"/>
          <w:sz w:val="20"/>
          <w:szCs w:val="20"/>
        </w:rPr>
        <w:t>32:</w:t>
      </w:r>
    </w:p>
    <w:p w14:paraId="79B45CB2" w14:textId="77777777" w:rsidR="00FC2460" w:rsidRPr="00FC2460" w:rsidRDefault="00EC508E" w:rsidP="00FC2460">
      <w:pPr>
        <w:pStyle w:val="Tekstpodstawowywcity21"/>
        <w:numPr>
          <w:ilvl w:val="0"/>
          <w:numId w:val="14"/>
        </w:numPr>
        <w:spacing w:after="120" w:line="360" w:lineRule="auto"/>
        <w:rPr>
          <w:rFonts w:ascii="Verdana" w:hAnsi="Verdana" w:cs="Arial"/>
          <w:b w:val="0"/>
          <w:bCs/>
          <w:sz w:val="20"/>
        </w:rPr>
      </w:pPr>
      <w:r w:rsidRPr="00FC2460">
        <w:rPr>
          <w:rFonts w:ascii="Verdana" w:hAnsi="Verdana" w:cs="Arial"/>
          <w:b w:val="0"/>
          <w:bCs/>
          <w:sz w:val="20"/>
        </w:rPr>
        <w:t xml:space="preserve">ust. 2 </w:t>
      </w:r>
      <w:r w:rsidR="00FC2460" w:rsidRPr="00FC2460">
        <w:rPr>
          <w:rFonts w:ascii="Verdana" w:hAnsi="Verdana" w:cs="Arial"/>
          <w:b w:val="0"/>
          <w:bCs/>
          <w:sz w:val="20"/>
        </w:rPr>
        <w:t xml:space="preserve">otrzymuje brzmienie: </w:t>
      </w:r>
    </w:p>
    <w:p w14:paraId="798EF523" w14:textId="426EB6B6" w:rsidR="00FC2460" w:rsidRPr="00FC2460" w:rsidRDefault="00FC2460" w:rsidP="00FC2460">
      <w:pPr>
        <w:pStyle w:val="Tekstpodstawowywcity21"/>
        <w:spacing w:after="240" w:line="360" w:lineRule="auto"/>
        <w:ind w:left="644" w:firstLine="0"/>
        <w:rPr>
          <w:rFonts w:ascii="Verdana" w:hAnsi="Verdana" w:cs="Arial"/>
          <w:b w:val="0"/>
          <w:bCs/>
          <w:sz w:val="20"/>
        </w:rPr>
      </w:pPr>
      <w:r w:rsidRPr="00FC2460">
        <w:rPr>
          <w:rFonts w:ascii="Verdana" w:hAnsi="Verdana" w:cs="Arial"/>
          <w:b w:val="0"/>
          <w:bCs/>
          <w:sz w:val="20"/>
        </w:rPr>
        <w:t xml:space="preserve">„2. </w:t>
      </w:r>
      <w:r w:rsidR="00EC508E" w:rsidRPr="00FC2460">
        <w:rPr>
          <w:rFonts w:ascii="Verdana" w:hAnsi="Verdana" w:cs="Arial"/>
          <w:b w:val="0"/>
          <w:bCs/>
          <w:sz w:val="20"/>
        </w:rPr>
        <w:t>Z zastrzeżeniem ust. 3 i 5</w:t>
      </w:r>
      <w:r w:rsidRPr="00FC2460">
        <w:rPr>
          <w:rFonts w:ascii="Verdana" w:hAnsi="Verdana" w:cs="Arial"/>
          <w:b w:val="0"/>
          <w:bCs/>
          <w:sz w:val="20"/>
        </w:rPr>
        <w:t xml:space="preserve">, podstawę dla ustalenia dopuszczalnych wahań kursów w danym systemie notowań stanowi kurs odniesienia określany zgodnie z </w:t>
      </w:r>
      <w:r w:rsidRPr="00FC2460">
        <w:rPr>
          <w:rFonts w:ascii="Verdana" w:hAnsi="Verdana"/>
          <w:b w:val="0"/>
          <w:bCs/>
          <w:sz w:val="20"/>
        </w:rPr>
        <w:t>przepisami § 137 i § 149.</w:t>
      </w:r>
      <w:r>
        <w:rPr>
          <w:rFonts w:ascii="Verdana" w:hAnsi="Verdana"/>
          <w:b w:val="0"/>
          <w:bCs/>
          <w:sz w:val="20"/>
        </w:rPr>
        <w:t xml:space="preserve">”; </w:t>
      </w:r>
      <w:r w:rsidRPr="00FC2460">
        <w:rPr>
          <w:rFonts w:ascii="Verdana" w:hAnsi="Verdana"/>
          <w:b w:val="0"/>
          <w:bCs/>
          <w:sz w:val="20"/>
        </w:rPr>
        <w:t xml:space="preserve">   </w:t>
      </w:r>
    </w:p>
    <w:p w14:paraId="66BE22F3" w14:textId="656E07B8" w:rsidR="00B023D8" w:rsidRDefault="00B023D8" w:rsidP="008F2C31">
      <w:pPr>
        <w:pStyle w:val="Akapitzlist"/>
        <w:numPr>
          <w:ilvl w:val="0"/>
          <w:numId w:val="14"/>
        </w:numPr>
        <w:spacing w:after="120" w:line="360" w:lineRule="auto"/>
        <w:ind w:left="640" w:hanging="215"/>
        <w:jc w:val="both"/>
        <w:rPr>
          <w:rFonts w:ascii="Verdana" w:hAnsi="Verdana" w:cs="Arial"/>
          <w:sz w:val="20"/>
        </w:rPr>
      </w:pPr>
      <w:r>
        <w:rPr>
          <w:rFonts w:ascii="Verdana" w:hAnsi="Verdana" w:cs="Arial"/>
          <w:sz w:val="20"/>
        </w:rPr>
        <w:t>ust. 3 otrzymuje brzmienie:</w:t>
      </w:r>
    </w:p>
    <w:p w14:paraId="44720846" w14:textId="562B47A6" w:rsidR="00B023D8" w:rsidRDefault="00B023D8" w:rsidP="008F2C31">
      <w:pPr>
        <w:pStyle w:val="Tekstpodstawowywcity21"/>
        <w:tabs>
          <w:tab w:val="clear" w:pos="720"/>
          <w:tab w:val="num" w:pos="851"/>
        </w:tabs>
        <w:spacing w:after="240" w:line="360" w:lineRule="auto"/>
        <w:ind w:left="709" w:firstLine="0"/>
        <w:rPr>
          <w:rFonts w:ascii="Verdana" w:hAnsi="Verdana"/>
          <w:sz w:val="20"/>
        </w:rPr>
      </w:pPr>
      <w:r w:rsidRPr="00B023D8">
        <w:rPr>
          <w:rFonts w:ascii="Verdana" w:hAnsi="Verdana" w:cs="Arial"/>
          <w:b w:val="0"/>
          <w:bCs/>
          <w:sz w:val="20"/>
        </w:rPr>
        <w:t>„3.</w:t>
      </w:r>
      <w:r>
        <w:rPr>
          <w:rFonts w:ascii="Verdana" w:hAnsi="Verdana" w:cs="Arial"/>
          <w:sz w:val="20"/>
        </w:rPr>
        <w:t xml:space="preserve"> </w:t>
      </w:r>
      <w:r w:rsidRPr="00640CE0">
        <w:rPr>
          <w:rFonts w:ascii="Verdana" w:hAnsi="Verdana" w:cs="Arial"/>
          <w:b w:val="0"/>
          <w:sz w:val="20"/>
        </w:rPr>
        <w:t>W przypadku obrotu instrumentami finansowymi w systemie animatora rynku granice dopuszczalnych wahań kursów stanowią limity cen w zleceniach animatora rynku.</w:t>
      </w:r>
      <w:r>
        <w:rPr>
          <w:rFonts w:ascii="Verdana" w:hAnsi="Verdana" w:cs="Arial"/>
          <w:b w:val="0"/>
          <w:sz w:val="20"/>
        </w:rPr>
        <w:t>”;</w:t>
      </w:r>
      <w:r w:rsidRPr="00640CE0">
        <w:rPr>
          <w:rFonts w:ascii="Verdana" w:hAnsi="Verdana"/>
          <w:sz w:val="20"/>
        </w:rPr>
        <w:t xml:space="preserve">  </w:t>
      </w:r>
    </w:p>
    <w:p w14:paraId="07E6E405" w14:textId="07C3FFD7" w:rsidR="00B023D8" w:rsidRDefault="00B023D8" w:rsidP="008F2C31">
      <w:pPr>
        <w:pStyle w:val="Akapitzlist"/>
        <w:numPr>
          <w:ilvl w:val="0"/>
          <w:numId w:val="14"/>
        </w:numPr>
        <w:spacing w:after="120" w:line="360" w:lineRule="auto"/>
        <w:ind w:left="640" w:hanging="215"/>
        <w:jc w:val="both"/>
        <w:rPr>
          <w:rFonts w:ascii="Verdana" w:hAnsi="Verdana" w:cs="Arial"/>
          <w:sz w:val="20"/>
        </w:rPr>
      </w:pPr>
      <w:r>
        <w:rPr>
          <w:rFonts w:ascii="Verdana" w:hAnsi="Verdana" w:cs="Arial"/>
          <w:sz w:val="20"/>
        </w:rPr>
        <w:t xml:space="preserve"> ust. 5 otrzymuje brzmienie:</w:t>
      </w:r>
    </w:p>
    <w:p w14:paraId="5EED2D5E" w14:textId="53432609" w:rsidR="009B7319" w:rsidRPr="00B023D8" w:rsidRDefault="00B023D8" w:rsidP="008F2C31">
      <w:pPr>
        <w:pStyle w:val="Akapitzlist"/>
        <w:spacing w:after="360" w:line="360" w:lineRule="auto"/>
        <w:ind w:left="640"/>
        <w:jc w:val="both"/>
        <w:rPr>
          <w:rFonts w:ascii="Verdana" w:hAnsi="Verdana" w:cs="Arial"/>
          <w:sz w:val="20"/>
        </w:rPr>
      </w:pPr>
      <w:r>
        <w:rPr>
          <w:rFonts w:ascii="Verdana" w:hAnsi="Verdana" w:cs="Arial"/>
          <w:sz w:val="20"/>
        </w:rPr>
        <w:t xml:space="preserve">„5. </w:t>
      </w:r>
      <w:r w:rsidR="009B7319" w:rsidRPr="00640CE0">
        <w:rPr>
          <w:rFonts w:ascii="Verdana" w:hAnsi="Verdana" w:cs="Arial"/>
          <w:sz w:val="20"/>
        </w:rPr>
        <w:t xml:space="preserve">W szczególnie uzasadnionych przypadkach Zarząd Giełdy mając na uwadze bezpieczeństwo obrotu lub interes jego uczestników może, na czas określony,  postanowić o zmianie wysokości, zawieszeniu lub zniesieniu ograniczeń wahań kursów dla wszystkich lub dla wybranych instrumentów finansowych lub </w:t>
      </w:r>
      <w:r>
        <w:rPr>
          <w:rFonts w:ascii="Verdana" w:hAnsi="Verdana" w:cs="Arial"/>
          <w:sz w:val="20"/>
        </w:rPr>
        <w:br/>
      </w:r>
      <w:r w:rsidR="009B7319" w:rsidRPr="00640CE0">
        <w:rPr>
          <w:rFonts w:ascii="Verdana" w:hAnsi="Verdana" w:cs="Arial"/>
          <w:sz w:val="20"/>
        </w:rPr>
        <w:t xml:space="preserve">w danym systemie </w:t>
      </w:r>
      <w:r w:rsidR="009B7319" w:rsidRPr="00B55022">
        <w:rPr>
          <w:rFonts w:ascii="Verdana" w:hAnsi="Verdana" w:cs="Arial"/>
          <w:sz w:val="20"/>
        </w:rPr>
        <w:t xml:space="preserve">notowań, jak również </w:t>
      </w:r>
      <w:r w:rsidR="00AB2A82">
        <w:rPr>
          <w:rFonts w:ascii="Verdana" w:hAnsi="Verdana" w:cs="Arial"/>
          <w:sz w:val="20"/>
        </w:rPr>
        <w:t xml:space="preserve">o </w:t>
      </w:r>
      <w:r w:rsidR="009B7319" w:rsidRPr="00B55022">
        <w:rPr>
          <w:rFonts w:ascii="Verdana" w:hAnsi="Verdana" w:cs="Arial"/>
          <w:sz w:val="20"/>
        </w:rPr>
        <w:t xml:space="preserve">wyznaczeniu nowego kursu </w:t>
      </w:r>
      <w:r w:rsidR="009B7319" w:rsidRPr="00B55022">
        <w:rPr>
          <w:rFonts w:ascii="Verdana" w:hAnsi="Verdana" w:cs="Arial"/>
          <w:sz w:val="20"/>
        </w:rPr>
        <w:lastRenderedPageBreak/>
        <w:t>odniesienia. Uchwała w tej sprawie jest podawana niezwłocznie do wiadomości uczestników obrotu.</w:t>
      </w:r>
      <w:r>
        <w:rPr>
          <w:rFonts w:ascii="Verdana" w:hAnsi="Verdana" w:cs="Arial"/>
          <w:sz w:val="20"/>
        </w:rPr>
        <w:t>”;</w:t>
      </w:r>
      <w:r w:rsidR="009B7319" w:rsidRPr="00640CE0">
        <w:rPr>
          <w:rFonts w:ascii="Verdana" w:hAnsi="Verdana" w:cs="Arial"/>
          <w:sz w:val="20"/>
        </w:rPr>
        <w:t xml:space="preserve">  </w:t>
      </w:r>
    </w:p>
    <w:p w14:paraId="44795B62" w14:textId="42EC41EA" w:rsidR="009B7319" w:rsidRPr="00C54DC8" w:rsidRDefault="00B023D8" w:rsidP="008F2C31">
      <w:pPr>
        <w:pStyle w:val="Akapitzlist"/>
        <w:numPr>
          <w:ilvl w:val="0"/>
          <w:numId w:val="1"/>
        </w:numPr>
        <w:spacing w:after="120" w:line="360" w:lineRule="auto"/>
        <w:ind w:left="283" w:hanging="425"/>
        <w:jc w:val="both"/>
        <w:rPr>
          <w:rFonts w:ascii="Verdana" w:hAnsi="Verdana"/>
          <w:sz w:val="20"/>
          <w:szCs w:val="20"/>
        </w:rPr>
      </w:pPr>
      <w:r>
        <w:rPr>
          <w:rFonts w:ascii="Verdana" w:hAnsi="Verdana"/>
          <w:sz w:val="20"/>
          <w:szCs w:val="20"/>
        </w:rPr>
        <w:t xml:space="preserve">w </w:t>
      </w:r>
      <w:r w:rsidR="00AD633B" w:rsidRPr="00AD633B">
        <w:rPr>
          <w:rFonts w:ascii="Verdana" w:hAnsi="Verdana"/>
          <w:sz w:val="20"/>
          <w:szCs w:val="20"/>
        </w:rPr>
        <w:t xml:space="preserve">§ </w:t>
      </w:r>
      <w:r w:rsidR="009B7319" w:rsidRPr="009B7319">
        <w:rPr>
          <w:rFonts w:ascii="Verdana" w:hAnsi="Verdana"/>
          <w:sz w:val="20"/>
          <w:szCs w:val="20"/>
        </w:rPr>
        <w:t>13</w:t>
      </w:r>
      <w:r w:rsidR="009B7319">
        <w:rPr>
          <w:rFonts w:ascii="Verdana" w:hAnsi="Verdana"/>
          <w:sz w:val="20"/>
          <w:szCs w:val="20"/>
        </w:rPr>
        <w:t>4:</w:t>
      </w:r>
    </w:p>
    <w:p w14:paraId="131AC808" w14:textId="0B8F0EC5" w:rsidR="009B7319" w:rsidRPr="00B77808" w:rsidRDefault="00B77808" w:rsidP="00FC2460">
      <w:pPr>
        <w:pStyle w:val="Tekstpodstawowy2"/>
        <w:numPr>
          <w:ilvl w:val="0"/>
          <w:numId w:val="15"/>
        </w:numPr>
        <w:spacing w:line="360" w:lineRule="auto"/>
        <w:rPr>
          <w:rFonts w:ascii="Verdana" w:hAnsi="Verdana"/>
          <w:bCs/>
          <w:sz w:val="20"/>
          <w:vertAlign w:val="superscript"/>
        </w:rPr>
      </w:pPr>
      <w:r>
        <w:rPr>
          <w:rFonts w:ascii="Verdana" w:hAnsi="Verdana"/>
          <w:bCs/>
          <w:sz w:val="20"/>
        </w:rPr>
        <w:t>w ust. 2:</w:t>
      </w:r>
    </w:p>
    <w:p w14:paraId="0A3642E8" w14:textId="7D1BB915" w:rsidR="00B77808" w:rsidRDefault="00B77808" w:rsidP="008F2C31">
      <w:pPr>
        <w:pStyle w:val="Tekstpodstawowy2"/>
        <w:spacing w:line="360" w:lineRule="auto"/>
        <w:ind w:left="720"/>
        <w:rPr>
          <w:rFonts w:ascii="Verdana" w:hAnsi="Verdana"/>
          <w:bCs/>
          <w:sz w:val="20"/>
        </w:rPr>
      </w:pPr>
      <w:r>
        <w:rPr>
          <w:rFonts w:ascii="Verdana" w:hAnsi="Verdana"/>
          <w:bCs/>
          <w:sz w:val="20"/>
        </w:rPr>
        <w:t>- po pkt 2 dodaje się pkt 2a, w brzmieniu:</w:t>
      </w:r>
    </w:p>
    <w:p w14:paraId="41A53191" w14:textId="2D64F10B" w:rsidR="00B77808" w:rsidRDefault="00B77808" w:rsidP="008F2C31">
      <w:pPr>
        <w:pStyle w:val="Tekstpodstawowy2"/>
        <w:spacing w:after="240" w:line="360" w:lineRule="auto"/>
        <w:ind w:left="851"/>
        <w:jc w:val="both"/>
        <w:rPr>
          <w:rFonts w:ascii="Verdana" w:hAnsi="Verdana"/>
          <w:sz w:val="20"/>
          <w:szCs w:val="20"/>
        </w:rPr>
      </w:pPr>
      <w:r>
        <w:rPr>
          <w:rFonts w:ascii="Verdana" w:hAnsi="Verdana"/>
          <w:bCs/>
          <w:sz w:val="20"/>
        </w:rPr>
        <w:t xml:space="preserve">„2a) </w:t>
      </w:r>
      <w:r w:rsidRPr="00B77808">
        <w:rPr>
          <w:rFonts w:ascii="Verdana" w:hAnsi="Verdana"/>
          <w:sz w:val="20"/>
          <w:szCs w:val="20"/>
        </w:rPr>
        <w:t xml:space="preserve">określenia kursu na poziomie, przy którym wszystkie zlecenia kupna </w:t>
      </w:r>
      <w:r w:rsidR="00FC2460">
        <w:rPr>
          <w:rFonts w:ascii="Verdana" w:hAnsi="Verdana"/>
          <w:sz w:val="20"/>
          <w:szCs w:val="20"/>
        </w:rPr>
        <w:br/>
      </w:r>
      <w:r w:rsidRPr="00B77808">
        <w:rPr>
          <w:rFonts w:ascii="Verdana" w:hAnsi="Verdana"/>
          <w:sz w:val="20"/>
          <w:szCs w:val="20"/>
        </w:rPr>
        <w:t xml:space="preserve">z limitem ceny wyższym od tego kursu oraz wszystkie zlecenia sprzedaży </w:t>
      </w:r>
      <w:r w:rsidR="00FC2460">
        <w:rPr>
          <w:rFonts w:ascii="Verdana" w:hAnsi="Verdana"/>
          <w:sz w:val="20"/>
          <w:szCs w:val="20"/>
        </w:rPr>
        <w:br/>
      </w:r>
      <w:r w:rsidRPr="00B77808">
        <w:rPr>
          <w:rFonts w:ascii="Verdana" w:hAnsi="Verdana"/>
          <w:sz w:val="20"/>
          <w:szCs w:val="20"/>
        </w:rPr>
        <w:t>z limitem ceny niższym od tego kursu są realizowane w całości,</w:t>
      </w:r>
      <w:r>
        <w:rPr>
          <w:rFonts w:ascii="Verdana" w:hAnsi="Verdana"/>
          <w:sz w:val="20"/>
          <w:szCs w:val="20"/>
        </w:rPr>
        <w:t>”;</w:t>
      </w:r>
    </w:p>
    <w:p w14:paraId="7AC41396" w14:textId="548293CC" w:rsidR="00B77808" w:rsidRDefault="00B77808" w:rsidP="008F2C31">
      <w:pPr>
        <w:pStyle w:val="Tekstpodstawowy2"/>
        <w:spacing w:line="360" w:lineRule="auto"/>
        <w:ind w:left="720"/>
        <w:jc w:val="both"/>
        <w:rPr>
          <w:rFonts w:ascii="Verdana" w:hAnsi="Verdana"/>
          <w:sz w:val="20"/>
          <w:szCs w:val="20"/>
        </w:rPr>
      </w:pPr>
      <w:r>
        <w:rPr>
          <w:rFonts w:ascii="Verdana" w:hAnsi="Verdana"/>
          <w:sz w:val="20"/>
          <w:szCs w:val="20"/>
        </w:rPr>
        <w:t>- pkt 3 otrzymuje brzmienie:</w:t>
      </w:r>
    </w:p>
    <w:p w14:paraId="306CD4D3" w14:textId="46146B81" w:rsidR="00B77808" w:rsidRPr="009B7319" w:rsidRDefault="00B77808" w:rsidP="008F2C31">
      <w:pPr>
        <w:pStyle w:val="Tekstpodstawowy2"/>
        <w:spacing w:after="240" w:line="360" w:lineRule="auto"/>
        <w:ind w:left="851"/>
        <w:jc w:val="both"/>
        <w:rPr>
          <w:rFonts w:ascii="Verdana" w:hAnsi="Verdana"/>
          <w:bCs/>
          <w:sz w:val="20"/>
          <w:vertAlign w:val="superscript"/>
        </w:rPr>
      </w:pPr>
      <w:r>
        <w:rPr>
          <w:rFonts w:ascii="Verdana" w:hAnsi="Verdana"/>
          <w:sz w:val="20"/>
          <w:szCs w:val="20"/>
        </w:rPr>
        <w:t xml:space="preserve">„3) </w:t>
      </w:r>
      <w:r w:rsidRPr="00D66206">
        <w:rPr>
          <w:rFonts w:ascii="Verdana" w:hAnsi="Verdana"/>
          <w:bCs/>
          <w:sz w:val="20"/>
          <w:szCs w:val="20"/>
        </w:rPr>
        <w:t>minimalizacji różnicy między kursem określanym a kursem odniesienia</w:t>
      </w:r>
      <w:r>
        <w:rPr>
          <w:rFonts w:ascii="Verdana" w:hAnsi="Verdana"/>
          <w:bCs/>
          <w:sz w:val="20"/>
          <w:szCs w:val="20"/>
        </w:rPr>
        <w:t>.”;</w:t>
      </w:r>
    </w:p>
    <w:p w14:paraId="5EE6CA02" w14:textId="0009BFEC" w:rsidR="009B7319" w:rsidRDefault="00B77808" w:rsidP="008F2C31">
      <w:pPr>
        <w:pStyle w:val="Tekstpodstawowy2"/>
        <w:numPr>
          <w:ilvl w:val="0"/>
          <w:numId w:val="15"/>
        </w:numPr>
        <w:spacing w:line="360" w:lineRule="auto"/>
        <w:rPr>
          <w:rFonts w:ascii="Verdana" w:hAnsi="Verdana"/>
          <w:sz w:val="20"/>
          <w:szCs w:val="20"/>
        </w:rPr>
      </w:pPr>
      <w:r>
        <w:rPr>
          <w:rFonts w:ascii="Verdana" w:hAnsi="Verdana"/>
          <w:sz w:val="20"/>
          <w:szCs w:val="20"/>
        </w:rPr>
        <w:t>ust. 3 otrzymuje brzmienie:</w:t>
      </w:r>
    </w:p>
    <w:p w14:paraId="111477CF" w14:textId="1527B259" w:rsidR="00B77808" w:rsidRDefault="00B77808" w:rsidP="008F2C31">
      <w:pPr>
        <w:pStyle w:val="Tekstpodstawowy2"/>
        <w:spacing w:after="360" w:line="360" w:lineRule="auto"/>
        <w:ind w:left="720"/>
        <w:jc w:val="both"/>
        <w:rPr>
          <w:rFonts w:ascii="Verdana" w:hAnsi="Verdana"/>
          <w:sz w:val="20"/>
        </w:rPr>
      </w:pPr>
      <w:r>
        <w:rPr>
          <w:rFonts w:ascii="Verdana" w:hAnsi="Verdana"/>
          <w:sz w:val="20"/>
          <w:szCs w:val="20"/>
        </w:rPr>
        <w:t>„</w:t>
      </w:r>
      <w:r w:rsidRPr="00B77808">
        <w:rPr>
          <w:rFonts w:ascii="Verdana" w:hAnsi="Verdana"/>
          <w:sz w:val="20"/>
          <w:szCs w:val="20"/>
        </w:rPr>
        <w:t xml:space="preserve">3. </w:t>
      </w:r>
      <w:bookmarkStart w:id="1" w:name="_Hlk188279786"/>
      <w:r w:rsidRPr="00B77808">
        <w:rPr>
          <w:rFonts w:ascii="Verdana" w:hAnsi="Verdana"/>
          <w:sz w:val="20"/>
        </w:rPr>
        <w:t>W systemie animatora rynku kursu otwarcia oraz kursu zamknięcia nie określa się.</w:t>
      </w:r>
      <w:bookmarkEnd w:id="1"/>
      <w:r>
        <w:rPr>
          <w:rFonts w:ascii="Verdana" w:hAnsi="Verdana"/>
          <w:sz w:val="20"/>
        </w:rPr>
        <w:t>”;</w:t>
      </w:r>
    </w:p>
    <w:p w14:paraId="7E61082F" w14:textId="392F317B" w:rsidR="00440122" w:rsidRDefault="00440122" w:rsidP="008F2C31">
      <w:pPr>
        <w:pStyle w:val="Akapitzlist"/>
        <w:numPr>
          <w:ilvl w:val="0"/>
          <w:numId w:val="1"/>
        </w:numPr>
        <w:spacing w:after="120" w:line="360" w:lineRule="auto"/>
        <w:ind w:left="283" w:hanging="425"/>
        <w:jc w:val="both"/>
        <w:rPr>
          <w:rFonts w:ascii="Verdana" w:hAnsi="Verdana"/>
          <w:sz w:val="20"/>
          <w:szCs w:val="20"/>
        </w:rPr>
      </w:pPr>
      <w:r w:rsidRPr="00AD633B">
        <w:rPr>
          <w:rFonts w:ascii="Verdana" w:hAnsi="Verdana"/>
          <w:sz w:val="20"/>
          <w:szCs w:val="20"/>
        </w:rPr>
        <w:t xml:space="preserve">§ </w:t>
      </w:r>
      <w:r w:rsidRPr="00AE38FE">
        <w:rPr>
          <w:rFonts w:ascii="Verdana" w:hAnsi="Verdana"/>
          <w:sz w:val="20"/>
          <w:szCs w:val="20"/>
        </w:rPr>
        <w:t>13</w:t>
      </w:r>
      <w:r>
        <w:rPr>
          <w:rFonts w:ascii="Verdana" w:hAnsi="Verdana"/>
          <w:sz w:val="20"/>
          <w:szCs w:val="20"/>
        </w:rPr>
        <w:t>5 otrzymuje brzmienie:</w:t>
      </w:r>
    </w:p>
    <w:p w14:paraId="1D8E35C6" w14:textId="034E89DC" w:rsidR="00440122" w:rsidRDefault="00440122" w:rsidP="008F2C31">
      <w:pPr>
        <w:pStyle w:val="Akapitzlist"/>
        <w:spacing w:after="120" w:line="360" w:lineRule="auto"/>
        <w:ind w:left="283"/>
        <w:jc w:val="both"/>
        <w:rPr>
          <w:rFonts w:ascii="Verdana" w:hAnsi="Verdana"/>
          <w:sz w:val="20"/>
          <w:szCs w:val="20"/>
        </w:rPr>
      </w:pPr>
      <w:r>
        <w:rPr>
          <w:rFonts w:ascii="Verdana" w:hAnsi="Verdana"/>
          <w:sz w:val="20"/>
          <w:szCs w:val="20"/>
        </w:rPr>
        <w:t>„</w:t>
      </w:r>
      <w:r w:rsidRPr="00AD633B">
        <w:rPr>
          <w:rFonts w:ascii="Verdana" w:hAnsi="Verdana"/>
          <w:sz w:val="20"/>
          <w:szCs w:val="20"/>
        </w:rPr>
        <w:t xml:space="preserve">§ </w:t>
      </w:r>
      <w:r w:rsidRPr="00AE38FE">
        <w:rPr>
          <w:rFonts w:ascii="Verdana" w:hAnsi="Verdana"/>
          <w:sz w:val="20"/>
          <w:szCs w:val="20"/>
        </w:rPr>
        <w:t>13</w:t>
      </w:r>
      <w:r>
        <w:rPr>
          <w:rFonts w:ascii="Verdana" w:hAnsi="Verdana"/>
          <w:sz w:val="20"/>
          <w:szCs w:val="20"/>
        </w:rPr>
        <w:t>5</w:t>
      </w:r>
    </w:p>
    <w:p w14:paraId="5561539C" w14:textId="5296B2C0" w:rsidR="00440122" w:rsidRPr="00440122" w:rsidRDefault="00440122" w:rsidP="008F2C31">
      <w:pPr>
        <w:pStyle w:val="Akapitzlist"/>
        <w:spacing w:after="360" w:line="360" w:lineRule="auto"/>
        <w:ind w:left="283"/>
        <w:jc w:val="both"/>
        <w:rPr>
          <w:rFonts w:ascii="Verdana" w:hAnsi="Verdana"/>
          <w:bCs/>
          <w:sz w:val="20"/>
          <w:szCs w:val="20"/>
        </w:rPr>
      </w:pPr>
      <w:r w:rsidRPr="00440122">
        <w:rPr>
          <w:rFonts w:ascii="Verdana" w:hAnsi="Verdana"/>
          <w:bCs/>
          <w:sz w:val="20"/>
        </w:rPr>
        <w:t xml:space="preserve">Zarząd Giełdy określa w </w:t>
      </w:r>
      <w:r w:rsidRPr="00440122">
        <w:rPr>
          <w:rFonts w:ascii="Verdana" w:hAnsi="Verdana"/>
          <w:bCs/>
          <w:spacing w:val="-3"/>
          <w:sz w:val="20"/>
          <w:szCs w:val="20"/>
        </w:rPr>
        <w:t>Szczegółowych Zasad</w:t>
      </w:r>
      <w:r w:rsidRPr="00440122">
        <w:rPr>
          <w:rFonts w:ascii="Verdana" w:hAnsi="Verdana"/>
          <w:bCs/>
          <w:spacing w:val="-3"/>
          <w:sz w:val="20"/>
        </w:rPr>
        <w:t>ach</w:t>
      </w:r>
      <w:r w:rsidRPr="00440122">
        <w:rPr>
          <w:rFonts w:ascii="Verdana" w:hAnsi="Verdana"/>
          <w:bCs/>
          <w:spacing w:val="-3"/>
          <w:sz w:val="20"/>
          <w:szCs w:val="20"/>
        </w:rPr>
        <w:t xml:space="preserve"> Obrotu Giełdowego </w:t>
      </w:r>
      <w:r w:rsidRPr="00440122">
        <w:rPr>
          <w:rFonts w:ascii="Verdana" w:hAnsi="Verdana"/>
          <w:bCs/>
          <w:sz w:val="20"/>
        </w:rPr>
        <w:t xml:space="preserve">szczegółowy tryb określania kursu otwarcia oraz kursu zamknięcia, jak również zasady realizacji zleceń biorących udział w ich określaniu.”;   </w:t>
      </w:r>
    </w:p>
    <w:p w14:paraId="4773E8E7" w14:textId="2EFBE7B2" w:rsidR="009B7319" w:rsidRDefault="00EA4B5F" w:rsidP="008F2C31">
      <w:pPr>
        <w:pStyle w:val="Akapitzlist"/>
        <w:numPr>
          <w:ilvl w:val="0"/>
          <w:numId w:val="1"/>
        </w:numPr>
        <w:spacing w:after="120" w:line="360" w:lineRule="auto"/>
        <w:ind w:left="283" w:hanging="425"/>
        <w:jc w:val="both"/>
        <w:rPr>
          <w:rFonts w:ascii="Verdana" w:hAnsi="Verdana"/>
          <w:sz w:val="20"/>
          <w:szCs w:val="20"/>
        </w:rPr>
      </w:pPr>
      <w:r>
        <w:rPr>
          <w:rFonts w:ascii="Verdana" w:hAnsi="Verdana"/>
          <w:sz w:val="20"/>
          <w:szCs w:val="20"/>
        </w:rPr>
        <w:t xml:space="preserve">w </w:t>
      </w:r>
      <w:r w:rsidR="00AD633B" w:rsidRPr="00AD633B">
        <w:rPr>
          <w:rFonts w:ascii="Verdana" w:hAnsi="Verdana"/>
          <w:sz w:val="20"/>
          <w:szCs w:val="20"/>
        </w:rPr>
        <w:t xml:space="preserve">§ </w:t>
      </w:r>
      <w:r w:rsidR="00AE38FE" w:rsidRPr="00AE38FE">
        <w:rPr>
          <w:rFonts w:ascii="Verdana" w:hAnsi="Verdana"/>
          <w:sz w:val="20"/>
          <w:szCs w:val="20"/>
        </w:rPr>
        <w:t>13</w:t>
      </w:r>
      <w:r w:rsidR="00AE38FE">
        <w:rPr>
          <w:rFonts w:ascii="Verdana" w:hAnsi="Verdana"/>
          <w:sz w:val="20"/>
          <w:szCs w:val="20"/>
        </w:rPr>
        <w:t>6:</w:t>
      </w:r>
    </w:p>
    <w:p w14:paraId="7C03BB63" w14:textId="490248F0" w:rsidR="00AE38FE" w:rsidRDefault="00EA4B5F" w:rsidP="008F2C31">
      <w:pPr>
        <w:pStyle w:val="Akapitzlist"/>
        <w:numPr>
          <w:ilvl w:val="0"/>
          <w:numId w:val="16"/>
        </w:numPr>
        <w:spacing w:after="120" w:line="360" w:lineRule="auto"/>
        <w:rPr>
          <w:rFonts w:ascii="Verdana" w:hAnsi="Verdana"/>
          <w:sz w:val="20"/>
          <w:szCs w:val="20"/>
        </w:rPr>
      </w:pPr>
      <w:r>
        <w:rPr>
          <w:rFonts w:ascii="Verdana" w:hAnsi="Verdana"/>
          <w:sz w:val="20"/>
          <w:szCs w:val="20"/>
        </w:rPr>
        <w:t>ust. 1 otrzymuje brzmienie:</w:t>
      </w:r>
    </w:p>
    <w:p w14:paraId="3638AD91" w14:textId="3575CC54" w:rsidR="00AE38FE" w:rsidRDefault="00EA4B5F" w:rsidP="008F2C31">
      <w:pPr>
        <w:pStyle w:val="Akapitzlist"/>
        <w:spacing w:after="240" w:line="360" w:lineRule="auto"/>
        <w:ind w:left="646"/>
        <w:jc w:val="both"/>
        <w:rPr>
          <w:rFonts w:ascii="Verdana" w:hAnsi="Verdana"/>
          <w:sz w:val="20"/>
          <w:szCs w:val="20"/>
        </w:rPr>
      </w:pPr>
      <w:r>
        <w:rPr>
          <w:rFonts w:ascii="Verdana" w:hAnsi="Verdana"/>
          <w:sz w:val="20"/>
          <w:szCs w:val="20"/>
        </w:rPr>
        <w:t xml:space="preserve">„1. </w:t>
      </w:r>
      <w:r w:rsidR="00AE38FE" w:rsidRPr="00640CE0">
        <w:rPr>
          <w:rFonts w:ascii="Verdana" w:hAnsi="Verdana"/>
          <w:sz w:val="20"/>
          <w:szCs w:val="20"/>
        </w:rPr>
        <w:t xml:space="preserve">Z chwilą ogłoszenia kursu otwarcia (zamknięcia) staje się on ceną, po której zostają zawarte transakcje giełdowe </w:t>
      </w:r>
      <w:r w:rsidR="00AE38FE">
        <w:rPr>
          <w:rFonts w:ascii="Verdana" w:hAnsi="Verdana"/>
          <w:sz w:val="20"/>
          <w:szCs w:val="20"/>
        </w:rPr>
        <w:t>odpowiednio na zakończenie fazy aukcji otwarcia albo fazy aukcji zamknięcia, zgodnie z</w:t>
      </w:r>
      <w:r w:rsidR="00AE38FE" w:rsidRPr="00640CE0">
        <w:rPr>
          <w:rFonts w:ascii="Verdana" w:hAnsi="Verdana"/>
          <w:spacing w:val="-3"/>
          <w:sz w:val="20"/>
          <w:szCs w:val="20"/>
        </w:rPr>
        <w:t xml:space="preserve"> przepisami Szczegółowych Zasad Obrotu Giełdowego</w:t>
      </w:r>
      <w:r w:rsidR="00AE38FE" w:rsidRPr="00640CE0">
        <w:rPr>
          <w:rFonts w:ascii="Verdana" w:hAnsi="Verdana"/>
          <w:sz w:val="20"/>
          <w:szCs w:val="20"/>
        </w:rPr>
        <w:t>.</w:t>
      </w:r>
      <w:r>
        <w:rPr>
          <w:rFonts w:ascii="Verdana" w:hAnsi="Verdana"/>
          <w:sz w:val="20"/>
          <w:szCs w:val="20"/>
        </w:rPr>
        <w:t>”;</w:t>
      </w:r>
    </w:p>
    <w:p w14:paraId="032C7FD8" w14:textId="7D65F3FA" w:rsidR="00EA4B5F" w:rsidRDefault="00EA4B5F" w:rsidP="008F2C31">
      <w:pPr>
        <w:pStyle w:val="Akapitzlist"/>
        <w:numPr>
          <w:ilvl w:val="0"/>
          <w:numId w:val="16"/>
        </w:numPr>
        <w:spacing w:after="360" w:line="360" w:lineRule="auto"/>
        <w:ind w:left="641" w:hanging="357"/>
        <w:jc w:val="both"/>
        <w:rPr>
          <w:rFonts w:ascii="Verdana" w:hAnsi="Verdana"/>
          <w:sz w:val="20"/>
          <w:szCs w:val="20"/>
        </w:rPr>
      </w:pPr>
      <w:r>
        <w:rPr>
          <w:rFonts w:ascii="Verdana" w:hAnsi="Verdana"/>
          <w:sz w:val="20"/>
          <w:szCs w:val="20"/>
        </w:rPr>
        <w:t xml:space="preserve">w ust. </w:t>
      </w:r>
      <w:r w:rsidR="00CB3271">
        <w:rPr>
          <w:rFonts w:ascii="Verdana" w:hAnsi="Verdana"/>
          <w:sz w:val="20"/>
          <w:szCs w:val="20"/>
        </w:rPr>
        <w:t>3</w:t>
      </w:r>
      <w:r>
        <w:rPr>
          <w:rFonts w:ascii="Verdana" w:hAnsi="Verdana"/>
          <w:sz w:val="20"/>
          <w:szCs w:val="20"/>
        </w:rPr>
        <w:t xml:space="preserve"> wyrazy „fazy zamknięcia” zastępuje się wyrazami „fazy a</w:t>
      </w:r>
      <w:r w:rsidR="00735216">
        <w:rPr>
          <w:rFonts w:ascii="Verdana" w:hAnsi="Verdana"/>
          <w:sz w:val="20"/>
          <w:szCs w:val="20"/>
        </w:rPr>
        <w:t>u</w:t>
      </w:r>
      <w:r>
        <w:rPr>
          <w:rFonts w:ascii="Verdana" w:hAnsi="Verdana"/>
          <w:sz w:val="20"/>
          <w:szCs w:val="20"/>
        </w:rPr>
        <w:t>kcji zamknięcia”;</w:t>
      </w:r>
    </w:p>
    <w:p w14:paraId="74202105" w14:textId="05A958D3" w:rsidR="00B9694C" w:rsidRDefault="00B9694C" w:rsidP="00B9694C">
      <w:pPr>
        <w:spacing w:after="360" w:line="360" w:lineRule="auto"/>
        <w:jc w:val="both"/>
        <w:rPr>
          <w:rFonts w:ascii="Verdana" w:hAnsi="Verdana"/>
          <w:sz w:val="20"/>
          <w:szCs w:val="20"/>
        </w:rPr>
      </w:pPr>
    </w:p>
    <w:p w14:paraId="4CC155E4" w14:textId="77777777" w:rsidR="00B9694C" w:rsidRPr="00B9694C" w:rsidRDefault="00B9694C" w:rsidP="00B9694C">
      <w:pPr>
        <w:spacing w:after="360" w:line="360" w:lineRule="auto"/>
        <w:jc w:val="both"/>
        <w:rPr>
          <w:rFonts w:ascii="Verdana" w:hAnsi="Verdana"/>
          <w:sz w:val="20"/>
          <w:szCs w:val="20"/>
        </w:rPr>
      </w:pPr>
    </w:p>
    <w:p w14:paraId="7964A807" w14:textId="7136BE34" w:rsidR="00AE38FE" w:rsidRDefault="00EA4B5F" w:rsidP="008F2C31">
      <w:pPr>
        <w:pStyle w:val="Akapitzlist"/>
        <w:numPr>
          <w:ilvl w:val="0"/>
          <w:numId w:val="1"/>
        </w:numPr>
        <w:spacing w:after="120" w:line="360" w:lineRule="auto"/>
        <w:ind w:left="283" w:hanging="425"/>
        <w:jc w:val="both"/>
        <w:rPr>
          <w:rFonts w:ascii="Verdana" w:hAnsi="Verdana"/>
          <w:sz w:val="20"/>
          <w:szCs w:val="20"/>
        </w:rPr>
      </w:pPr>
      <w:r>
        <w:rPr>
          <w:rFonts w:ascii="Verdana" w:hAnsi="Verdana"/>
          <w:sz w:val="20"/>
          <w:szCs w:val="20"/>
        </w:rPr>
        <w:lastRenderedPageBreak/>
        <w:t xml:space="preserve">w </w:t>
      </w:r>
      <w:r w:rsidR="00AD633B" w:rsidRPr="00AD633B">
        <w:rPr>
          <w:rFonts w:ascii="Verdana" w:hAnsi="Verdana"/>
          <w:sz w:val="20"/>
          <w:szCs w:val="20"/>
        </w:rPr>
        <w:t xml:space="preserve">§ </w:t>
      </w:r>
      <w:r w:rsidR="00566833" w:rsidRPr="00566833">
        <w:rPr>
          <w:rFonts w:ascii="Verdana" w:hAnsi="Verdana"/>
          <w:sz w:val="20"/>
          <w:szCs w:val="20"/>
        </w:rPr>
        <w:t>13</w:t>
      </w:r>
      <w:r w:rsidR="00566833">
        <w:rPr>
          <w:rFonts w:ascii="Verdana" w:hAnsi="Verdana"/>
          <w:sz w:val="20"/>
          <w:szCs w:val="20"/>
        </w:rPr>
        <w:t>7:</w:t>
      </w:r>
    </w:p>
    <w:p w14:paraId="5C2BBE22" w14:textId="0B0FD4F3" w:rsidR="00EA4B5F" w:rsidRDefault="00EA4B5F" w:rsidP="008F2C31">
      <w:pPr>
        <w:pStyle w:val="Akapitzlist"/>
        <w:numPr>
          <w:ilvl w:val="0"/>
          <w:numId w:val="17"/>
        </w:numPr>
        <w:spacing w:after="120" w:line="360" w:lineRule="auto"/>
        <w:jc w:val="both"/>
        <w:rPr>
          <w:rFonts w:ascii="Verdana" w:hAnsi="Verdana"/>
          <w:sz w:val="20"/>
          <w:szCs w:val="20"/>
        </w:rPr>
      </w:pPr>
      <w:r>
        <w:rPr>
          <w:rFonts w:ascii="Verdana" w:hAnsi="Verdana"/>
          <w:sz w:val="20"/>
          <w:szCs w:val="20"/>
        </w:rPr>
        <w:t>w ust. 1 zdanie pierwsze otrzymuje brzmienie:</w:t>
      </w:r>
    </w:p>
    <w:p w14:paraId="32D0FC70" w14:textId="348E3FDC" w:rsidR="00EA4B5F" w:rsidRDefault="00EA4B5F" w:rsidP="008F2C31">
      <w:pPr>
        <w:pStyle w:val="Akapitzlist"/>
        <w:spacing w:after="240" w:line="360" w:lineRule="auto"/>
        <w:ind w:left="283"/>
        <w:jc w:val="both"/>
        <w:rPr>
          <w:rFonts w:ascii="Verdana" w:hAnsi="Verdana" w:cs="Arial"/>
          <w:sz w:val="20"/>
          <w:szCs w:val="20"/>
        </w:rPr>
      </w:pPr>
      <w:r>
        <w:rPr>
          <w:rFonts w:ascii="Verdana" w:hAnsi="Verdana"/>
          <w:sz w:val="20"/>
          <w:szCs w:val="20"/>
        </w:rPr>
        <w:t>„</w:t>
      </w:r>
      <w:r>
        <w:rPr>
          <w:rFonts w:ascii="Verdana" w:hAnsi="Verdana" w:cs="Arial"/>
          <w:sz w:val="20"/>
          <w:szCs w:val="20"/>
        </w:rPr>
        <w:t>Z zastrzeżeniem ust. 8 - 9, w</w:t>
      </w:r>
      <w:r w:rsidRPr="00640CE0">
        <w:rPr>
          <w:rFonts w:ascii="Verdana" w:hAnsi="Verdana" w:cs="Arial"/>
          <w:sz w:val="20"/>
          <w:szCs w:val="20"/>
        </w:rPr>
        <w:t xml:space="preserve"> systemie notowań ciągłych obowiązują statyczne oraz dynamiczne ograniczenia wahań kursów od kursu odniesienia.</w:t>
      </w:r>
      <w:r>
        <w:rPr>
          <w:rFonts w:ascii="Verdana" w:hAnsi="Verdana" w:cs="Arial"/>
          <w:sz w:val="20"/>
          <w:szCs w:val="20"/>
        </w:rPr>
        <w:t>”;</w:t>
      </w:r>
    </w:p>
    <w:p w14:paraId="5034B5F6" w14:textId="0E35051B" w:rsidR="00EA4B5F" w:rsidRDefault="00EA4B5F" w:rsidP="008F2C31">
      <w:pPr>
        <w:pStyle w:val="Akapitzlist"/>
        <w:numPr>
          <w:ilvl w:val="0"/>
          <w:numId w:val="17"/>
        </w:numPr>
        <w:spacing w:after="240" w:line="360" w:lineRule="auto"/>
        <w:jc w:val="both"/>
        <w:rPr>
          <w:rFonts w:ascii="Verdana" w:hAnsi="Verdana" w:cs="Arial"/>
          <w:sz w:val="20"/>
          <w:szCs w:val="20"/>
        </w:rPr>
      </w:pPr>
      <w:r>
        <w:rPr>
          <w:rFonts w:ascii="Verdana" w:hAnsi="Verdana" w:cs="Arial"/>
          <w:sz w:val="20"/>
          <w:szCs w:val="20"/>
        </w:rPr>
        <w:t>w ust. 2 skreśla się zdanie drugie;</w:t>
      </w:r>
    </w:p>
    <w:p w14:paraId="2311A4D1" w14:textId="44B9BEE2" w:rsidR="00EA4B5F" w:rsidRDefault="00EA4B5F" w:rsidP="008F2C31">
      <w:pPr>
        <w:pStyle w:val="Akapitzlist"/>
        <w:numPr>
          <w:ilvl w:val="0"/>
          <w:numId w:val="17"/>
        </w:numPr>
        <w:spacing w:after="120" w:line="360" w:lineRule="auto"/>
        <w:jc w:val="both"/>
        <w:rPr>
          <w:rFonts w:ascii="Verdana" w:hAnsi="Verdana" w:cs="Arial"/>
          <w:sz w:val="20"/>
          <w:szCs w:val="20"/>
        </w:rPr>
      </w:pPr>
      <w:r>
        <w:rPr>
          <w:rFonts w:ascii="Verdana" w:hAnsi="Verdana" w:cs="Arial"/>
          <w:sz w:val="20"/>
          <w:szCs w:val="20"/>
        </w:rPr>
        <w:t>ust. 4 i 5 otrzymują brzmienie:</w:t>
      </w:r>
    </w:p>
    <w:p w14:paraId="70229C63" w14:textId="34E75C50" w:rsidR="002F3271" w:rsidRDefault="00EA4B5F" w:rsidP="008F2C31">
      <w:pPr>
        <w:pStyle w:val="Akapitzlist"/>
        <w:spacing w:after="120" w:line="360" w:lineRule="auto"/>
        <w:ind w:left="643"/>
        <w:jc w:val="both"/>
        <w:rPr>
          <w:rFonts w:ascii="Verdana" w:hAnsi="Verdana"/>
          <w:bCs/>
          <w:iCs/>
          <w:sz w:val="20"/>
          <w:szCs w:val="20"/>
        </w:rPr>
      </w:pPr>
      <w:r>
        <w:rPr>
          <w:rFonts w:ascii="Verdana" w:hAnsi="Verdana" w:cs="Arial"/>
          <w:sz w:val="20"/>
          <w:szCs w:val="20"/>
        </w:rPr>
        <w:t xml:space="preserve">„4. </w:t>
      </w:r>
      <w:r w:rsidR="00566833" w:rsidRPr="00EA4B5F">
        <w:rPr>
          <w:rFonts w:ascii="Verdana" w:hAnsi="Verdana"/>
          <w:bCs/>
          <w:iCs/>
          <w:sz w:val="20"/>
          <w:szCs w:val="20"/>
        </w:rPr>
        <w:t>Z zastrzeżeniem § 142, kursem odniesienia dla kursów</w:t>
      </w:r>
      <w:r w:rsidR="00AB2A82">
        <w:rPr>
          <w:rFonts w:ascii="Verdana" w:hAnsi="Verdana"/>
          <w:bCs/>
          <w:iCs/>
          <w:sz w:val="20"/>
          <w:szCs w:val="20"/>
        </w:rPr>
        <w:t xml:space="preserve"> </w:t>
      </w:r>
      <w:r w:rsidR="00566833" w:rsidRPr="00EA4B5F">
        <w:rPr>
          <w:rFonts w:ascii="Verdana" w:hAnsi="Verdana"/>
          <w:bCs/>
          <w:iCs/>
          <w:sz w:val="20"/>
          <w:szCs w:val="20"/>
        </w:rPr>
        <w:t>w fazie notowań ciągłych oraz dla kursu zamknięcia, dla statycznych ograniczeń wahań kursów, jest kurs otwarcia, a w przypadku braku wyznaczenia w fazie aukcji otwarcia kursu otwarcia - ostatni kurs zamknięcia. Postanowień zdania pierwszego nie stosuje się do instrumentów pochodnych lub innych instrumentów finansowych, dla których zasady wyznaczania kursu odniesienia zostały określone na podstawie przepisów ust. 9.</w:t>
      </w:r>
    </w:p>
    <w:p w14:paraId="7EE8639D" w14:textId="1316480C" w:rsidR="002F3271" w:rsidRPr="00EA4B5F" w:rsidRDefault="00EA4B5F" w:rsidP="008F2C31">
      <w:pPr>
        <w:pStyle w:val="Akapitzlist"/>
        <w:spacing w:after="240" w:line="360" w:lineRule="auto"/>
        <w:ind w:left="643"/>
        <w:jc w:val="both"/>
        <w:rPr>
          <w:rFonts w:ascii="Verdana" w:hAnsi="Verdana" w:cs="Arial"/>
          <w:sz w:val="20"/>
          <w:szCs w:val="20"/>
        </w:rPr>
      </w:pPr>
      <w:r>
        <w:rPr>
          <w:rFonts w:ascii="Verdana" w:hAnsi="Verdana"/>
          <w:bCs/>
          <w:iCs/>
          <w:sz w:val="20"/>
          <w:szCs w:val="20"/>
        </w:rPr>
        <w:t xml:space="preserve">5. </w:t>
      </w:r>
      <w:r w:rsidR="00566833" w:rsidRPr="00EA4B5F">
        <w:rPr>
          <w:rFonts w:ascii="Verdana" w:hAnsi="Verdana" w:cs="Arial"/>
          <w:sz w:val="20"/>
          <w:szCs w:val="20"/>
        </w:rPr>
        <w:t>Z zastrzeżeniem ust. 8 - 9, kursem odniesienia dla  kursów w fazie notowań ciągłych oraz dla kursu zamknięcia, dla dynamicznych ograniczeń wahań kursów, jest kurs ostatniej transakcji, z zastrzeżeniem § 142</w:t>
      </w:r>
      <w:r>
        <w:rPr>
          <w:rFonts w:ascii="Verdana" w:hAnsi="Verdana" w:cs="Arial"/>
          <w:sz w:val="20"/>
          <w:szCs w:val="20"/>
        </w:rPr>
        <w:t>.</w:t>
      </w:r>
      <w:r w:rsidR="00566833" w:rsidRPr="00EA4B5F">
        <w:rPr>
          <w:rFonts w:ascii="Verdana" w:hAnsi="Verdana" w:cs="Arial"/>
          <w:sz w:val="20"/>
          <w:szCs w:val="20"/>
        </w:rPr>
        <w:t xml:space="preserve"> W przypadku braku wyznaczenia w fazie </w:t>
      </w:r>
      <w:r w:rsidR="00152A38" w:rsidRPr="00EA4B5F">
        <w:rPr>
          <w:rFonts w:ascii="Verdana" w:hAnsi="Verdana" w:cs="Arial"/>
          <w:sz w:val="20"/>
          <w:szCs w:val="20"/>
        </w:rPr>
        <w:t xml:space="preserve">aukcji </w:t>
      </w:r>
      <w:r w:rsidR="00566833" w:rsidRPr="00EA4B5F">
        <w:rPr>
          <w:rFonts w:ascii="Verdana" w:hAnsi="Verdana" w:cs="Arial"/>
          <w:sz w:val="20"/>
          <w:szCs w:val="20"/>
        </w:rPr>
        <w:t>otwarcia kursu otwarcia, kursem odniesienia do czasu zawarcia pierwszej transakcji, dla dynamicznych ograniczeń wahań kursu, jest ostatni kurs zamknięcia, z zastrzeżeniem § 142.</w:t>
      </w:r>
      <w:r>
        <w:rPr>
          <w:rFonts w:ascii="Verdana" w:hAnsi="Verdana" w:cs="Arial"/>
          <w:sz w:val="20"/>
          <w:szCs w:val="20"/>
        </w:rPr>
        <w:t>”;</w:t>
      </w:r>
      <w:r w:rsidR="00566833" w:rsidRPr="00EA4B5F">
        <w:rPr>
          <w:rFonts w:ascii="Verdana" w:hAnsi="Verdana" w:cs="Arial"/>
          <w:sz w:val="20"/>
          <w:szCs w:val="20"/>
        </w:rPr>
        <w:t xml:space="preserve"> </w:t>
      </w:r>
    </w:p>
    <w:p w14:paraId="418AED21" w14:textId="42C77B57" w:rsidR="00DA605F" w:rsidRPr="00DA605F" w:rsidRDefault="00DA605F" w:rsidP="008F2C31">
      <w:pPr>
        <w:pStyle w:val="Akapitzlist"/>
        <w:numPr>
          <w:ilvl w:val="0"/>
          <w:numId w:val="17"/>
        </w:numPr>
        <w:spacing w:after="120" w:line="360" w:lineRule="auto"/>
        <w:jc w:val="both"/>
        <w:rPr>
          <w:rFonts w:ascii="Verdana" w:hAnsi="Verdana"/>
          <w:sz w:val="20"/>
          <w:szCs w:val="20"/>
        </w:rPr>
      </w:pPr>
      <w:r>
        <w:rPr>
          <w:rFonts w:ascii="Verdana" w:hAnsi="Verdana"/>
          <w:sz w:val="20"/>
          <w:szCs w:val="20"/>
        </w:rPr>
        <w:t>ust. 8 otrzymuje brzmienie:</w:t>
      </w:r>
    </w:p>
    <w:p w14:paraId="07D8F078" w14:textId="4CE572C0" w:rsidR="00566833" w:rsidRPr="00DA605F" w:rsidRDefault="00DA605F" w:rsidP="008F2C31">
      <w:pPr>
        <w:pStyle w:val="Akapitzlist"/>
        <w:spacing w:after="360" w:line="360" w:lineRule="auto"/>
        <w:ind w:left="643"/>
        <w:jc w:val="both"/>
        <w:rPr>
          <w:rFonts w:ascii="Verdana" w:hAnsi="Verdana"/>
          <w:sz w:val="20"/>
          <w:szCs w:val="20"/>
        </w:rPr>
      </w:pPr>
      <w:r>
        <w:rPr>
          <w:rFonts w:ascii="Verdana" w:hAnsi="Verdana" w:cs="Arial"/>
          <w:sz w:val="20"/>
        </w:rPr>
        <w:t>„</w:t>
      </w:r>
      <w:r w:rsidR="002F3271">
        <w:rPr>
          <w:rFonts w:ascii="Verdana" w:hAnsi="Verdana" w:cs="Arial"/>
          <w:sz w:val="20"/>
        </w:rPr>
        <w:t xml:space="preserve">8. </w:t>
      </w:r>
      <w:r w:rsidR="00566833" w:rsidRPr="00640CE0">
        <w:rPr>
          <w:rFonts w:ascii="Verdana" w:hAnsi="Verdana" w:cs="Arial"/>
          <w:sz w:val="20"/>
        </w:rPr>
        <w:t>W systemie animatora rynku granice dopuszczalnych wahań kursów stanowią limity cen w zleceniach animatora rynku</w:t>
      </w:r>
      <w:r w:rsidR="00566833" w:rsidRPr="00DA605F">
        <w:rPr>
          <w:rFonts w:ascii="Verdana" w:hAnsi="Verdana" w:cs="Arial"/>
          <w:sz w:val="20"/>
        </w:rPr>
        <w:t>.</w:t>
      </w:r>
      <w:r>
        <w:rPr>
          <w:rFonts w:ascii="Verdana" w:hAnsi="Verdana" w:cs="Arial"/>
          <w:sz w:val="20"/>
        </w:rPr>
        <w:t>”;</w:t>
      </w:r>
    </w:p>
    <w:p w14:paraId="3063D786" w14:textId="591BE930" w:rsidR="00AE38FE" w:rsidRDefault="008351B6" w:rsidP="008F2C31">
      <w:pPr>
        <w:pStyle w:val="Akapitzlist"/>
        <w:numPr>
          <w:ilvl w:val="0"/>
          <w:numId w:val="1"/>
        </w:numPr>
        <w:spacing w:after="120" w:line="360" w:lineRule="auto"/>
        <w:ind w:left="283" w:hanging="425"/>
        <w:jc w:val="both"/>
        <w:rPr>
          <w:rFonts w:ascii="Verdana" w:hAnsi="Verdana"/>
          <w:sz w:val="20"/>
          <w:szCs w:val="20"/>
        </w:rPr>
      </w:pPr>
      <w:r>
        <w:rPr>
          <w:rFonts w:ascii="Verdana" w:hAnsi="Verdana"/>
          <w:sz w:val="20"/>
          <w:szCs w:val="20"/>
        </w:rPr>
        <w:t xml:space="preserve">w </w:t>
      </w:r>
      <w:r w:rsidR="00AD633B" w:rsidRPr="00AD633B">
        <w:rPr>
          <w:rFonts w:ascii="Verdana" w:hAnsi="Verdana"/>
          <w:sz w:val="20"/>
          <w:szCs w:val="20"/>
        </w:rPr>
        <w:t xml:space="preserve">§ </w:t>
      </w:r>
      <w:r w:rsidR="00566833" w:rsidRPr="00566833">
        <w:rPr>
          <w:rFonts w:ascii="Verdana" w:hAnsi="Verdana"/>
          <w:sz w:val="20"/>
          <w:szCs w:val="20"/>
        </w:rPr>
        <w:t>1</w:t>
      </w:r>
      <w:r w:rsidR="00566833">
        <w:rPr>
          <w:rFonts w:ascii="Verdana" w:hAnsi="Verdana"/>
          <w:sz w:val="20"/>
          <w:szCs w:val="20"/>
        </w:rPr>
        <w:t>41</w:t>
      </w:r>
      <w:r w:rsidR="00475C24">
        <w:rPr>
          <w:rFonts w:ascii="Verdana" w:hAnsi="Verdana"/>
          <w:sz w:val="20"/>
          <w:szCs w:val="20"/>
        </w:rPr>
        <w:t>:</w:t>
      </w:r>
    </w:p>
    <w:p w14:paraId="1ECDC6C2" w14:textId="28ECF264" w:rsidR="008351B6" w:rsidRDefault="008351B6" w:rsidP="008F2C31">
      <w:pPr>
        <w:pStyle w:val="Akapitzlist"/>
        <w:numPr>
          <w:ilvl w:val="0"/>
          <w:numId w:val="18"/>
        </w:numPr>
        <w:spacing w:after="240" w:line="360" w:lineRule="auto"/>
        <w:jc w:val="both"/>
        <w:rPr>
          <w:rFonts w:ascii="Verdana" w:hAnsi="Verdana"/>
          <w:sz w:val="20"/>
          <w:szCs w:val="20"/>
        </w:rPr>
      </w:pPr>
      <w:r>
        <w:rPr>
          <w:rFonts w:ascii="Verdana" w:hAnsi="Verdana"/>
          <w:sz w:val="20"/>
          <w:szCs w:val="20"/>
        </w:rPr>
        <w:t>w ust. 1 uchyla się pkt 5;</w:t>
      </w:r>
    </w:p>
    <w:p w14:paraId="251BAAAA" w14:textId="458F7B71" w:rsidR="008351B6" w:rsidRDefault="008351B6" w:rsidP="008F2C31">
      <w:pPr>
        <w:pStyle w:val="Akapitzlist"/>
        <w:numPr>
          <w:ilvl w:val="0"/>
          <w:numId w:val="18"/>
        </w:numPr>
        <w:spacing w:after="240" w:line="360" w:lineRule="auto"/>
        <w:jc w:val="both"/>
        <w:rPr>
          <w:rFonts w:ascii="Verdana" w:hAnsi="Verdana"/>
          <w:sz w:val="20"/>
          <w:szCs w:val="20"/>
        </w:rPr>
      </w:pPr>
      <w:r>
        <w:rPr>
          <w:rFonts w:ascii="Verdana" w:hAnsi="Verdana"/>
          <w:sz w:val="20"/>
          <w:szCs w:val="20"/>
        </w:rPr>
        <w:t>uchyla się ust. 5;</w:t>
      </w:r>
    </w:p>
    <w:p w14:paraId="2C7F8228" w14:textId="7154E5A6" w:rsidR="008351B6" w:rsidRDefault="008351B6" w:rsidP="008F2C31">
      <w:pPr>
        <w:pStyle w:val="Akapitzlist"/>
        <w:numPr>
          <w:ilvl w:val="0"/>
          <w:numId w:val="18"/>
        </w:numPr>
        <w:spacing w:after="240" w:line="360" w:lineRule="auto"/>
        <w:jc w:val="both"/>
        <w:rPr>
          <w:rFonts w:ascii="Verdana" w:hAnsi="Verdana"/>
          <w:sz w:val="20"/>
          <w:szCs w:val="20"/>
        </w:rPr>
      </w:pPr>
      <w:r>
        <w:rPr>
          <w:rFonts w:ascii="Verdana" w:hAnsi="Verdana"/>
          <w:sz w:val="20"/>
          <w:szCs w:val="20"/>
        </w:rPr>
        <w:t>w ust. 6 uchyla się pkt 2;</w:t>
      </w:r>
    </w:p>
    <w:p w14:paraId="38643891" w14:textId="30B3A790" w:rsidR="00062DF1" w:rsidRPr="00062DF1" w:rsidRDefault="008351B6" w:rsidP="00062DF1">
      <w:pPr>
        <w:pStyle w:val="Tekstpodstawowy2"/>
        <w:numPr>
          <w:ilvl w:val="0"/>
          <w:numId w:val="18"/>
        </w:numPr>
        <w:spacing w:line="276" w:lineRule="auto"/>
        <w:jc w:val="both"/>
        <w:rPr>
          <w:rFonts w:ascii="Verdana" w:hAnsi="Verdana"/>
          <w:sz w:val="20"/>
        </w:rPr>
      </w:pPr>
      <w:r w:rsidRPr="00062DF1">
        <w:rPr>
          <w:rFonts w:ascii="Verdana" w:hAnsi="Verdana"/>
          <w:sz w:val="20"/>
          <w:szCs w:val="20"/>
        </w:rPr>
        <w:t xml:space="preserve">w ust. 7 </w:t>
      </w:r>
      <w:r w:rsidR="00062DF1" w:rsidRPr="00062DF1">
        <w:rPr>
          <w:rFonts w:ascii="Verdana" w:hAnsi="Verdana"/>
          <w:sz w:val="20"/>
          <w:szCs w:val="20"/>
        </w:rPr>
        <w:t>z</w:t>
      </w:r>
      <w:r w:rsidR="00062DF1">
        <w:rPr>
          <w:rFonts w:ascii="Verdana" w:hAnsi="Verdana"/>
          <w:sz w:val="20"/>
          <w:szCs w:val="20"/>
        </w:rPr>
        <w:t>danie trzecie otrzymuje brzmienie:</w:t>
      </w:r>
    </w:p>
    <w:p w14:paraId="60FAF7F4" w14:textId="3008F15B" w:rsidR="008351B6" w:rsidRDefault="008351B6" w:rsidP="00062DF1">
      <w:pPr>
        <w:pStyle w:val="Tekstpodstawowy2"/>
        <w:spacing w:after="360" w:line="276" w:lineRule="auto"/>
        <w:ind w:left="643"/>
        <w:jc w:val="both"/>
        <w:rPr>
          <w:rFonts w:ascii="Verdana" w:hAnsi="Verdana"/>
          <w:sz w:val="20"/>
          <w:szCs w:val="20"/>
        </w:rPr>
      </w:pPr>
      <w:r w:rsidRPr="00062DF1">
        <w:rPr>
          <w:rFonts w:ascii="Verdana" w:hAnsi="Verdana"/>
          <w:sz w:val="20"/>
          <w:szCs w:val="20"/>
        </w:rPr>
        <w:t>„</w:t>
      </w:r>
      <w:r w:rsidR="00062DF1" w:rsidRPr="00062DF1">
        <w:rPr>
          <w:rFonts w:ascii="Verdana" w:hAnsi="Verdana"/>
          <w:sz w:val="20"/>
        </w:rPr>
        <w:t>Przepisy ust. 2-3 stosuje się odpowiednio, z zastrzeżeniem przypadków określonych w Szczegółowych Zasadach  Obrotu Giełdowego.</w:t>
      </w:r>
      <w:r>
        <w:rPr>
          <w:rFonts w:ascii="Verdana" w:hAnsi="Verdana"/>
          <w:sz w:val="20"/>
          <w:szCs w:val="20"/>
        </w:rPr>
        <w:t>”;</w:t>
      </w:r>
    </w:p>
    <w:p w14:paraId="62200E9E" w14:textId="77777777" w:rsidR="00B9694C" w:rsidRDefault="00B9694C" w:rsidP="00062DF1">
      <w:pPr>
        <w:pStyle w:val="Tekstpodstawowy2"/>
        <w:spacing w:after="360" w:line="276" w:lineRule="auto"/>
        <w:ind w:left="643"/>
        <w:jc w:val="both"/>
        <w:rPr>
          <w:rFonts w:ascii="Verdana" w:hAnsi="Verdana"/>
          <w:sz w:val="20"/>
          <w:szCs w:val="20"/>
        </w:rPr>
      </w:pPr>
    </w:p>
    <w:p w14:paraId="01805CF1" w14:textId="71B122A5" w:rsidR="00566833" w:rsidRDefault="00B15693" w:rsidP="008F2C31">
      <w:pPr>
        <w:pStyle w:val="Akapitzlist"/>
        <w:numPr>
          <w:ilvl w:val="0"/>
          <w:numId w:val="1"/>
        </w:numPr>
        <w:spacing w:after="120" w:line="360" w:lineRule="auto"/>
        <w:ind w:left="283" w:hanging="425"/>
        <w:jc w:val="both"/>
        <w:rPr>
          <w:rFonts w:ascii="Verdana" w:hAnsi="Verdana"/>
          <w:sz w:val="20"/>
          <w:szCs w:val="20"/>
        </w:rPr>
      </w:pPr>
      <w:r>
        <w:rPr>
          <w:rFonts w:ascii="Verdana" w:hAnsi="Verdana"/>
          <w:sz w:val="20"/>
          <w:szCs w:val="20"/>
        </w:rPr>
        <w:lastRenderedPageBreak/>
        <w:t xml:space="preserve">w </w:t>
      </w:r>
      <w:r w:rsidR="00AD633B" w:rsidRPr="00AD633B">
        <w:rPr>
          <w:rFonts w:ascii="Verdana" w:hAnsi="Verdana"/>
          <w:sz w:val="20"/>
          <w:szCs w:val="20"/>
        </w:rPr>
        <w:t xml:space="preserve">§ </w:t>
      </w:r>
      <w:r w:rsidR="00475C24" w:rsidRPr="00475C24">
        <w:rPr>
          <w:rFonts w:ascii="Verdana" w:hAnsi="Verdana"/>
          <w:sz w:val="20"/>
          <w:szCs w:val="20"/>
        </w:rPr>
        <w:t>14</w:t>
      </w:r>
      <w:r w:rsidR="00475C24">
        <w:rPr>
          <w:rFonts w:ascii="Verdana" w:hAnsi="Verdana"/>
          <w:sz w:val="20"/>
          <w:szCs w:val="20"/>
        </w:rPr>
        <w:t>2</w:t>
      </w:r>
      <w:r w:rsidR="00475C24" w:rsidRPr="00475C24">
        <w:rPr>
          <w:rFonts w:ascii="Verdana" w:hAnsi="Verdana"/>
          <w:sz w:val="20"/>
          <w:szCs w:val="20"/>
        </w:rPr>
        <w:t>:</w:t>
      </w:r>
    </w:p>
    <w:p w14:paraId="0C4E7B14" w14:textId="1732213B" w:rsidR="00475C24" w:rsidRDefault="00B15693" w:rsidP="008F2C31">
      <w:pPr>
        <w:pStyle w:val="Akapitzlist"/>
        <w:numPr>
          <w:ilvl w:val="0"/>
          <w:numId w:val="19"/>
        </w:numPr>
        <w:tabs>
          <w:tab w:val="left" w:pos="0"/>
        </w:tabs>
        <w:spacing w:after="120" w:line="360" w:lineRule="auto"/>
        <w:ind w:left="709" w:hanging="425"/>
        <w:rPr>
          <w:rFonts w:ascii="Verdana" w:hAnsi="Verdana"/>
          <w:sz w:val="20"/>
          <w:szCs w:val="20"/>
        </w:rPr>
      </w:pPr>
      <w:r>
        <w:rPr>
          <w:rFonts w:ascii="Verdana" w:hAnsi="Verdana"/>
          <w:sz w:val="20"/>
          <w:szCs w:val="20"/>
        </w:rPr>
        <w:t>ust. 1 otrzymuje brzmienie:</w:t>
      </w:r>
    </w:p>
    <w:p w14:paraId="416773A0" w14:textId="72FE0321" w:rsidR="00475C24" w:rsidRPr="00B15693" w:rsidRDefault="00B15693" w:rsidP="00062DF1">
      <w:pPr>
        <w:pStyle w:val="Akapitzlist"/>
        <w:tabs>
          <w:tab w:val="left" w:pos="0"/>
        </w:tabs>
        <w:spacing w:after="120" w:line="360" w:lineRule="auto"/>
        <w:ind w:left="709"/>
        <w:jc w:val="both"/>
        <w:rPr>
          <w:rFonts w:ascii="Verdana" w:hAnsi="Verdana"/>
          <w:sz w:val="20"/>
          <w:szCs w:val="20"/>
        </w:rPr>
      </w:pPr>
      <w:r>
        <w:rPr>
          <w:rFonts w:ascii="Verdana" w:hAnsi="Verdana"/>
          <w:sz w:val="20"/>
          <w:szCs w:val="20"/>
        </w:rPr>
        <w:t xml:space="preserve">„1. </w:t>
      </w:r>
      <w:r w:rsidR="00475C24" w:rsidRPr="00475C24">
        <w:rPr>
          <w:rFonts w:ascii="Verdana" w:hAnsi="Verdana" w:cs="Arial"/>
          <w:sz w:val="20"/>
          <w:szCs w:val="20"/>
        </w:rPr>
        <w:t>W systemie notowań ciągłych przeprowadza się równoważenie w sytuacji naruszenia statycznych ograniczeń wahań kursów, które uznaje się, że zachodzi jeżeli:</w:t>
      </w:r>
    </w:p>
    <w:p w14:paraId="38CB8EAD" w14:textId="6C66DA4F" w:rsidR="00475C24" w:rsidRDefault="00475C24" w:rsidP="008F2C31">
      <w:pPr>
        <w:numPr>
          <w:ilvl w:val="1"/>
          <w:numId w:val="4"/>
        </w:numPr>
        <w:spacing w:after="120" w:line="360" w:lineRule="auto"/>
        <w:ind w:left="993" w:hanging="284"/>
        <w:jc w:val="both"/>
        <w:rPr>
          <w:rFonts w:ascii="Verdana" w:eastAsia="Times New Roman" w:hAnsi="Verdana" w:cs="Arial"/>
          <w:sz w:val="20"/>
          <w:szCs w:val="20"/>
          <w:lang w:eastAsia="pl-PL"/>
        </w:rPr>
      </w:pPr>
      <w:r w:rsidRPr="00475C24">
        <w:rPr>
          <w:rFonts w:ascii="Verdana" w:eastAsia="Times New Roman" w:hAnsi="Verdana" w:cs="Arial"/>
          <w:sz w:val="20"/>
          <w:szCs w:val="20"/>
          <w:lang w:eastAsia="pl-PL"/>
        </w:rPr>
        <w:t>w chwili zakończenia fazy aukcji otwarcia lub odpowiednio fazy aukcji zamknięcia teoretyczny kurs otwarcia wykracza poza obowiązujące statyczne ograniczenia wahań kursów,</w:t>
      </w:r>
    </w:p>
    <w:p w14:paraId="742D5C9C" w14:textId="6702A76F" w:rsidR="00475C24" w:rsidRDefault="00475C24" w:rsidP="008F2C31">
      <w:pPr>
        <w:numPr>
          <w:ilvl w:val="1"/>
          <w:numId w:val="4"/>
        </w:numPr>
        <w:spacing w:after="240" w:line="360" w:lineRule="auto"/>
        <w:ind w:left="993" w:hanging="284"/>
        <w:jc w:val="both"/>
        <w:rPr>
          <w:rFonts w:ascii="Verdana" w:eastAsia="Times New Roman" w:hAnsi="Verdana" w:cs="Arial"/>
          <w:sz w:val="20"/>
          <w:szCs w:val="20"/>
          <w:lang w:eastAsia="pl-PL"/>
        </w:rPr>
      </w:pPr>
      <w:r w:rsidRPr="00B15693">
        <w:rPr>
          <w:rFonts w:ascii="Verdana" w:eastAsia="Times New Roman" w:hAnsi="Verdana" w:cs="Arial"/>
          <w:sz w:val="20"/>
          <w:szCs w:val="20"/>
          <w:lang w:eastAsia="pl-PL"/>
        </w:rPr>
        <w:t>w trakcie fazy notowań ciągłych zostanie złożone zlecenie, którego realizacja skutkowałaby zawarciem transakcji po kursie wykraczającym poza obowiązujące statyczne ograniczenia wahań kursów.</w:t>
      </w:r>
      <w:r w:rsidR="00B15693" w:rsidRPr="00B15693">
        <w:rPr>
          <w:rFonts w:ascii="Verdana" w:eastAsia="Times New Roman" w:hAnsi="Verdana" w:cs="Arial"/>
          <w:sz w:val="20"/>
          <w:szCs w:val="20"/>
          <w:lang w:eastAsia="pl-PL"/>
        </w:rPr>
        <w:t>”;</w:t>
      </w:r>
    </w:p>
    <w:p w14:paraId="6BDE3A0B" w14:textId="43C0B332" w:rsidR="00B15693" w:rsidRDefault="00B15693" w:rsidP="008F2C31">
      <w:pPr>
        <w:pStyle w:val="Akapitzlist"/>
        <w:numPr>
          <w:ilvl w:val="0"/>
          <w:numId w:val="19"/>
        </w:numPr>
        <w:tabs>
          <w:tab w:val="left" w:pos="0"/>
        </w:tabs>
        <w:spacing w:after="240" w:line="360" w:lineRule="auto"/>
        <w:ind w:left="709" w:hanging="425"/>
        <w:rPr>
          <w:rFonts w:ascii="Verdana" w:hAnsi="Verdana" w:cs="Arial"/>
          <w:sz w:val="20"/>
          <w:szCs w:val="20"/>
        </w:rPr>
      </w:pPr>
      <w:r>
        <w:rPr>
          <w:rFonts w:ascii="Verdana" w:hAnsi="Verdana" w:cs="Arial"/>
          <w:sz w:val="20"/>
          <w:szCs w:val="20"/>
        </w:rPr>
        <w:t>uchyla się ust. 3 – 5;</w:t>
      </w:r>
    </w:p>
    <w:p w14:paraId="52A74F1E" w14:textId="58803B03" w:rsidR="00B15693" w:rsidRDefault="00647942" w:rsidP="008F2C31">
      <w:pPr>
        <w:pStyle w:val="Akapitzlist"/>
        <w:numPr>
          <w:ilvl w:val="0"/>
          <w:numId w:val="19"/>
        </w:numPr>
        <w:tabs>
          <w:tab w:val="left" w:pos="0"/>
        </w:tabs>
        <w:spacing w:after="120" w:line="360" w:lineRule="auto"/>
        <w:ind w:left="709" w:hanging="425"/>
        <w:rPr>
          <w:rFonts w:ascii="Verdana" w:hAnsi="Verdana" w:cs="Arial"/>
          <w:sz w:val="20"/>
          <w:szCs w:val="20"/>
        </w:rPr>
      </w:pPr>
      <w:r>
        <w:rPr>
          <w:rFonts w:ascii="Verdana" w:hAnsi="Verdana" w:cs="Arial"/>
          <w:sz w:val="20"/>
          <w:szCs w:val="20"/>
        </w:rPr>
        <w:t>ust. 6 i 7 otrzymują brzmienie:</w:t>
      </w:r>
    </w:p>
    <w:p w14:paraId="2E10F710" w14:textId="34B9B72F" w:rsidR="00475C24" w:rsidRDefault="00647942" w:rsidP="008F2C31">
      <w:pPr>
        <w:pStyle w:val="Akapitzlist"/>
        <w:tabs>
          <w:tab w:val="left" w:pos="0"/>
        </w:tabs>
        <w:spacing w:after="120" w:line="360" w:lineRule="auto"/>
        <w:ind w:left="709"/>
        <w:jc w:val="both"/>
        <w:rPr>
          <w:rFonts w:ascii="Verdana" w:hAnsi="Verdana"/>
          <w:sz w:val="20"/>
          <w:szCs w:val="20"/>
        </w:rPr>
      </w:pPr>
      <w:r>
        <w:rPr>
          <w:rFonts w:ascii="Verdana" w:hAnsi="Verdana" w:cs="Arial"/>
          <w:sz w:val="20"/>
          <w:szCs w:val="20"/>
        </w:rPr>
        <w:t xml:space="preserve">„6. </w:t>
      </w:r>
      <w:r w:rsidR="00475C24" w:rsidRPr="00475C24">
        <w:rPr>
          <w:rFonts w:ascii="Verdana" w:hAnsi="Verdana"/>
          <w:sz w:val="20"/>
          <w:szCs w:val="20"/>
        </w:rPr>
        <w:t>Zarząd Giełdy określa w Szczegółowych Zasadach  Obrotu Giełdowego szczegółowe zasady przeprowadzania równoważenia, w tym zasady wyznaczania kursu odniesienia, ograniczeń wahań kursów oraz określania kursu otwarcia, kursu zamknięci</w:t>
      </w:r>
      <w:r w:rsidR="00440122">
        <w:rPr>
          <w:rFonts w:ascii="Verdana" w:hAnsi="Verdana"/>
          <w:sz w:val="20"/>
          <w:szCs w:val="20"/>
        </w:rPr>
        <w:t>a</w:t>
      </w:r>
      <w:r w:rsidR="00475C24" w:rsidRPr="00475C24">
        <w:rPr>
          <w:rFonts w:ascii="Verdana" w:hAnsi="Verdana"/>
          <w:sz w:val="20"/>
          <w:szCs w:val="20"/>
        </w:rPr>
        <w:t xml:space="preserve"> i kursu transakcyjnego w trakcie równoważenia.  </w:t>
      </w:r>
    </w:p>
    <w:p w14:paraId="60613548" w14:textId="4A5CD56F" w:rsidR="00475C24" w:rsidRPr="00475C24" w:rsidRDefault="00647942" w:rsidP="008F2C31">
      <w:pPr>
        <w:pStyle w:val="Akapitzlist"/>
        <w:tabs>
          <w:tab w:val="left" w:pos="0"/>
        </w:tabs>
        <w:spacing w:after="360" w:line="360" w:lineRule="auto"/>
        <w:ind w:left="709"/>
        <w:jc w:val="both"/>
        <w:rPr>
          <w:rFonts w:ascii="Verdana" w:hAnsi="Verdana" w:cs="Arial"/>
          <w:sz w:val="20"/>
          <w:szCs w:val="20"/>
        </w:rPr>
      </w:pPr>
      <w:r>
        <w:rPr>
          <w:rFonts w:ascii="Verdana" w:hAnsi="Verdana"/>
          <w:sz w:val="20"/>
          <w:szCs w:val="20"/>
        </w:rPr>
        <w:t xml:space="preserve">7. </w:t>
      </w:r>
      <w:r w:rsidR="00475C24" w:rsidRPr="00475C24">
        <w:rPr>
          <w:rFonts w:ascii="Verdana" w:hAnsi="Verdana"/>
          <w:sz w:val="20"/>
          <w:szCs w:val="20"/>
        </w:rPr>
        <w:t>W systemie animatora rynku z</w:t>
      </w:r>
      <w:r w:rsidR="00475C24" w:rsidRPr="00475C24">
        <w:rPr>
          <w:rFonts w:ascii="Verdana" w:hAnsi="Verdana" w:cs="Arial"/>
          <w:sz w:val="20"/>
          <w:szCs w:val="20"/>
        </w:rPr>
        <w:t xml:space="preserve">lecenie, którego realizacja w trakcie notowań ciągłych skutkowałaby zawarciem transakcji po kursie wykraczającym poza </w:t>
      </w:r>
      <w:r w:rsidR="00475C24" w:rsidRPr="00475C24">
        <w:rPr>
          <w:rFonts w:ascii="Verdana" w:hAnsi="Verdana" w:cs="Arial"/>
          <w:sz w:val="20"/>
        </w:rPr>
        <w:t xml:space="preserve">granice dopuszczalnych wahań kursów, wyznaczonych limitami cen </w:t>
      </w:r>
      <w:r w:rsidR="00440122">
        <w:rPr>
          <w:rFonts w:ascii="Verdana" w:hAnsi="Verdana" w:cs="Arial"/>
          <w:sz w:val="20"/>
        </w:rPr>
        <w:br/>
      </w:r>
      <w:r w:rsidR="00475C24" w:rsidRPr="00475C24">
        <w:rPr>
          <w:rFonts w:ascii="Verdana" w:hAnsi="Verdana" w:cs="Arial"/>
          <w:sz w:val="20"/>
        </w:rPr>
        <w:t xml:space="preserve">w zleceniach animatora rynku, nie podlega realizacji lecz po ujawnieniu </w:t>
      </w:r>
      <w:r w:rsidR="008F2C31">
        <w:rPr>
          <w:rFonts w:ascii="Verdana" w:hAnsi="Verdana" w:cs="Arial"/>
          <w:sz w:val="20"/>
        </w:rPr>
        <w:br/>
      </w:r>
      <w:r w:rsidR="00475C24" w:rsidRPr="00475C24">
        <w:rPr>
          <w:rFonts w:ascii="Verdana" w:hAnsi="Verdana" w:cs="Arial"/>
          <w:sz w:val="20"/>
        </w:rPr>
        <w:t xml:space="preserve">w arkuszu zleceń oczekuje na realizację w procesie rozkrosowania,  zgodnie </w:t>
      </w:r>
      <w:r w:rsidR="008F2C31">
        <w:rPr>
          <w:rFonts w:ascii="Verdana" w:hAnsi="Verdana" w:cs="Arial"/>
          <w:sz w:val="20"/>
        </w:rPr>
        <w:br/>
      </w:r>
      <w:r w:rsidR="00475C24" w:rsidRPr="00475C24">
        <w:rPr>
          <w:rFonts w:ascii="Verdana" w:hAnsi="Verdana" w:cs="Arial"/>
          <w:sz w:val="20"/>
        </w:rPr>
        <w:t xml:space="preserve">z przepisami </w:t>
      </w:r>
      <w:bookmarkStart w:id="2" w:name="_Hlk195300494"/>
      <w:r w:rsidR="00475C24" w:rsidRPr="00475C24">
        <w:rPr>
          <w:rFonts w:ascii="Verdana" w:hAnsi="Verdana"/>
          <w:bCs/>
          <w:sz w:val="20"/>
        </w:rPr>
        <w:t>Szczegółowych Zasadach  Obrotu Giełdowego</w:t>
      </w:r>
      <w:bookmarkEnd w:id="2"/>
      <w:r w:rsidR="00475C24" w:rsidRPr="00475C24">
        <w:rPr>
          <w:rFonts w:ascii="Verdana" w:hAnsi="Verdana" w:cs="Arial"/>
          <w:sz w:val="20"/>
          <w:szCs w:val="20"/>
        </w:rPr>
        <w:t>.</w:t>
      </w:r>
      <w:r w:rsidR="00475C24">
        <w:rPr>
          <w:rFonts w:ascii="Verdana" w:hAnsi="Verdana" w:cs="Arial"/>
          <w:sz w:val="20"/>
          <w:szCs w:val="20"/>
        </w:rPr>
        <w:t>”;</w:t>
      </w:r>
    </w:p>
    <w:p w14:paraId="232AD562" w14:textId="0E434CA1" w:rsidR="008F6F29" w:rsidRDefault="008F6F29" w:rsidP="008F2C31">
      <w:pPr>
        <w:pStyle w:val="Akapitzlist"/>
        <w:numPr>
          <w:ilvl w:val="0"/>
          <w:numId w:val="1"/>
        </w:numPr>
        <w:spacing w:after="120" w:line="360" w:lineRule="auto"/>
        <w:ind w:left="283" w:hanging="425"/>
        <w:jc w:val="both"/>
        <w:rPr>
          <w:rFonts w:ascii="Verdana" w:hAnsi="Verdana"/>
          <w:sz w:val="20"/>
          <w:szCs w:val="20"/>
        </w:rPr>
      </w:pPr>
      <w:r>
        <w:rPr>
          <w:rFonts w:ascii="Verdana" w:hAnsi="Verdana"/>
          <w:sz w:val="20"/>
          <w:szCs w:val="20"/>
        </w:rPr>
        <w:t xml:space="preserve">w </w:t>
      </w:r>
      <w:r w:rsidRPr="008F6F29">
        <w:rPr>
          <w:rFonts w:ascii="Verdana" w:hAnsi="Verdana"/>
          <w:sz w:val="20"/>
          <w:szCs w:val="20"/>
        </w:rPr>
        <w:t>§ 143</w:t>
      </w:r>
      <w:r>
        <w:rPr>
          <w:rFonts w:ascii="Verdana" w:hAnsi="Verdana"/>
          <w:sz w:val="20"/>
          <w:szCs w:val="20"/>
        </w:rPr>
        <w:t xml:space="preserve">: </w:t>
      </w:r>
    </w:p>
    <w:p w14:paraId="4FF65E16" w14:textId="686ABFAD" w:rsidR="00D702A5" w:rsidRDefault="00647942" w:rsidP="008F2C31">
      <w:pPr>
        <w:pStyle w:val="Akapitzlist"/>
        <w:numPr>
          <w:ilvl w:val="0"/>
          <w:numId w:val="12"/>
        </w:numPr>
        <w:spacing w:after="120" w:line="360" w:lineRule="auto"/>
        <w:ind w:left="567" w:hanging="283"/>
        <w:jc w:val="both"/>
        <w:rPr>
          <w:rFonts w:ascii="Verdana" w:hAnsi="Verdana"/>
          <w:sz w:val="20"/>
          <w:szCs w:val="20"/>
        </w:rPr>
      </w:pPr>
      <w:r>
        <w:rPr>
          <w:rFonts w:ascii="Verdana" w:hAnsi="Verdana"/>
          <w:sz w:val="20"/>
          <w:szCs w:val="20"/>
        </w:rPr>
        <w:t xml:space="preserve">w </w:t>
      </w:r>
      <w:r w:rsidR="00D702A5">
        <w:rPr>
          <w:rFonts w:ascii="Verdana" w:hAnsi="Verdana"/>
          <w:sz w:val="20"/>
          <w:szCs w:val="20"/>
        </w:rPr>
        <w:t xml:space="preserve">ust. 1 </w:t>
      </w:r>
      <w:r>
        <w:rPr>
          <w:rFonts w:ascii="Verdana" w:hAnsi="Verdana"/>
          <w:sz w:val="20"/>
          <w:szCs w:val="20"/>
        </w:rPr>
        <w:t>pkt 1 i 2 otrzymują brzmienie</w:t>
      </w:r>
      <w:r w:rsidR="00D702A5">
        <w:rPr>
          <w:rFonts w:ascii="Verdana" w:hAnsi="Verdana"/>
          <w:sz w:val="20"/>
          <w:szCs w:val="20"/>
        </w:rPr>
        <w:t>:</w:t>
      </w:r>
    </w:p>
    <w:p w14:paraId="3CBBCE26" w14:textId="2A02BD29" w:rsidR="008F6F29" w:rsidRDefault="008F6F29" w:rsidP="008F2C31">
      <w:pPr>
        <w:pStyle w:val="Akapitzlist"/>
        <w:spacing w:after="120" w:line="360" w:lineRule="auto"/>
        <w:ind w:left="567"/>
        <w:jc w:val="both"/>
        <w:rPr>
          <w:rFonts w:ascii="Verdana" w:hAnsi="Verdana"/>
          <w:sz w:val="20"/>
          <w:szCs w:val="20"/>
        </w:rPr>
      </w:pPr>
      <w:r w:rsidRPr="00D702A5">
        <w:rPr>
          <w:rFonts w:ascii="Verdana" w:hAnsi="Verdana"/>
          <w:sz w:val="20"/>
          <w:szCs w:val="20"/>
        </w:rPr>
        <w:t>„</w:t>
      </w:r>
      <w:r w:rsidR="00647942">
        <w:rPr>
          <w:rFonts w:ascii="Verdana" w:hAnsi="Verdana"/>
          <w:sz w:val="20"/>
          <w:szCs w:val="20"/>
        </w:rPr>
        <w:t xml:space="preserve">1) </w:t>
      </w:r>
      <w:r w:rsidRPr="00647942">
        <w:rPr>
          <w:rFonts w:ascii="Verdana" w:hAnsi="Verdana"/>
          <w:sz w:val="20"/>
          <w:szCs w:val="20"/>
        </w:rPr>
        <w:t>w okresie pomiędzy rozpoczęciem fazy aukcji otwarcia a określeniem kursu otwarcia na zakończenie tej fazy,</w:t>
      </w:r>
    </w:p>
    <w:p w14:paraId="0BE060D3" w14:textId="02DDA615" w:rsidR="008F6F29" w:rsidRDefault="00647942" w:rsidP="008F2C31">
      <w:pPr>
        <w:spacing w:after="240" w:line="360" w:lineRule="auto"/>
        <w:ind w:left="567"/>
        <w:jc w:val="both"/>
        <w:rPr>
          <w:rFonts w:ascii="Verdana" w:eastAsia="Times New Roman" w:hAnsi="Verdana"/>
          <w:sz w:val="20"/>
          <w:szCs w:val="20"/>
          <w:lang w:eastAsia="pl-PL"/>
        </w:rPr>
      </w:pPr>
      <w:r w:rsidRPr="00647942">
        <w:rPr>
          <w:rFonts w:ascii="Verdana" w:eastAsia="Times New Roman" w:hAnsi="Verdana"/>
          <w:sz w:val="20"/>
          <w:szCs w:val="20"/>
          <w:lang w:eastAsia="pl-PL"/>
        </w:rPr>
        <w:t>2)</w:t>
      </w:r>
      <w:r>
        <w:rPr>
          <w:rFonts w:ascii="Verdana" w:hAnsi="Verdana"/>
          <w:sz w:val="20"/>
          <w:szCs w:val="20"/>
        </w:rPr>
        <w:t xml:space="preserve"> </w:t>
      </w:r>
      <w:r w:rsidR="008F6F29" w:rsidRPr="008F6F29">
        <w:rPr>
          <w:rFonts w:ascii="Verdana" w:eastAsia="Times New Roman" w:hAnsi="Verdana"/>
          <w:sz w:val="20"/>
          <w:szCs w:val="20"/>
          <w:lang w:eastAsia="pl-PL"/>
        </w:rPr>
        <w:t>w okresie pomiędzy rozpoczęciem fazy aukcji zamknięcia a określeniem kursu zamknięcia na zakończenie tej fazy,</w:t>
      </w:r>
      <w:r>
        <w:rPr>
          <w:rFonts w:ascii="Verdana" w:eastAsia="Times New Roman" w:hAnsi="Verdana"/>
          <w:sz w:val="20"/>
          <w:szCs w:val="20"/>
          <w:lang w:eastAsia="pl-PL"/>
        </w:rPr>
        <w:t>”</w:t>
      </w:r>
      <w:r w:rsidR="00440122">
        <w:rPr>
          <w:rFonts w:ascii="Verdana" w:eastAsia="Times New Roman" w:hAnsi="Verdana"/>
          <w:sz w:val="20"/>
          <w:szCs w:val="20"/>
          <w:lang w:eastAsia="pl-PL"/>
        </w:rPr>
        <w:t>;</w:t>
      </w:r>
    </w:p>
    <w:p w14:paraId="0C392F93" w14:textId="77777777" w:rsidR="00B9694C" w:rsidRPr="00647942" w:rsidRDefault="00B9694C" w:rsidP="008F2C31">
      <w:pPr>
        <w:spacing w:after="240" w:line="360" w:lineRule="auto"/>
        <w:ind w:left="567"/>
        <w:jc w:val="both"/>
        <w:rPr>
          <w:rFonts w:ascii="Verdana" w:hAnsi="Verdana"/>
          <w:sz w:val="20"/>
          <w:szCs w:val="20"/>
        </w:rPr>
      </w:pPr>
    </w:p>
    <w:p w14:paraId="313D941B" w14:textId="3DA507A9" w:rsidR="00D702A5" w:rsidRDefault="00D702A5" w:rsidP="008F2C31">
      <w:pPr>
        <w:pStyle w:val="Akapitzlist"/>
        <w:numPr>
          <w:ilvl w:val="0"/>
          <w:numId w:val="12"/>
        </w:numPr>
        <w:spacing w:after="120" w:line="360" w:lineRule="auto"/>
        <w:ind w:left="641" w:hanging="357"/>
        <w:jc w:val="both"/>
        <w:rPr>
          <w:rFonts w:ascii="Verdana" w:hAnsi="Verdana"/>
          <w:sz w:val="20"/>
          <w:szCs w:val="20"/>
        </w:rPr>
      </w:pPr>
      <w:r>
        <w:rPr>
          <w:rFonts w:ascii="Verdana" w:hAnsi="Verdana"/>
          <w:sz w:val="20"/>
          <w:szCs w:val="20"/>
        </w:rPr>
        <w:lastRenderedPageBreak/>
        <w:t xml:space="preserve">po ust. 4 dodaje się </w:t>
      </w:r>
      <w:r w:rsidRPr="00D702A5">
        <w:rPr>
          <w:rFonts w:ascii="Verdana" w:hAnsi="Verdana"/>
          <w:sz w:val="20"/>
          <w:szCs w:val="20"/>
        </w:rPr>
        <w:t xml:space="preserve">ust. </w:t>
      </w:r>
      <w:r>
        <w:rPr>
          <w:rFonts w:ascii="Verdana" w:hAnsi="Verdana"/>
          <w:sz w:val="20"/>
          <w:szCs w:val="20"/>
        </w:rPr>
        <w:t>5</w:t>
      </w:r>
      <w:r w:rsidRPr="00D702A5">
        <w:rPr>
          <w:rFonts w:ascii="Verdana" w:hAnsi="Verdana"/>
          <w:sz w:val="20"/>
          <w:szCs w:val="20"/>
        </w:rPr>
        <w:t xml:space="preserve"> </w:t>
      </w:r>
      <w:r>
        <w:rPr>
          <w:rFonts w:ascii="Verdana" w:hAnsi="Verdana"/>
          <w:sz w:val="20"/>
          <w:szCs w:val="20"/>
        </w:rPr>
        <w:t>w</w:t>
      </w:r>
      <w:r w:rsidRPr="00D702A5">
        <w:rPr>
          <w:rFonts w:ascii="Verdana" w:hAnsi="Verdana"/>
          <w:sz w:val="20"/>
          <w:szCs w:val="20"/>
        </w:rPr>
        <w:t xml:space="preserve"> brzmieni</w:t>
      </w:r>
      <w:r>
        <w:rPr>
          <w:rFonts w:ascii="Verdana" w:hAnsi="Verdana"/>
          <w:sz w:val="20"/>
          <w:szCs w:val="20"/>
        </w:rPr>
        <w:t>u:</w:t>
      </w:r>
    </w:p>
    <w:p w14:paraId="734C353C" w14:textId="31DB12F9" w:rsidR="00D702A5" w:rsidRDefault="00D702A5" w:rsidP="008F2C31">
      <w:pPr>
        <w:pStyle w:val="Akapitzlist"/>
        <w:spacing w:after="360" w:line="360" w:lineRule="auto"/>
        <w:ind w:left="646"/>
        <w:jc w:val="both"/>
        <w:rPr>
          <w:rFonts w:ascii="Verdana" w:hAnsi="Verdana"/>
          <w:sz w:val="20"/>
          <w:szCs w:val="20"/>
        </w:rPr>
      </w:pPr>
      <w:r>
        <w:rPr>
          <w:rFonts w:ascii="Verdana" w:hAnsi="Verdana" w:cs="Arial"/>
          <w:sz w:val="20"/>
          <w:szCs w:val="20"/>
        </w:rPr>
        <w:t xml:space="preserve">„5. </w:t>
      </w:r>
      <w:r w:rsidRPr="00D702A5">
        <w:rPr>
          <w:rFonts w:ascii="Verdana" w:hAnsi="Verdana" w:cs="Arial"/>
          <w:sz w:val="20"/>
          <w:szCs w:val="20"/>
        </w:rPr>
        <w:t>Teoretycznego kursu otwarcia oraz teoretycznego wolumenu otwarcia</w:t>
      </w:r>
      <w:r w:rsidRPr="00D702A5">
        <w:rPr>
          <w:rFonts w:ascii="Verdana" w:hAnsi="Verdana"/>
          <w:sz w:val="20"/>
          <w:szCs w:val="20"/>
        </w:rPr>
        <w:t xml:space="preserve"> nie określa się w systemie animatora rynku.</w:t>
      </w:r>
      <w:r>
        <w:rPr>
          <w:rFonts w:ascii="Verdana" w:hAnsi="Verdana"/>
          <w:sz w:val="20"/>
          <w:szCs w:val="20"/>
        </w:rPr>
        <w:t>”;</w:t>
      </w:r>
    </w:p>
    <w:p w14:paraId="3BEC8A6B" w14:textId="4427DEF7" w:rsidR="00475C24" w:rsidRPr="008F6F29" w:rsidRDefault="002E0152" w:rsidP="008F2C31">
      <w:pPr>
        <w:pStyle w:val="Akapitzlist"/>
        <w:numPr>
          <w:ilvl w:val="0"/>
          <w:numId w:val="1"/>
        </w:numPr>
        <w:spacing w:after="120" w:line="360" w:lineRule="auto"/>
        <w:ind w:left="283" w:hanging="425"/>
        <w:jc w:val="both"/>
        <w:rPr>
          <w:rFonts w:ascii="Verdana" w:hAnsi="Verdana"/>
          <w:sz w:val="20"/>
          <w:szCs w:val="20"/>
        </w:rPr>
      </w:pPr>
      <w:r>
        <w:rPr>
          <w:rFonts w:ascii="Verdana" w:hAnsi="Verdana"/>
          <w:sz w:val="20"/>
          <w:szCs w:val="20"/>
        </w:rPr>
        <w:t xml:space="preserve">w </w:t>
      </w:r>
      <w:r w:rsidR="008F6F29" w:rsidRPr="008F6F29">
        <w:rPr>
          <w:rFonts w:ascii="Verdana" w:hAnsi="Verdana"/>
          <w:sz w:val="20"/>
          <w:szCs w:val="20"/>
        </w:rPr>
        <w:t>§ 144</w:t>
      </w:r>
      <w:r w:rsidR="008F6F29">
        <w:rPr>
          <w:rFonts w:ascii="Verdana" w:hAnsi="Verdana"/>
          <w:sz w:val="20"/>
          <w:szCs w:val="20"/>
        </w:rPr>
        <w:t>:</w:t>
      </w:r>
    </w:p>
    <w:p w14:paraId="4AF2796B" w14:textId="379B244C" w:rsidR="008F6F29" w:rsidRDefault="002E0152" w:rsidP="008F2C31">
      <w:pPr>
        <w:pStyle w:val="Akapitzlist"/>
        <w:numPr>
          <w:ilvl w:val="2"/>
          <w:numId w:val="5"/>
        </w:numPr>
        <w:tabs>
          <w:tab w:val="left" w:pos="0"/>
        </w:tabs>
        <w:spacing w:after="120" w:line="360" w:lineRule="auto"/>
        <w:ind w:left="709" w:hanging="425"/>
        <w:rPr>
          <w:rFonts w:ascii="Verdana" w:hAnsi="Verdana"/>
          <w:sz w:val="20"/>
          <w:szCs w:val="20"/>
        </w:rPr>
      </w:pPr>
      <w:r>
        <w:rPr>
          <w:rFonts w:ascii="Verdana" w:hAnsi="Verdana"/>
          <w:sz w:val="20"/>
          <w:szCs w:val="20"/>
        </w:rPr>
        <w:t>ust. 1 otrzymuje brzmienie:</w:t>
      </w:r>
    </w:p>
    <w:p w14:paraId="5F97E1EB" w14:textId="639E131D" w:rsidR="008F6F29" w:rsidRDefault="002E0152" w:rsidP="008F2C31">
      <w:pPr>
        <w:pStyle w:val="Akapitzlist"/>
        <w:tabs>
          <w:tab w:val="left" w:pos="0"/>
        </w:tabs>
        <w:spacing w:after="240" w:line="360" w:lineRule="auto"/>
        <w:ind w:left="709"/>
        <w:jc w:val="both"/>
        <w:rPr>
          <w:rFonts w:ascii="Verdana" w:hAnsi="Verdana" w:cs="Arial"/>
          <w:sz w:val="20"/>
          <w:szCs w:val="20"/>
        </w:rPr>
      </w:pPr>
      <w:r>
        <w:rPr>
          <w:rFonts w:ascii="Verdana" w:hAnsi="Verdana"/>
          <w:sz w:val="20"/>
          <w:szCs w:val="20"/>
        </w:rPr>
        <w:t xml:space="preserve">„1. </w:t>
      </w:r>
      <w:r w:rsidR="008F6F29" w:rsidRPr="002E0152">
        <w:rPr>
          <w:rFonts w:ascii="Verdana" w:hAnsi="Verdana" w:cs="Arial"/>
          <w:sz w:val="20"/>
          <w:szCs w:val="20"/>
        </w:rPr>
        <w:t>W systemie notowań ciągłych fazę dogrywk</w:t>
      </w:r>
      <w:r w:rsidR="00404B4E">
        <w:rPr>
          <w:rFonts w:ascii="Verdana" w:hAnsi="Verdana" w:cs="Arial"/>
          <w:sz w:val="20"/>
          <w:szCs w:val="20"/>
        </w:rPr>
        <w:t>i</w:t>
      </w:r>
      <w:r w:rsidR="008F6F29" w:rsidRPr="002E0152">
        <w:rPr>
          <w:rFonts w:ascii="Verdana" w:hAnsi="Verdana" w:cs="Arial"/>
          <w:sz w:val="20"/>
          <w:szCs w:val="20"/>
        </w:rPr>
        <w:t xml:space="preserve"> organizuje się dla instrumentów finansowych, dla których w fazie aukcji zamknięcia na danej sesji został określony kurs zamknięcia, z zastrzeżeniem ust. 3 i 4.</w:t>
      </w:r>
      <w:r>
        <w:rPr>
          <w:rFonts w:ascii="Verdana" w:hAnsi="Verdana" w:cs="Arial"/>
          <w:sz w:val="20"/>
          <w:szCs w:val="20"/>
        </w:rPr>
        <w:t>”;</w:t>
      </w:r>
      <w:r w:rsidR="008F6F29" w:rsidRPr="002E0152">
        <w:rPr>
          <w:rFonts w:ascii="Verdana" w:hAnsi="Verdana" w:cs="Arial"/>
          <w:sz w:val="20"/>
          <w:szCs w:val="20"/>
        </w:rPr>
        <w:t xml:space="preserve"> </w:t>
      </w:r>
    </w:p>
    <w:p w14:paraId="7A77E0E1" w14:textId="1937D2C8" w:rsidR="002E0152" w:rsidRDefault="002E0152" w:rsidP="00EC7A47">
      <w:pPr>
        <w:pStyle w:val="Akapitzlist"/>
        <w:numPr>
          <w:ilvl w:val="2"/>
          <w:numId w:val="5"/>
        </w:numPr>
        <w:tabs>
          <w:tab w:val="left" w:pos="0"/>
        </w:tabs>
        <w:spacing w:after="120" w:line="360" w:lineRule="auto"/>
        <w:ind w:left="709" w:hanging="425"/>
        <w:rPr>
          <w:rFonts w:ascii="Verdana" w:hAnsi="Verdana"/>
          <w:sz w:val="20"/>
          <w:szCs w:val="20"/>
        </w:rPr>
      </w:pPr>
      <w:r>
        <w:rPr>
          <w:rFonts w:ascii="Verdana" w:hAnsi="Verdana"/>
          <w:sz w:val="20"/>
          <w:szCs w:val="20"/>
        </w:rPr>
        <w:t>po ust. 1 dodaje się ust. 1a, w brzmieniu:</w:t>
      </w:r>
    </w:p>
    <w:p w14:paraId="2FA0FA6F" w14:textId="143B1DB0" w:rsidR="008F6F29" w:rsidRDefault="002E0152" w:rsidP="008F2C31">
      <w:pPr>
        <w:pStyle w:val="Akapitzlist"/>
        <w:tabs>
          <w:tab w:val="left" w:pos="0"/>
        </w:tabs>
        <w:spacing w:after="240" w:line="360" w:lineRule="auto"/>
        <w:ind w:left="709"/>
        <w:rPr>
          <w:rFonts w:ascii="Verdana" w:hAnsi="Verdana" w:cs="Arial"/>
          <w:sz w:val="20"/>
          <w:szCs w:val="20"/>
        </w:rPr>
      </w:pPr>
      <w:r>
        <w:rPr>
          <w:rFonts w:ascii="Verdana" w:hAnsi="Verdana"/>
          <w:sz w:val="20"/>
          <w:szCs w:val="20"/>
        </w:rPr>
        <w:t>„</w:t>
      </w:r>
      <w:r w:rsidR="008F6F29" w:rsidRPr="00A4339E">
        <w:rPr>
          <w:rFonts w:ascii="Verdana" w:hAnsi="Verdana"/>
          <w:sz w:val="20"/>
          <w:szCs w:val="20"/>
        </w:rPr>
        <w:t>1a.</w:t>
      </w:r>
      <w:r w:rsidR="008F6F29" w:rsidRPr="00BF2A6A">
        <w:rPr>
          <w:rFonts w:ascii="Verdana" w:hAnsi="Verdana" w:cs="Arial"/>
          <w:sz w:val="20"/>
          <w:szCs w:val="20"/>
        </w:rPr>
        <w:t xml:space="preserve"> W fazie dogrywki transakcje zawierane są po cenie równej ostatniemu kursowi zamknięcia.</w:t>
      </w:r>
      <w:r>
        <w:rPr>
          <w:rFonts w:ascii="Verdana" w:hAnsi="Verdana" w:cs="Arial"/>
          <w:sz w:val="20"/>
          <w:szCs w:val="20"/>
        </w:rPr>
        <w:t>”;</w:t>
      </w:r>
    </w:p>
    <w:p w14:paraId="3AEEA4A8" w14:textId="6674ECE5" w:rsidR="002E0152" w:rsidRPr="008F2C31" w:rsidRDefault="002E0152" w:rsidP="00BE75AF">
      <w:pPr>
        <w:pStyle w:val="Akapitzlist"/>
        <w:numPr>
          <w:ilvl w:val="2"/>
          <w:numId w:val="5"/>
        </w:numPr>
        <w:tabs>
          <w:tab w:val="left" w:pos="0"/>
        </w:tabs>
        <w:spacing w:after="360" w:line="360" w:lineRule="auto"/>
        <w:ind w:left="709" w:hanging="425"/>
        <w:jc w:val="both"/>
        <w:rPr>
          <w:rFonts w:ascii="Verdana" w:hAnsi="Verdana"/>
          <w:sz w:val="20"/>
          <w:szCs w:val="20"/>
        </w:rPr>
      </w:pPr>
      <w:r>
        <w:rPr>
          <w:rFonts w:ascii="Verdana" w:hAnsi="Verdana"/>
          <w:sz w:val="20"/>
          <w:szCs w:val="20"/>
        </w:rPr>
        <w:t>w ust. 2 wyrazy „</w:t>
      </w:r>
      <w:r w:rsidRPr="00640CE0">
        <w:rPr>
          <w:rFonts w:ascii="Verdana" w:hAnsi="Verdana" w:cs="Arial"/>
          <w:sz w:val="20"/>
          <w:szCs w:val="20"/>
        </w:rPr>
        <w:t xml:space="preserve">o którym mowa w ust. </w:t>
      </w:r>
      <w:r>
        <w:rPr>
          <w:rFonts w:ascii="Verdana" w:hAnsi="Verdana" w:cs="Arial"/>
          <w:sz w:val="20"/>
          <w:szCs w:val="20"/>
        </w:rPr>
        <w:t>1” zastępuje się wyrazami „</w:t>
      </w:r>
      <w:r w:rsidRPr="00640CE0">
        <w:rPr>
          <w:rFonts w:ascii="Verdana" w:hAnsi="Verdana" w:cs="Arial"/>
          <w:sz w:val="20"/>
          <w:szCs w:val="20"/>
        </w:rPr>
        <w:t xml:space="preserve">o którym mowa w ust. </w:t>
      </w:r>
      <w:r>
        <w:rPr>
          <w:rFonts w:ascii="Verdana" w:hAnsi="Verdana" w:cs="Arial"/>
          <w:sz w:val="20"/>
          <w:szCs w:val="20"/>
        </w:rPr>
        <w:t>1a”;</w:t>
      </w:r>
    </w:p>
    <w:p w14:paraId="691810E8" w14:textId="2F556061" w:rsidR="008F6F29" w:rsidRPr="002E0152" w:rsidRDefault="008F6F29" w:rsidP="008F2C31">
      <w:pPr>
        <w:pStyle w:val="Akapitzlist"/>
        <w:numPr>
          <w:ilvl w:val="0"/>
          <w:numId w:val="1"/>
        </w:numPr>
        <w:spacing w:after="120" w:line="360" w:lineRule="auto"/>
        <w:ind w:left="283" w:hanging="425"/>
        <w:jc w:val="both"/>
        <w:rPr>
          <w:rFonts w:ascii="Verdana" w:hAnsi="Verdana"/>
          <w:sz w:val="20"/>
          <w:szCs w:val="20"/>
        </w:rPr>
      </w:pPr>
      <w:r w:rsidRPr="002E0152">
        <w:rPr>
          <w:rFonts w:ascii="Verdana" w:hAnsi="Verdana"/>
          <w:sz w:val="20"/>
          <w:szCs w:val="20"/>
        </w:rPr>
        <w:t xml:space="preserve">w § 145 w ust. 2 </w:t>
      </w:r>
      <w:r w:rsidR="002E0152">
        <w:rPr>
          <w:rFonts w:ascii="Verdana" w:hAnsi="Verdana"/>
          <w:sz w:val="20"/>
          <w:szCs w:val="20"/>
        </w:rPr>
        <w:t>po pkt 2 dodaje się pkt 2a, w brzmieniu</w:t>
      </w:r>
      <w:r w:rsidRPr="002E0152">
        <w:rPr>
          <w:rFonts w:ascii="Verdana" w:hAnsi="Verdana"/>
          <w:sz w:val="20"/>
          <w:szCs w:val="20"/>
        </w:rPr>
        <w:t>:</w:t>
      </w:r>
    </w:p>
    <w:p w14:paraId="752424CE" w14:textId="486B2A51" w:rsidR="008F6F29" w:rsidRDefault="008F6F29" w:rsidP="008F2C31">
      <w:pPr>
        <w:pStyle w:val="Akapitzlist"/>
        <w:spacing w:after="360" w:line="360" w:lineRule="auto"/>
        <w:ind w:left="284"/>
        <w:jc w:val="both"/>
        <w:rPr>
          <w:rFonts w:ascii="Verdana" w:hAnsi="Verdana"/>
          <w:bCs/>
          <w:sz w:val="20"/>
          <w:szCs w:val="20"/>
        </w:rPr>
      </w:pPr>
      <w:r>
        <w:rPr>
          <w:rFonts w:ascii="Verdana" w:hAnsi="Verdana" w:cs="Arial"/>
          <w:sz w:val="20"/>
          <w:szCs w:val="20"/>
        </w:rPr>
        <w:t>„</w:t>
      </w:r>
      <w:r w:rsidRPr="0047355E">
        <w:rPr>
          <w:rFonts w:ascii="Verdana" w:hAnsi="Verdana" w:cs="Arial"/>
          <w:sz w:val="20"/>
          <w:szCs w:val="20"/>
        </w:rPr>
        <w:t xml:space="preserve">2a) </w:t>
      </w:r>
      <w:r w:rsidRPr="002E0152">
        <w:rPr>
          <w:rFonts w:ascii="Verdana" w:hAnsi="Verdana"/>
          <w:bCs/>
          <w:sz w:val="20"/>
          <w:szCs w:val="20"/>
        </w:rPr>
        <w:t>określenia kursu na poziomie, przy którym wszystkie zlecenia kupna z limitem ceny wyższym od tego kursu oraz wszystkie zlecenia sprzedaży z limitem ceny niższym od tego kursu są realizowane w całości,”;</w:t>
      </w:r>
    </w:p>
    <w:p w14:paraId="1705B00B" w14:textId="614CC0A7" w:rsidR="008F6F29" w:rsidRPr="00C91360" w:rsidRDefault="00C91360" w:rsidP="008F2C31">
      <w:pPr>
        <w:pStyle w:val="Akapitzlist"/>
        <w:numPr>
          <w:ilvl w:val="0"/>
          <w:numId w:val="1"/>
        </w:numPr>
        <w:spacing w:after="120" w:line="360" w:lineRule="auto"/>
        <w:ind w:left="283" w:hanging="425"/>
        <w:jc w:val="both"/>
        <w:rPr>
          <w:rFonts w:ascii="Verdana" w:hAnsi="Verdana"/>
          <w:sz w:val="20"/>
          <w:szCs w:val="20"/>
        </w:rPr>
      </w:pPr>
      <w:r>
        <w:rPr>
          <w:rFonts w:ascii="Verdana" w:hAnsi="Verdana"/>
          <w:sz w:val="20"/>
          <w:szCs w:val="20"/>
        </w:rPr>
        <w:t>p</w:t>
      </w:r>
      <w:r w:rsidRPr="00C91360">
        <w:rPr>
          <w:rFonts w:ascii="Verdana" w:hAnsi="Verdana"/>
          <w:sz w:val="20"/>
          <w:szCs w:val="20"/>
        </w:rPr>
        <w:t>o §</w:t>
      </w:r>
      <w:r>
        <w:rPr>
          <w:rFonts w:ascii="Verdana" w:hAnsi="Verdana"/>
          <w:sz w:val="20"/>
          <w:szCs w:val="20"/>
        </w:rPr>
        <w:t xml:space="preserve"> 149 dodaje się § 149a, w brzmieniu</w:t>
      </w:r>
      <w:r w:rsidRPr="00C91360">
        <w:rPr>
          <w:rFonts w:ascii="Verdana" w:hAnsi="Verdana"/>
          <w:sz w:val="20"/>
          <w:szCs w:val="20"/>
        </w:rPr>
        <w:t xml:space="preserve"> </w:t>
      </w:r>
      <w:r w:rsidR="008F6F29" w:rsidRPr="00C91360">
        <w:rPr>
          <w:rFonts w:ascii="Verdana" w:hAnsi="Verdana"/>
          <w:sz w:val="20"/>
          <w:szCs w:val="20"/>
        </w:rPr>
        <w:t>:</w:t>
      </w:r>
    </w:p>
    <w:p w14:paraId="6FEBCEF0" w14:textId="398208B6" w:rsidR="008F6F29" w:rsidRDefault="008F6F29" w:rsidP="008F2C31">
      <w:pPr>
        <w:tabs>
          <w:tab w:val="left" w:pos="0"/>
        </w:tabs>
        <w:spacing w:after="120" w:line="360" w:lineRule="auto"/>
        <w:ind w:firstLine="284"/>
        <w:rPr>
          <w:rFonts w:ascii="Verdana" w:hAnsi="Verdana" w:cs="Arial"/>
          <w:sz w:val="20"/>
          <w:szCs w:val="20"/>
        </w:rPr>
      </w:pPr>
      <w:r>
        <w:rPr>
          <w:rFonts w:ascii="Verdana" w:hAnsi="Verdana" w:cs="Arial"/>
          <w:sz w:val="20"/>
          <w:szCs w:val="20"/>
        </w:rPr>
        <w:t>„</w:t>
      </w:r>
      <w:r w:rsidRPr="00640CE0">
        <w:rPr>
          <w:rFonts w:ascii="Verdana" w:hAnsi="Verdana" w:cs="Arial"/>
          <w:sz w:val="20"/>
          <w:szCs w:val="20"/>
        </w:rPr>
        <w:t>§ 149</w:t>
      </w:r>
      <w:r>
        <w:rPr>
          <w:rFonts w:ascii="Verdana" w:hAnsi="Verdana" w:cs="Arial"/>
          <w:sz w:val="20"/>
          <w:szCs w:val="20"/>
        </w:rPr>
        <w:t>a</w:t>
      </w:r>
    </w:p>
    <w:p w14:paraId="446EC8D2" w14:textId="77777777" w:rsidR="008F6F29" w:rsidRPr="00357A33" w:rsidRDefault="008F6F29" w:rsidP="008F2C31">
      <w:pPr>
        <w:numPr>
          <w:ilvl w:val="0"/>
          <w:numId w:val="6"/>
        </w:numPr>
        <w:tabs>
          <w:tab w:val="left" w:pos="0"/>
        </w:tabs>
        <w:spacing w:after="120" w:line="360" w:lineRule="auto"/>
        <w:ind w:left="709" w:hanging="283"/>
        <w:jc w:val="both"/>
        <w:rPr>
          <w:rFonts w:ascii="Verdana" w:hAnsi="Verdana"/>
          <w:sz w:val="20"/>
          <w:szCs w:val="20"/>
        </w:rPr>
      </w:pPr>
      <w:r w:rsidRPr="00357A33">
        <w:rPr>
          <w:rFonts w:ascii="Verdana" w:hAnsi="Verdana"/>
          <w:sz w:val="20"/>
          <w:szCs w:val="20"/>
        </w:rPr>
        <w:t>Jeżeli na zakończenie fazy aukcji otwarcia teoretyczny kurs otwarcia wykracza poza obowiązujące statyczne ograniczenia wahań kursów rozpoczyna się równoważenie.</w:t>
      </w:r>
    </w:p>
    <w:p w14:paraId="691AEF09" w14:textId="0AD8ACA0" w:rsidR="008F6F29" w:rsidRPr="00357A33" w:rsidRDefault="008F6F29" w:rsidP="008F2C31">
      <w:pPr>
        <w:numPr>
          <w:ilvl w:val="0"/>
          <w:numId w:val="6"/>
        </w:numPr>
        <w:tabs>
          <w:tab w:val="left" w:pos="0"/>
        </w:tabs>
        <w:spacing w:after="360" w:line="360" w:lineRule="auto"/>
        <w:ind w:left="709" w:hanging="283"/>
        <w:jc w:val="both"/>
        <w:rPr>
          <w:rFonts w:ascii="Verdana" w:hAnsi="Verdana" w:cs="Arial"/>
          <w:sz w:val="20"/>
          <w:szCs w:val="20"/>
        </w:rPr>
      </w:pPr>
      <w:r w:rsidRPr="00357A33">
        <w:rPr>
          <w:rFonts w:ascii="Verdana" w:hAnsi="Verdana"/>
          <w:sz w:val="20"/>
        </w:rPr>
        <w:t>Zarząd Giełdy określa w Szczegółowych Zasadach  Obrotu Giełdowego</w:t>
      </w:r>
      <w:r>
        <w:rPr>
          <w:rFonts w:ascii="Verdana" w:hAnsi="Verdana"/>
          <w:sz w:val="20"/>
        </w:rPr>
        <w:t xml:space="preserve"> szczegółowe zasady </w:t>
      </w:r>
      <w:r w:rsidRPr="00357A33">
        <w:rPr>
          <w:rFonts w:ascii="Verdana" w:hAnsi="Verdana"/>
          <w:sz w:val="20"/>
        </w:rPr>
        <w:t>przeprowadzania równoważenia, w tym zasady wyznaczania kursu odniesienia, ograniczeń wahań kursów oraz określania kursu jednolitego w trakcie równoważenia</w:t>
      </w:r>
      <w:r>
        <w:rPr>
          <w:rFonts w:ascii="Verdana" w:hAnsi="Verdana"/>
          <w:sz w:val="20"/>
        </w:rPr>
        <w:t>.”;</w:t>
      </w:r>
    </w:p>
    <w:p w14:paraId="3705E69C" w14:textId="786CC18A" w:rsidR="00B9694C" w:rsidRDefault="00B9694C" w:rsidP="00B9694C">
      <w:pPr>
        <w:pStyle w:val="Akapitzlist"/>
        <w:spacing w:after="120" w:line="360" w:lineRule="auto"/>
        <w:ind w:left="283"/>
        <w:jc w:val="both"/>
        <w:rPr>
          <w:rFonts w:ascii="Verdana" w:hAnsi="Verdana"/>
          <w:sz w:val="20"/>
          <w:szCs w:val="20"/>
        </w:rPr>
      </w:pPr>
    </w:p>
    <w:p w14:paraId="7F49C749" w14:textId="4C6F3AF9" w:rsidR="00B9694C" w:rsidRDefault="00B9694C" w:rsidP="00B9694C">
      <w:pPr>
        <w:pStyle w:val="Akapitzlist"/>
        <w:spacing w:after="120" w:line="360" w:lineRule="auto"/>
        <w:ind w:left="283"/>
        <w:jc w:val="both"/>
        <w:rPr>
          <w:rFonts w:ascii="Verdana" w:hAnsi="Verdana"/>
          <w:sz w:val="20"/>
          <w:szCs w:val="20"/>
        </w:rPr>
      </w:pPr>
    </w:p>
    <w:p w14:paraId="62363B3F" w14:textId="77777777" w:rsidR="00B9694C" w:rsidRDefault="00B9694C" w:rsidP="00B9694C">
      <w:pPr>
        <w:pStyle w:val="Akapitzlist"/>
        <w:spacing w:after="120" w:line="360" w:lineRule="auto"/>
        <w:ind w:left="283"/>
        <w:jc w:val="both"/>
        <w:rPr>
          <w:rFonts w:ascii="Verdana" w:hAnsi="Verdana"/>
          <w:sz w:val="20"/>
          <w:szCs w:val="20"/>
        </w:rPr>
      </w:pPr>
    </w:p>
    <w:p w14:paraId="42D2CF60" w14:textId="10235879" w:rsidR="00596C0D" w:rsidRDefault="00C91360" w:rsidP="008F2C31">
      <w:pPr>
        <w:pStyle w:val="Akapitzlist"/>
        <w:numPr>
          <w:ilvl w:val="0"/>
          <w:numId w:val="1"/>
        </w:numPr>
        <w:spacing w:after="120" w:line="360" w:lineRule="auto"/>
        <w:ind w:left="283" w:hanging="425"/>
        <w:jc w:val="both"/>
        <w:rPr>
          <w:rFonts w:ascii="Verdana" w:hAnsi="Verdana"/>
          <w:sz w:val="20"/>
          <w:szCs w:val="20"/>
        </w:rPr>
      </w:pPr>
      <w:r>
        <w:rPr>
          <w:rFonts w:ascii="Verdana" w:hAnsi="Verdana"/>
          <w:sz w:val="20"/>
          <w:szCs w:val="20"/>
        </w:rPr>
        <w:lastRenderedPageBreak/>
        <w:t xml:space="preserve">w </w:t>
      </w:r>
      <w:r w:rsidR="008F6F29" w:rsidRPr="00C91360">
        <w:rPr>
          <w:rFonts w:ascii="Verdana" w:hAnsi="Verdana"/>
          <w:sz w:val="20"/>
          <w:szCs w:val="20"/>
        </w:rPr>
        <w:t>§</w:t>
      </w:r>
      <w:r w:rsidR="008F6F29" w:rsidRPr="00C91360">
        <w:rPr>
          <w:rFonts w:ascii="Verdana" w:hAnsi="Verdana"/>
          <w:bCs/>
          <w:sz w:val="20"/>
          <w:szCs w:val="20"/>
        </w:rPr>
        <w:t xml:space="preserve"> 15</w:t>
      </w:r>
      <w:r>
        <w:rPr>
          <w:rFonts w:ascii="Verdana" w:hAnsi="Verdana"/>
          <w:bCs/>
          <w:sz w:val="20"/>
          <w:szCs w:val="20"/>
        </w:rPr>
        <w:t>2</w:t>
      </w:r>
      <w:r w:rsidR="00596C0D" w:rsidRPr="00C91360">
        <w:rPr>
          <w:rFonts w:ascii="Verdana" w:hAnsi="Verdana"/>
          <w:sz w:val="20"/>
          <w:szCs w:val="20"/>
        </w:rPr>
        <w:t>:</w:t>
      </w:r>
    </w:p>
    <w:p w14:paraId="76374D65" w14:textId="4B10F2E3" w:rsidR="00C91360" w:rsidRDefault="00C91360" w:rsidP="008F2C31">
      <w:pPr>
        <w:pStyle w:val="Akapitzlist"/>
        <w:numPr>
          <w:ilvl w:val="2"/>
          <w:numId w:val="6"/>
        </w:numPr>
        <w:spacing w:after="120" w:line="360" w:lineRule="auto"/>
        <w:ind w:left="709" w:hanging="425"/>
        <w:jc w:val="both"/>
        <w:rPr>
          <w:rFonts w:ascii="Verdana" w:hAnsi="Verdana"/>
          <w:sz w:val="20"/>
          <w:szCs w:val="20"/>
        </w:rPr>
      </w:pPr>
      <w:r>
        <w:rPr>
          <w:rFonts w:ascii="Verdana" w:hAnsi="Verdana"/>
          <w:sz w:val="20"/>
          <w:szCs w:val="20"/>
        </w:rPr>
        <w:t>ust. 1 otrzymuje brzmienie:</w:t>
      </w:r>
    </w:p>
    <w:p w14:paraId="71CB553A" w14:textId="5EEEE259" w:rsidR="00596C0D" w:rsidRDefault="00C91360" w:rsidP="008F2C31">
      <w:pPr>
        <w:pStyle w:val="Akapitzlist"/>
        <w:spacing w:after="120" w:line="360" w:lineRule="auto"/>
        <w:ind w:left="709"/>
        <w:jc w:val="both"/>
        <w:rPr>
          <w:rFonts w:ascii="Verdana" w:hAnsi="Verdana" w:cs="Arial"/>
          <w:bCs/>
          <w:strike/>
          <w:sz w:val="20"/>
        </w:rPr>
      </w:pPr>
      <w:r>
        <w:rPr>
          <w:rFonts w:ascii="Verdana" w:hAnsi="Verdana"/>
          <w:sz w:val="20"/>
          <w:szCs w:val="20"/>
        </w:rPr>
        <w:t xml:space="preserve">„1. </w:t>
      </w:r>
      <w:r w:rsidR="00596C0D" w:rsidRPr="00C91360">
        <w:rPr>
          <w:rFonts w:ascii="Verdana" w:hAnsi="Verdana" w:cs="Arial"/>
          <w:bCs/>
          <w:sz w:val="20"/>
        </w:rPr>
        <w:t>W systemie kursu jednolitego fazę dogrywki organizuje się dla wszystkich instrumentów finansowych.</w:t>
      </w:r>
      <w:r>
        <w:rPr>
          <w:rFonts w:ascii="Verdana" w:hAnsi="Verdana" w:cs="Arial"/>
          <w:bCs/>
          <w:sz w:val="20"/>
        </w:rPr>
        <w:t>”;</w:t>
      </w:r>
      <w:r w:rsidR="00596C0D" w:rsidRPr="00C91360">
        <w:rPr>
          <w:rFonts w:ascii="Verdana" w:hAnsi="Verdana" w:cs="Arial"/>
          <w:bCs/>
          <w:strike/>
          <w:sz w:val="20"/>
        </w:rPr>
        <w:t xml:space="preserve"> </w:t>
      </w:r>
    </w:p>
    <w:p w14:paraId="0D6E532A" w14:textId="6807DB6B" w:rsidR="00C91360" w:rsidRDefault="00C91360" w:rsidP="008F2C31">
      <w:pPr>
        <w:pStyle w:val="Akapitzlist"/>
        <w:numPr>
          <w:ilvl w:val="2"/>
          <w:numId w:val="6"/>
        </w:numPr>
        <w:spacing w:after="120" w:line="360" w:lineRule="auto"/>
        <w:ind w:left="709" w:hanging="425"/>
        <w:jc w:val="both"/>
        <w:rPr>
          <w:rFonts w:ascii="Verdana" w:hAnsi="Verdana"/>
          <w:sz w:val="20"/>
          <w:szCs w:val="20"/>
        </w:rPr>
      </w:pPr>
      <w:r>
        <w:rPr>
          <w:rFonts w:ascii="Verdana" w:hAnsi="Verdana"/>
          <w:sz w:val="20"/>
          <w:szCs w:val="20"/>
        </w:rPr>
        <w:t>po ust. 1 dodaje się ust. 1a, w brzmieniu:</w:t>
      </w:r>
    </w:p>
    <w:p w14:paraId="6AAE8B5F" w14:textId="77777777" w:rsidR="008F2C31" w:rsidRDefault="00C91360" w:rsidP="008F2C31">
      <w:pPr>
        <w:pStyle w:val="Akapitzlist"/>
        <w:spacing w:after="240" w:line="360" w:lineRule="auto"/>
        <w:ind w:left="709"/>
        <w:jc w:val="both"/>
        <w:rPr>
          <w:rFonts w:ascii="Verdana" w:hAnsi="Verdana" w:cs="Arial"/>
          <w:bCs/>
          <w:sz w:val="20"/>
        </w:rPr>
      </w:pPr>
      <w:r>
        <w:rPr>
          <w:rFonts w:ascii="Verdana" w:hAnsi="Verdana"/>
          <w:sz w:val="20"/>
          <w:szCs w:val="20"/>
        </w:rPr>
        <w:t xml:space="preserve">„1a. </w:t>
      </w:r>
      <w:r w:rsidR="00596C0D" w:rsidRPr="0050763E">
        <w:rPr>
          <w:rFonts w:ascii="Verdana" w:hAnsi="Verdana" w:cs="Arial"/>
          <w:bCs/>
          <w:sz w:val="20"/>
        </w:rPr>
        <w:t>W fazie dogrywki transakcje zawierane są po cenie równej ostatniemu kursowi jednolitemu.</w:t>
      </w:r>
      <w:r>
        <w:rPr>
          <w:rFonts w:ascii="Verdana" w:hAnsi="Verdana" w:cs="Arial"/>
          <w:bCs/>
          <w:sz w:val="20"/>
        </w:rPr>
        <w:t>”;</w:t>
      </w:r>
    </w:p>
    <w:p w14:paraId="34E3B886" w14:textId="04795EC2" w:rsidR="00C91360" w:rsidRPr="008F2C31" w:rsidRDefault="00C91360" w:rsidP="008F2C31">
      <w:pPr>
        <w:pStyle w:val="Akapitzlist"/>
        <w:numPr>
          <w:ilvl w:val="2"/>
          <w:numId w:val="6"/>
        </w:numPr>
        <w:spacing w:after="360" w:line="360" w:lineRule="auto"/>
        <w:ind w:left="709" w:hanging="425"/>
        <w:jc w:val="both"/>
        <w:rPr>
          <w:rFonts w:ascii="Verdana" w:hAnsi="Verdana" w:cs="Arial"/>
          <w:bCs/>
          <w:sz w:val="20"/>
        </w:rPr>
      </w:pPr>
      <w:r w:rsidRPr="008F2C31">
        <w:rPr>
          <w:rFonts w:ascii="Verdana" w:hAnsi="Verdana"/>
          <w:sz w:val="20"/>
          <w:szCs w:val="20"/>
        </w:rPr>
        <w:t>w ust. 2 wyrazy „</w:t>
      </w:r>
      <w:r w:rsidRPr="008F2C31">
        <w:rPr>
          <w:rFonts w:ascii="Verdana" w:hAnsi="Verdana" w:cs="Arial"/>
          <w:sz w:val="20"/>
        </w:rPr>
        <w:t>o którym mowa w ust. 1” zastępuje się wyrazami „o którym mowa w ust. 1a”;</w:t>
      </w:r>
    </w:p>
    <w:p w14:paraId="5FD3BB0D" w14:textId="0E3C59AF" w:rsidR="008F6F29" w:rsidRPr="009E08FF" w:rsidRDefault="00596C0D" w:rsidP="008F2C31">
      <w:pPr>
        <w:pStyle w:val="Akapitzlist"/>
        <w:numPr>
          <w:ilvl w:val="0"/>
          <w:numId w:val="1"/>
        </w:numPr>
        <w:spacing w:after="120" w:line="360" w:lineRule="auto"/>
        <w:ind w:left="283" w:hanging="425"/>
        <w:jc w:val="both"/>
        <w:rPr>
          <w:rFonts w:ascii="Verdana" w:hAnsi="Verdana"/>
          <w:sz w:val="20"/>
          <w:szCs w:val="20"/>
        </w:rPr>
      </w:pPr>
      <w:r>
        <w:rPr>
          <w:rFonts w:ascii="Verdana" w:hAnsi="Verdana"/>
          <w:sz w:val="20"/>
          <w:szCs w:val="20"/>
        </w:rPr>
        <w:t xml:space="preserve">w </w:t>
      </w:r>
      <w:r w:rsidRPr="00596C0D">
        <w:rPr>
          <w:rFonts w:ascii="Verdana" w:hAnsi="Verdana"/>
          <w:bCs/>
          <w:sz w:val="20"/>
        </w:rPr>
        <w:t>§ 153</w:t>
      </w:r>
      <w:r>
        <w:rPr>
          <w:rFonts w:ascii="Verdana" w:hAnsi="Verdana"/>
          <w:bCs/>
          <w:sz w:val="20"/>
        </w:rPr>
        <w:t xml:space="preserve"> </w:t>
      </w:r>
      <w:r w:rsidR="00426E69">
        <w:rPr>
          <w:rFonts w:ascii="Verdana" w:hAnsi="Verdana"/>
          <w:bCs/>
          <w:sz w:val="20"/>
        </w:rPr>
        <w:t>ust. 1 otrzymuje brzmienie</w:t>
      </w:r>
      <w:r>
        <w:rPr>
          <w:rFonts w:ascii="Verdana" w:hAnsi="Verdana"/>
          <w:bCs/>
          <w:sz w:val="20"/>
        </w:rPr>
        <w:t>:</w:t>
      </w:r>
    </w:p>
    <w:p w14:paraId="7B29C4E0" w14:textId="6CBAAC82" w:rsidR="00426E69" w:rsidRPr="00640CE0" w:rsidRDefault="00426E69" w:rsidP="00426E69">
      <w:pPr>
        <w:tabs>
          <w:tab w:val="left" w:pos="142"/>
        </w:tabs>
        <w:spacing w:after="120" w:line="360" w:lineRule="auto"/>
        <w:ind w:left="360"/>
        <w:jc w:val="both"/>
        <w:rPr>
          <w:rFonts w:ascii="Verdana" w:hAnsi="Verdana"/>
          <w:sz w:val="20"/>
          <w:szCs w:val="20"/>
        </w:rPr>
      </w:pPr>
      <w:r>
        <w:rPr>
          <w:rFonts w:ascii="Verdana" w:hAnsi="Verdana"/>
          <w:sz w:val="20"/>
          <w:szCs w:val="20"/>
        </w:rPr>
        <w:t xml:space="preserve">„1. </w:t>
      </w:r>
      <w:r w:rsidRPr="00640CE0">
        <w:rPr>
          <w:rFonts w:ascii="Verdana" w:hAnsi="Verdana"/>
          <w:sz w:val="20"/>
          <w:szCs w:val="20"/>
        </w:rPr>
        <w:t xml:space="preserve">W systemie kursu jednolitego: </w:t>
      </w:r>
    </w:p>
    <w:p w14:paraId="54A6C266" w14:textId="4830ACA6" w:rsidR="00BE75AF" w:rsidRDefault="00426E69" w:rsidP="00BE75AF">
      <w:pPr>
        <w:pStyle w:val="Akapitzlist"/>
        <w:numPr>
          <w:ilvl w:val="0"/>
          <w:numId w:val="26"/>
        </w:numPr>
        <w:tabs>
          <w:tab w:val="left" w:pos="142"/>
          <w:tab w:val="num" w:pos="2160"/>
        </w:tabs>
        <w:spacing w:after="120" w:line="360" w:lineRule="auto"/>
        <w:jc w:val="both"/>
        <w:rPr>
          <w:rFonts w:ascii="Verdana" w:hAnsi="Verdana"/>
          <w:sz w:val="20"/>
          <w:szCs w:val="20"/>
        </w:rPr>
      </w:pPr>
      <w:r w:rsidRPr="00BE75AF">
        <w:rPr>
          <w:rFonts w:ascii="Verdana" w:hAnsi="Verdana"/>
          <w:sz w:val="20"/>
          <w:szCs w:val="20"/>
        </w:rPr>
        <w:t xml:space="preserve">w okresie pomiędzy rozpoczęciem fazy aukcji otwarcia a określeniem kursu jednolitego na zakończenie tej fazy - w systemie kursu jednolitego </w:t>
      </w:r>
      <w:r w:rsidRPr="00BE75AF">
        <w:rPr>
          <w:rFonts w:ascii="Verdana" w:hAnsi="Verdana"/>
          <w:sz w:val="20"/>
          <w:szCs w:val="20"/>
        </w:rPr>
        <w:br/>
        <w:t xml:space="preserve">z dwukrotnym  określaniem kursu jednolitego, </w:t>
      </w:r>
    </w:p>
    <w:p w14:paraId="5ADE0A67" w14:textId="77777777" w:rsidR="00BE75AF" w:rsidRDefault="00426E69" w:rsidP="00BE75AF">
      <w:pPr>
        <w:pStyle w:val="Akapitzlist"/>
        <w:numPr>
          <w:ilvl w:val="0"/>
          <w:numId w:val="26"/>
        </w:numPr>
        <w:tabs>
          <w:tab w:val="left" w:pos="142"/>
          <w:tab w:val="num" w:pos="2160"/>
        </w:tabs>
        <w:spacing w:after="120" w:line="360" w:lineRule="auto"/>
        <w:jc w:val="both"/>
        <w:rPr>
          <w:rFonts w:ascii="Verdana" w:hAnsi="Verdana"/>
          <w:sz w:val="20"/>
          <w:szCs w:val="20"/>
        </w:rPr>
      </w:pPr>
      <w:r w:rsidRPr="00BE75AF">
        <w:rPr>
          <w:rFonts w:ascii="Verdana" w:hAnsi="Verdana"/>
          <w:sz w:val="20"/>
          <w:szCs w:val="20"/>
        </w:rPr>
        <w:t xml:space="preserve">w okresie pomiędzy rozpoczęciem fazy przed otwarciem a określeniem kursu jednolitego - w systemie kursu jednolitego z jednokrotnym określaniem kursu jednolitego, </w:t>
      </w:r>
    </w:p>
    <w:p w14:paraId="2D68D8DE" w14:textId="13420616" w:rsidR="00426E69" w:rsidRPr="00BE75AF" w:rsidRDefault="00426E69" w:rsidP="00BE75AF">
      <w:pPr>
        <w:pStyle w:val="Akapitzlist"/>
        <w:numPr>
          <w:ilvl w:val="0"/>
          <w:numId w:val="26"/>
        </w:numPr>
        <w:tabs>
          <w:tab w:val="left" w:pos="142"/>
          <w:tab w:val="num" w:pos="2160"/>
        </w:tabs>
        <w:spacing w:after="120" w:line="360" w:lineRule="auto"/>
        <w:jc w:val="both"/>
        <w:rPr>
          <w:rFonts w:ascii="Verdana" w:hAnsi="Verdana"/>
          <w:sz w:val="20"/>
          <w:szCs w:val="20"/>
        </w:rPr>
      </w:pPr>
      <w:r w:rsidRPr="00BE75AF">
        <w:rPr>
          <w:rFonts w:ascii="Verdana" w:hAnsi="Verdana"/>
          <w:sz w:val="20"/>
          <w:szCs w:val="20"/>
        </w:rPr>
        <w:t>w trakcie równoważenia</w:t>
      </w:r>
    </w:p>
    <w:p w14:paraId="2A547B5D" w14:textId="25FC128E" w:rsidR="00426E69" w:rsidRPr="00640CE0" w:rsidRDefault="00426E69" w:rsidP="00BE75AF">
      <w:pPr>
        <w:tabs>
          <w:tab w:val="left" w:pos="142"/>
        </w:tabs>
        <w:spacing w:after="360" w:line="360" w:lineRule="auto"/>
        <w:ind w:left="708" w:hanging="708"/>
        <w:jc w:val="both"/>
        <w:rPr>
          <w:rFonts w:ascii="Verdana" w:hAnsi="Verdana"/>
          <w:sz w:val="20"/>
          <w:szCs w:val="20"/>
        </w:rPr>
      </w:pPr>
      <w:r>
        <w:rPr>
          <w:rFonts w:ascii="Verdana" w:hAnsi="Verdana"/>
          <w:sz w:val="20"/>
          <w:szCs w:val="20"/>
        </w:rPr>
        <w:tab/>
      </w:r>
      <w:r>
        <w:rPr>
          <w:rFonts w:ascii="Verdana" w:hAnsi="Verdana"/>
          <w:sz w:val="20"/>
          <w:szCs w:val="20"/>
        </w:rPr>
        <w:tab/>
      </w:r>
      <w:r w:rsidRPr="00640CE0">
        <w:rPr>
          <w:rFonts w:ascii="Verdana" w:hAnsi="Verdana"/>
          <w:sz w:val="20"/>
          <w:szCs w:val="20"/>
        </w:rPr>
        <w:t xml:space="preserve">- określane są na bieżąco, zgodnie z zasadami zawartymi w § 145 ust. 2, </w:t>
      </w:r>
      <w:r w:rsidRPr="00640CE0">
        <w:rPr>
          <w:rFonts w:ascii="Verdana" w:hAnsi="Verdana"/>
          <w:sz w:val="20"/>
          <w:szCs w:val="20"/>
        </w:rPr>
        <w:br/>
        <w:t>i podawane do publicznej wiadomości teoretyczny kurs otwarcia oraz teoretyczny wolumen otwarcia.</w:t>
      </w:r>
      <w:r>
        <w:rPr>
          <w:rFonts w:ascii="Verdana" w:hAnsi="Verdana"/>
          <w:sz w:val="20"/>
          <w:szCs w:val="20"/>
        </w:rPr>
        <w:t xml:space="preserve">”; </w:t>
      </w:r>
      <w:r w:rsidRPr="00640CE0">
        <w:rPr>
          <w:rFonts w:ascii="Verdana" w:hAnsi="Verdana"/>
          <w:sz w:val="20"/>
          <w:szCs w:val="20"/>
        </w:rPr>
        <w:t xml:space="preserve"> </w:t>
      </w:r>
    </w:p>
    <w:p w14:paraId="5E9AB621" w14:textId="6858E79F" w:rsidR="00596C0D" w:rsidRDefault="00327F25" w:rsidP="00BE75AF">
      <w:pPr>
        <w:pStyle w:val="Akapitzlist"/>
        <w:numPr>
          <w:ilvl w:val="0"/>
          <w:numId w:val="26"/>
        </w:numPr>
        <w:spacing w:after="120" w:line="360" w:lineRule="auto"/>
        <w:ind w:left="283" w:hanging="425"/>
        <w:jc w:val="both"/>
        <w:rPr>
          <w:rFonts w:ascii="Verdana" w:hAnsi="Verdana"/>
          <w:sz w:val="20"/>
          <w:szCs w:val="20"/>
        </w:rPr>
      </w:pPr>
      <w:r>
        <w:rPr>
          <w:rFonts w:ascii="Verdana" w:hAnsi="Verdana"/>
          <w:sz w:val="20"/>
          <w:szCs w:val="20"/>
        </w:rPr>
        <w:t xml:space="preserve">w </w:t>
      </w:r>
      <w:r w:rsidR="00596C0D" w:rsidRPr="00327F25">
        <w:rPr>
          <w:rFonts w:ascii="Verdana" w:hAnsi="Verdana"/>
          <w:sz w:val="20"/>
          <w:szCs w:val="20"/>
        </w:rPr>
        <w:t>§ 155:</w:t>
      </w:r>
    </w:p>
    <w:p w14:paraId="35BABA8B" w14:textId="7FEC9B83" w:rsidR="00327F25" w:rsidRDefault="00327F25" w:rsidP="008F2C31">
      <w:pPr>
        <w:pStyle w:val="Akapitzlist"/>
        <w:numPr>
          <w:ilvl w:val="0"/>
          <w:numId w:val="21"/>
        </w:numPr>
        <w:spacing w:after="120" w:line="360" w:lineRule="auto"/>
        <w:jc w:val="both"/>
        <w:rPr>
          <w:rFonts w:ascii="Verdana" w:hAnsi="Verdana"/>
          <w:sz w:val="20"/>
          <w:szCs w:val="20"/>
        </w:rPr>
      </w:pPr>
      <w:r>
        <w:rPr>
          <w:rFonts w:ascii="Verdana" w:hAnsi="Verdana"/>
          <w:sz w:val="20"/>
          <w:szCs w:val="20"/>
        </w:rPr>
        <w:t>w ust. 2 pkt 2 otrzymuje brzmienie:</w:t>
      </w:r>
    </w:p>
    <w:p w14:paraId="63D78B1C" w14:textId="6D06F27F" w:rsidR="00596C0D" w:rsidRDefault="00327F25" w:rsidP="008F2C31">
      <w:pPr>
        <w:pStyle w:val="Akapitzlist"/>
        <w:spacing w:after="240" w:line="360" w:lineRule="auto"/>
        <w:ind w:left="643"/>
        <w:jc w:val="both"/>
        <w:rPr>
          <w:rFonts w:ascii="Verdana" w:hAnsi="Verdana" w:cs="Arial"/>
          <w:sz w:val="20"/>
          <w:szCs w:val="20"/>
        </w:rPr>
      </w:pPr>
      <w:r>
        <w:rPr>
          <w:rFonts w:ascii="Verdana" w:hAnsi="Verdana"/>
          <w:sz w:val="20"/>
          <w:szCs w:val="20"/>
        </w:rPr>
        <w:t xml:space="preserve">„2) </w:t>
      </w:r>
      <w:r w:rsidR="00596C0D" w:rsidRPr="00A03A63">
        <w:rPr>
          <w:rFonts w:ascii="Verdana" w:hAnsi="Verdana" w:cs="Arial"/>
          <w:sz w:val="20"/>
          <w:szCs w:val="20"/>
        </w:rPr>
        <w:t>maksymalna różnica pomiędzy ceną danych instrumentów finansowych określoną w zleceniu a ostatnim kursem tych instrumentów z sesji giełdowej nie jest wyższa niż 10%, z zastrzeżeniem ust. 6 .</w:t>
      </w:r>
      <w:r>
        <w:rPr>
          <w:rFonts w:ascii="Verdana" w:hAnsi="Verdana" w:cs="Arial"/>
          <w:sz w:val="20"/>
          <w:szCs w:val="20"/>
        </w:rPr>
        <w:t>”;</w:t>
      </w:r>
    </w:p>
    <w:p w14:paraId="3E91DAA9" w14:textId="0CBBD2B2" w:rsidR="00327F25" w:rsidRDefault="00327F25" w:rsidP="008F2C31">
      <w:pPr>
        <w:pStyle w:val="Akapitzlist"/>
        <w:numPr>
          <w:ilvl w:val="0"/>
          <w:numId w:val="21"/>
        </w:numPr>
        <w:spacing w:after="120" w:line="360" w:lineRule="auto"/>
        <w:jc w:val="both"/>
        <w:rPr>
          <w:rFonts w:ascii="Verdana" w:hAnsi="Verdana"/>
          <w:sz w:val="20"/>
          <w:szCs w:val="20"/>
        </w:rPr>
      </w:pPr>
      <w:r>
        <w:rPr>
          <w:rFonts w:ascii="Verdana" w:hAnsi="Verdana"/>
          <w:sz w:val="20"/>
          <w:szCs w:val="20"/>
        </w:rPr>
        <w:t>ust. 3 otrzymuje brzmienie:</w:t>
      </w:r>
    </w:p>
    <w:p w14:paraId="5F00A190" w14:textId="0204C99E" w:rsidR="00596C0D" w:rsidRDefault="00327F25" w:rsidP="008F2C31">
      <w:pPr>
        <w:pStyle w:val="Akapitzlist"/>
        <w:spacing w:after="240" w:line="360" w:lineRule="auto"/>
        <w:ind w:left="643"/>
        <w:jc w:val="both"/>
        <w:rPr>
          <w:rFonts w:ascii="Verdana" w:hAnsi="Verdana"/>
          <w:bCs/>
          <w:sz w:val="20"/>
          <w:szCs w:val="20"/>
        </w:rPr>
      </w:pPr>
      <w:r>
        <w:rPr>
          <w:rFonts w:ascii="Verdana" w:hAnsi="Verdana"/>
          <w:sz w:val="20"/>
          <w:szCs w:val="20"/>
        </w:rPr>
        <w:t xml:space="preserve">„3. </w:t>
      </w:r>
      <w:r w:rsidR="00596C0D" w:rsidRPr="00640CE0">
        <w:rPr>
          <w:rFonts w:ascii="Verdana" w:hAnsi="Verdana" w:cs="Arial"/>
          <w:sz w:val="20"/>
          <w:szCs w:val="20"/>
        </w:rPr>
        <w:t xml:space="preserve">W przypadku transakcji pakietowych instrumentami finansowymi, o których mowa w ust. 2, zawieranych poza godzinami sesji giełdowej, transakcja może być zawarta również wtedy, gdy spełnione są warunki określone </w:t>
      </w:r>
      <w:r w:rsidR="00BE75AF">
        <w:rPr>
          <w:rFonts w:ascii="Verdana" w:hAnsi="Verdana" w:cs="Arial"/>
          <w:sz w:val="20"/>
          <w:szCs w:val="20"/>
        </w:rPr>
        <w:br/>
      </w:r>
      <w:r w:rsidR="00596C0D" w:rsidRPr="00640CE0">
        <w:rPr>
          <w:rFonts w:ascii="Verdana" w:hAnsi="Verdana" w:cs="Arial"/>
          <w:sz w:val="20"/>
          <w:szCs w:val="20"/>
        </w:rPr>
        <w:lastRenderedPageBreak/>
        <w:t xml:space="preserve">w ust. 2 pkt 1), a różnica pomiędzy ceną danych instrumentów finansowych </w:t>
      </w:r>
      <w:r w:rsidR="00BE75AF">
        <w:rPr>
          <w:rFonts w:ascii="Verdana" w:hAnsi="Verdana" w:cs="Arial"/>
          <w:sz w:val="20"/>
          <w:szCs w:val="20"/>
        </w:rPr>
        <w:br/>
      </w:r>
      <w:r w:rsidR="00596C0D" w:rsidRPr="00640CE0">
        <w:rPr>
          <w:rFonts w:ascii="Verdana" w:hAnsi="Verdana" w:cs="Arial"/>
          <w:sz w:val="20"/>
          <w:szCs w:val="20"/>
        </w:rPr>
        <w:t xml:space="preserve">w zleceniu a kursem odniesienia nie jest wyższa niż 40%. </w:t>
      </w:r>
      <w:r w:rsidR="00596C0D" w:rsidRPr="00F1259E">
        <w:rPr>
          <w:rFonts w:ascii="Verdana" w:hAnsi="Verdana"/>
          <w:sz w:val="20"/>
          <w:szCs w:val="20"/>
        </w:rPr>
        <w:t>Kursem odniesienia jest</w:t>
      </w:r>
      <w:r w:rsidR="00596C0D" w:rsidRPr="00640CE0" w:rsidDel="00F1259E">
        <w:rPr>
          <w:rFonts w:ascii="Verdana" w:hAnsi="Verdana"/>
          <w:bCs/>
          <w:sz w:val="20"/>
          <w:szCs w:val="20"/>
        </w:rPr>
        <w:t xml:space="preserve"> </w:t>
      </w:r>
      <w:r w:rsidR="00596C0D" w:rsidRPr="00640CE0">
        <w:rPr>
          <w:rFonts w:ascii="Verdana" w:hAnsi="Verdana"/>
          <w:bCs/>
          <w:sz w:val="20"/>
          <w:szCs w:val="20"/>
        </w:rPr>
        <w:t>odpowiednio</w:t>
      </w:r>
      <w:r w:rsidR="00596C0D" w:rsidRPr="00640CE0">
        <w:rPr>
          <w:rFonts w:ascii="Verdana" w:hAnsi="Verdana"/>
          <w:sz w:val="20"/>
          <w:szCs w:val="20"/>
        </w:rPr>
        <w:t xml:space="preserve"> ostatni kurs zamknięcia </w:t>
      </w:r>
      <w:r w:rsidR="00596C0D" w:rsidRPr="00640CE0">
        <w:rPr>
          <w:rFonts w:ascii="Verdana" w:hAnsi="Verdana"/>
          <w:bCs/>
          <w:sz w:val="20"/>
          <w:szCs w:val="20"/>
        </w:rPr>
        <w:t>albo ostatni kurs jednolity tych instrumentów.</w:t>
      </w:r>
      <w:r>
        <w:rPr>
          <w:rFonts w:ascii="Verdana" w:hAnsi="Verdana"/>
          <w:bCs/>
          <w:sz w:val="20"/>
          <w:szCs w:val="20"/>
        </w:rPr>
        <w:t>”;</w:t>
      </w:r>
    </w:p>
    <w:p w14:paraId="6FF63868" w14:textId="7069109F" w:rsidR="00327F25" w:rsidRDefault="00327F25" w:rsidP="008F2C31">
      <w:pPr>
        <w:pStyle w:val="Akapitzlist"/>
        <w:numPr>
          <w:ilvl w:val="0"/>
          <w:numId w:val="21"/>
        </w:numPr>
        <w:spacing w:after="120" w:line="360" w:lineRule="auto"/>
        <w:jc w:val="both"/>
        <w:rPr>
          <w:rFonts w:ascii="Verdana" w:hAnsi="Verdana"/>
          <w:sz w:val="20"/>
          <w:szCs w:val="20"/>
        </w:rPr>
      </w:pPr>
      <w:r>
        <w:rPr>
          <w:rFonts w:ascii="Verdana" w:hAnsi="Verdana"/>
          <w:sz w:val="20"/>
          <w:szCs w:val="20"/>
        </w:rPr>
        <w:t>ust. 5 otrzymuje brzmienie:</w:t>
      </w:r>
    </w:p>
    <w:p w14:paraId="3B2D2ED3" w14:textId="4D589F21" w:rsidR="008E6E5C" w:rsidRDefault="00327F25" w:rsidP="008F2C31">
      <w:pPr>
        <w:pStyle w:val="Akapitzlist"/>
        <w:spacing w:after="360" w:line="360" w:lineRule="auto"/>
        <w:ind w:left="643"/>
        <w:jc w:val="both"/>
        <w:rPr>
          <w:rFonts w:ascii="Verdana" w:hAnsi="Verdana"/>
          <w:bCs/>
          <w:sz w:val="20"/>
          <w:szCs w:val="20"/>
        </w:rPr>
      </w:pPr>
      <w:r>
        <w:rPr>
          <w:rFonts w:ascii="Verdana" w:hAnsi="Verdana"/>
          <w:sz w:val="20"/>
          <w:szCs w:val="20"/>
        </w:rPr>
        <w:t xml:space="preserve">„5. </w:t>
      </w:r>
      <w:r w:rsidR="008E6E5C" w:rsidRPr="008E6E5C">
        <w:rPr>
          <w:rFonts w:ascii="Verdana" w:hAnsi="Verdana" w:cs="Arial"/>
          <w:sz w:val="20"/>
          <w:szCs w:val="20"/>
        </w:rPr>
        <w:t xml:space="preserve">W przypadku transakcji pakietowych instrumentami finansowymi, o których mowa w ust. 4, zawieranych poza godzinami sesji giełdowej, transakcja może być zawarta również wtedy, gdy spełnione są warunki określone w ust. 4 </w:t>
      </w:r>
      <w:r w:rsidR="00426E69">
        <w:rPr>
          <w:rFonts w:ascii="Verdana" w:hAnsi="Verdana" w:cs="Arial"/>
          <w:sz w:val="20"/>
          <w:szCs w:val="20"/>
        </w:rPr>
        <w:br/>
      </w:r>
      <w:r w:rsidR="008E6E5C" w:rsidRPr="008E6E5C">
        <w:rPr>
          <w:rFonts w:ascii="Verdana" w:hAnsi="Verdana" w:cs="Arial"/>
          <w:sz w:val="20"/>
          <w:szCs w:val="20"/>
        </w:rPr>
        <w:t>pkt 1), a różnica pomiędzy ceną danych instrumentów finansowych w zleceniu a kursem odniesienia nie jest wyższa niż 10%.</w:t>
      </w:r>
      <w:r w:rsidR="008E6E5C" w:rsidRPr="008E6E5C">
        <w:rPr>
          <w:rFonts w:ascii="Verdana" w:hAnsi="Verdana"/>
          <w:sz w:val="20"/>
          <w:szCs w:val="20"/>
        </w:rPr>
        <w:t xml:space="preserve"> Kursem odniesienia jest </w:t>
      </w:r>
      <w:r w:rsidR="008E6E5C" w:rsidRPr="008E6E5C">
        <w:rPr>
          <w:rFonts w:ascii="Verdana" w:hAnsi="Verdana"/>
          <w:bCs/>
          <w:sz w:val="20"/>
          <w:szCs w:val="20"/>
        </w:rPr>
        <w:t>odpowiednio</w:t>
      </w:r>
      <w:r w:rsidR="008E6E5C" w:rsidRPr="008E6E5C">
        <w:rPr>
          <w:rFonts w:ascii="Verdana" w:hAnsi="Verdana"/>
          <w:sz w:val="20"/>
          <w:szCs w:val="20"/>
        </w:rPr>
        <w:t xml:space="preserve"> ostatni kurs zamknięcia albo ostatni kurs jednolity </w:t>
      </w:r>
      <w:r w:rsidR="008E6E5C" w:rsidRPr="008E6E5C">
        <w:rPr>
          <w:rFonts w:ascii="Verdana" w:hAnsi="Verdana"/>
          <w:bCs/>
          <w:sz w:val="20"/>
          <w:szCs w:val="20"/>
        </w:rPr>
        <w:t>tych instrumentów</w:t>
      </w:r>
      <w:r w:rsidR="008E6E5C">
        <w:rPr>
          <w:rFonts w:ascii="Verdana" w:hAnsi="Verdana"/>
          <w:bCs/>
          <w:sz w:val="20"/>
          <w:szCs w:val="20"/>
        </w:rPr>
        <w:t>.</w:t>
      </w:r>
      <w:r>
        <w:rPr>
          <w:rFonts w:ascii="Verdana" w:hAnsi="Verdana"/>
          <w:bCs/>
          <w:sz w:val="20"/>
          <w:szCs w:val="20"/>
        </w:rPr>
        <w:t>”;</w:t>
      </w:r>
    </w:p>
    <w:p w14:paraId="07F7203D" w14:textId="03F7BAF4" w:rsidR="00527C6A" w:rsidRPr="00954AEA" w:rsidRDefault="00527C6A" w:rsidP="00BE75AF">
      <w:pPr>
        <w:pStyle w:val="Akapitzlist"/>
        <w:numPr>
          <w:ilvl w:val="0"/>
          <w:numId w:val="26"/>
        </w:numPr>
        <w:spacing w:after="360" w:line="360" w:lineRule="auto"/>
        <w:ind w:left="283" w:hanging="425"/>
        <w:jc w:val="both"/>
        <w:rPr>
          <w:rFonts w:ascii="Verdana" w:hAnsi="Verdana"/>
          <w:sz w:val="20"/>
          <w:szCs w:val="20"/>
        </w:rPr>
      </w:pPr>
      <w:r>
        <w:rPr>
          <w:rFonts w:ascii="Verdana" w:hAnsi="Verdana"/>
          <w:sz w:val="20"/>
          <w:szCs w:val="20"/>
        </w:rPr>
        <w:t>w</w:t>
      </w:r>
      <w:r w:rsidR="002A51EB">
        <w:rPr>
          <w:rFonts w:ascii="Verdana" w:hAnsi="Verdana"/>
          <w:sz w:val="20"/>
          <w:szCs w:val="20"/>
        </w:rPr>
        <w:t xml:space="preserve"> </w:t>
      </w:r>
      <w:r w:rsidR="00327F25">
        <w:rPr>
          <w:rFonts w:ascii="Verdana" w:hAnsi="Verdana"/>
          <w:sz w:val="20"/>
          <w:szCs w:val="20"/>
        </w:rPr>
        <w:t>R</w:t>
      </w:r>
      <w:r w:rsidR="002A51EB">
        <w:rPr>
          <w:rFonts w:ascii="Verdana" w:hAnsi="Verdana"/>
          <w:sz w:val="20"/>
          <w:szCs w:val="20"/>
        </w:rPr>
        <w:t xml:space="preserve">ozdziale XIII </w:t>
      </w:r>
      <w:r w:rsidR="00327F25">
        <w:rPr>
          <w:rFonts w:ascii="Verdana" w:hAnsi="Verdana"/>
          <w:sz w:val="20"/>
          <w:szCs w:val="20"/>
        </w:rPr>
        <w:t xml:space="preserve">uchyla się </w:t>
      </w:r>
      <w:r w:rsidR="00954AEA">
        <w:rPr>
          <w:rFonts w:ascii="Verdana" w:hAnsi="Verdana"/>
          <w:sz w:val="20"/>
          <w:szCs w:val="20"/>
        </w:rPr>
        <w:t xml:space="preserve">przepisy </w:t>
      </w:r>
      <w:r w:rsidR="006826E4">
        <w:rPr>
          <w:rFonts w:ascii="Verdana" w:hAnsi="Verdana"/>
          <w:sz w:val="20"/>
          <w:szCs w:val="20"/>
        </w:rPr>
        <w:t>O</w:t>
      </w:r>
      <w:r w:rsidR="002A51EB">
        <w:rPr>
          <w:rFonts w:ascii="Verdana" w:hAnsi="Verdana"/>
          <w:sz w:val="20"/>
          <w:szCs w:val="20"/>
        </w:rPr>
        <w:t>ddział</w:t>
      </w:r>
      <w:r w:rsidR="00954AEA">
        <w:rPr>
          <w:rFonts w:ascii="Verdana" w:hAnsi="Verdana"/>
          <w:sz w:val="20"/>
          <w:szCs w:val="20"/>
        </w:rPr>
        <w:t>u</w:t>
      </w:r>
      <w:r w:rsidR="002A51EB">
        <w:rPr>
          <w:rFonts w:ascii="Verdana" w:hAnsi="Verdana"/>
          <w:sz w:val="20"/>
          <w:szCs w:val="20"/>
        </w:rPr>
        <w:t xml:space="preserve"> 4</w:t>
      </w:r>
      <w:r w:rsidR="006826E4">
        <w:rPr>
          <w:rFonts w:ascii="Verdana" w:hAnsi="Verdana"/>
          <w:bCs/>
          <w:sz w:val="20"/>
          <w:szCs w:val="20"/>
        </w:rPr>
        <w:t>;</w:t>
      </w:r>
    </w:p>
    <w:p w14:paraId="753AE942" w14:textId="3E8AC628" w:rsidR="00F20DBE" w:rsidRPr="000E7CB5" w:rsidRDefault="000E7CB5" w:rsidP="00BE75AF">
      <w:pPr>
        <w:pStyle w:val="Akapitzlist"/>
        <w:numPr>
          <w:ilvl w:val="0"/>
          <w:numId w:val="26"/>
        </w:numPr>
        <w:spacing w:after="240" w:line="360" w:lineRule="auto"/>
        <w:ind w:left="283" w:hanging="425"/>
        <w:jc w:val="both"/>
        <w:rPr>
          <w:rFonts w:ascii="Verdana" w:hAnsi="Verdana"/>
          <w:sz w:val="20"/>
          <w:szCs w:val="20"/>
        </w:rPr>
      </w:pPr>
      <w:r w:rsidRPr="000E7CB5">
        <w:rPr>
          <w:rFonts w:ascii="Verdana" w:hAnsi="Verdana"/>
          <w:bCs/>
          <w:sz w:val="20"/>
          <w:szCs w:val="20"/>
        </w:rPr>
        <w:t xml:space="preserve">po </w:t>
      </w:r>
      <w:r w:rsidR="00954AEA">
        <w:rPr>
          <w:rFonts w:ascii="Verdana" w:hAnsi="Verdana"/>
          <w:sz w:val="20"/>
          <w:szCs w:val="20"/>
        </w:rPr>
        <w:t xml:space="preserve">Rozdziale XIX </w:t>
      </w:r>
      <w:r w:rsidRPr="000E7CB5">
        <w:rPr>
          <w:rFonts w:ascii="Verdana" w:hAnsi="Verdana"/>
          <w:bCs/>
          <w:sz w:val="20"/>
          <w:szCs w:val="20"/>
        </w:rPr>
        <w:t xml:space="preserve">dodaje się </w:t>
      </w:r>
      <w:r w:rsidRPr="000E7CB5">
        <w:rPr>
          <w:rFonts w:ascii="Verdana" w:hAnsi="Verdana"/>
          <w:sz w:val="20"/>
          <w:szCs w:val="20"/>
        </w:rPr>
        <w:t>przepisy</w:t>
      </w:r>
      <w:r w:rsidRPr="000E7CB5">
        <w:rPr>
          <w:rFonts w:ascii="Verdana" w:hAnsi="Verdana"/>
          <w:bCs/>
          <w:sz w:val="20"/>
          <w:szCs w:val="20"/>
        </w:rPr>
        <w:t xml:space="preserve"> Rozdział</w:t>
      </w:r>
      <w:r>
        <w:rPr>
          <w:rFonts w:ascii="Verdana" w:hAnsi="Verdana"/>
          <w:bCs/>
          <w:sz w:val="20"/>
          <w:szCs w:val="20"/>
        </w:rPr>
        <w:t>u</w:t>
      </w:r>
      <w:r w:rsidRPr="000E7CB5">
        <w:rPr>
          <w:rFonts w:ascii="Verdana" w:hAnsi="Verdana"/>
          <w:bCs/>
          <w:sz w:val="20"/>
          <w:szCs w:val="20"/>
        </w:rPr>
        <w:t xml:space="preserve"> XX</w:t>
      </w:r>
      <w:r>
        <w:rPr>
          <w:rFonts w:ascii="Verdana" w:hAnsi="Verdana"/>
          <w:bCs/>
          <w:sz w:val="20"/>
          <w:szCs w:val="20"/>
        </w:rPr>
        <w:t xml:space="preserve">, </w:t>
      </w:r>
      <w:r w:rsidRPr="000E7CB5">
        <w:rPr>
          <w:rFonts w:ascii="Verdana" w:hAnsi="Verdana"/>
          <w:bCs/>
          <w:sz w:val="20"/>
          <w:szCs w:val="20"/>
        </w:rPr>
        <w:t>w brzmieniu</w:t>
      </w:r>
      <w:r>
        <w:rPr>
          <w:rFonts w:ascii="Verdana" w:hAnsi="Verdana"/>
          <w:sz w:val="20"/>
          <w:szCs w:val="20"/>
        </w:rPr>
        <w:t>:</w:t>
      </w:r>
    </w:p>
    <w:p w14:paraId="70136D14" w14:textId="33C49F6D" w:rsidR="00F20DBE" w:rsidRPr="00B9694C" w:rsidRDefault="00327F25" w:rsidP="008F2C31">
      <w:pPr>
        <w:keepNext/>
        <w:spacing w:after="120" w:line="360" w:lineRule="auto"/>
        <w:outlineLvl w:val="0"/>
        <w:rPr>
          <w:rFonts w:ascii="Verdana" w:eastAsia="Times New Roman" w:hAnsi="Verdana"/>
          <w:bCs/>
          <w:sz w:val="20"/>
          <w:szCs w:val="24"/>
          <w:lang w:eastAsia="pl-PL"/>
        </w:rPr>
      </w:pPr>
      <w:bookmarkStart w:id="3" w:name="_Toc195182716"/>
      <w:r w:rsidRPr="00B9694C">
        <w:rPr>
          <w:rFonts w:ascii="Verdana" w:eastAsia="Times New Roman" w:hAnsi="Verdana"/>
          <w:bCs/>
          <w:sz w:val="20"/>
          <w:szCs w:val="24"/>
          <w:lang w:eastAsia="pl-PL"/>
        </w:rPr>
        <w:t>„</w:t>
      </w:r>
      <w:r w:rsidR="00F20DBE" w:rsidRPr="00B9694C">
        <w:rPr>
          <w:rFonts w:ascii="Verdana" w:eastAsia="Times New Roman" w:hAnsi="Verdana"/>
          <w:bCs/>
          <w:sz w:val="20"/>
          <w:szCs w:val="24"/>
          <w:lang w:eastAsia="pl-PL"/>
        </w:rPr>
        <w:t>ROZDZIAŁ  XX</w:t>
      </w:r>
      <w:bookmarkEnd w:id="3"/>
    </w:p>
    <w:p w14:paraId="344C8BE2" w14:textId="2DC407F2" w:rsidR="00F20DBE" w:rsidRPr="00B9694C" w:rsidRDefault="00F20DBE" w:rsidP="008F2C31">
      <w:pPr>
        <w:keepNext/>
        <w:spacing w:after="120" w:line="360" w:lineRule="auto"/>
        <w:outlineLvl w:val="0"/>
        <w:rPr>
          <w:rFonts w:ascii="Verdana" w:eastAsia="Times New Roman" w:hAnsi="Verdana"/>
          <w:bCs/>
          <w:sz w:val="20"/>
          <w:szCs w:val="24"/>
          <w:lang w:eastAsia="pl-PL"/>
        </w:rPr>
      </w:pPr>
      <w:bookmarkStart w:id="4" w:name="_Toc195182717"/>
      <w:r w:rsidRPr="00B9694C">
        <w:rPr>
          <w:rFonts w:ascii="Verdana" w:eastAsia="Times New Roman" w:hAnsi="Verdana"/>
          <w:bCs/>
          <w:sz w:val="20"/>
          <w:szCs w:val="24"/>
          <w:lang w:eastAsia="pl-PL"/>
        </w:rPr>
        <w:t>PRZEPISY SZCZEGÓLNE  OBOWIĄZUJĄCE W OKRESIE</w:t>
      </w:r>
      <w:bookmarkEnd w:id="4"/>
      <w:r w:rsidR="00152A38" w:rsidRPr="00B9694C">
        <w:rPr>
          <w:rFonts w:ascii="Verdana" w:eastAsia="Times New Roman" w:hAnsi="Verdana"/>
          <w:bCs/>
          <w:sz w:val="20"/>
          <w:szCs w:val="24"/>
          <w:lang w:eastAsia="pl-PL"/>
        </w:rPr>
        <w:t xml:space="preserve"> CZASOWEGO POWROTU DO NOTOWAŃ W SYSTEMIE UTP</w:t>
      </w:r>
    </w:p>
    <w:p w14:paraId="41E3BDEB" w14:textId="77777777" w:rsidR="00F20DBE" w:rsidRPr="00B9694C" w:rsidRDefault="00F20DBE" w:rsidP="008F2C31">
      <w:pPr>
        <w:keepNext/>
        <w:spacing w:after="120" w:line="360" w:lineRule="auto"/>
        <w:jc w:val="center"/>
        <w:outlineLvl w:val="1"/>
        <w:rPr>
          <w:rFonts w:ascii="Verdana" w:eastAsia="Times New Roman" w:hAnsi="Verdana"/>
          <w:bCs/>
          <w:i/>
          <w:iCs/>
          <w:sz w:val="20"/>
          <w:szCs w:val="24"/>
          <w:lang w:eastAsia="pl-PL"/>
        </w:rPr>
      </w:pPr>
      <w:bookmarkStart w:id="5" w:name="_Toc195182718"/>
      <w:r w:rsidRPr="00B9694C">
        <w:rPr>
          <w:rFonts w:ascii="Verdana" w:eastAsia="Times New Roman" w:hAnsi="Verdana"/>
          <w:bCs/>
          <w:iCs/>
          <w:sz w:val="20"/>
          <w:szCs w:val="24"/>
          <w:lang w:eastAsia="pl-PL"/>
        </w:rPr>
        <w:t>Oddział 1</w:t>
      </w:r>
      <w:bookmarkEnd w:id="5"/>
      <w:r w:rsidRPr="00B9694C">
        <w:rPr>
          <w:rFonts w:ascii="Verdana" w:eastAsia="Times New Roman" w:hAnsi="Verdana"/>
          <w:bCs/>
          <w:iCs/>
          <w:sz w:val="20"/>
          <w:szCs w:val="24"/>
          <w:lang w:eastAsia="pl-PL"/>
        </w:rPr>
        <w:t xml:space="preserve"> </w:t>
      </w:r>
    </w:p>
    <w:p w14:paraId="58F9CA9E" w14:textId="77777777" w:rsidR="00F20DBE" w:rsidRPr="00B9694C" w:rsidRDefault="00F20DBE" w:rsidP="008F2C31">
      <w:pPr>
        <w:keepNext/>
        <w:spacing w:after="120" w:line="360" w:lineRule="auto"/>
        <w:jc w:val="center"/>
        <w:outlineLvl w:val="1"/>
        <w:rPr>
          <w:rFonts w:ascii="Verdana" w:eastAsia="Times New Roman" w:hAnsi="Verdana"/>
          <w:bCs/>
          <w:i/>
          <w:iCs/>
          <w:sz w:val="20"/>
          <w:szCs w:val="24"/>
          <w:lang w:eastAsia="pl-PL"/>
        </w:rPr>
      </w:pPr>
      <w:bookmarkStart w:id="6" w:name="_Toc195182719"/>
      <w:r w:rsidRPr="00B9694C">
        <w:rPr>
          <w:rFonts w:ascii="Verdana" w:eastAsia="Times New Roman" w:hAnsi="Verdana"/>
          <w:bCs/>
          <w:iCs/>
          <w:sz w:val="20"/>
          <w:szCs w:val="24"/>
          <w:lang w:eastAsia="pl-PL"/>
        </w:rPr>
        <w:t>Przepisy ogólne</w:t>
      </w:r>
      <w:bookmarkEnd w:id="6"/>
      <w:r w:rsidRPr="00B9694C">
        <w:rPr>
          <w:rFonts w:ascii="Verdana" w:eastAsia="Times New Roman" w:hAnsi="Verdana"/>
          <w:bCs/>
          <w:iCs/>
          <w:sz w:val="20"/>
          <w:szCs w:val="24"/>
          <w:lang w:eastAsia="pl-PL"/>
        </w:rPr>
        <w:t xml:space="preserve"> </w:t>
      </w:r>
    </w:p>
    <w:p w14:paraId="0152AB11" w14:textId="77777777"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 199 </w:t>
      </w:r>
    </w:p>
    <w:p w14:paraId="5BB676D1" w14:textId="1EF86A2E" w:rsidR="00B900C8" w:rsidRPr="00B9694C" w:rsidRDefault="00B900C8" w:rsidP="008F2C31">
      <w:pPr>
        <w:pStyle w:val="Tekstpodstawowy"/>
        <w:numPr>
          <w:ilvl w:val="0"/>
          <w:numId w:val="8"/>
        </w:numPr>
        <w:tabs>
          <w:tab w:val="clear"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hanging="426"/>
        <w:jc w:val="both"/>
        <w:rPr>
          <w:rFonts w:ascii="Verdana" w:hAnsi="Verdana" w:cs="Arial"/>
          <w:bCs/>
          <w:sz w:val="20"/>
        </w:rPr>
      </w:pPr>
      <w:r w:rsidRPr="00B9694C">
        <w:rPr>
          <w:rFonts w:ascii="Verdana" w:hAnsi="Verdana"/>
          <w:bCs/>
          <w:sz w:val="20"/>
          <w:szCs w:val="20"/>
        </w:rPr>
        <w:t>Przepisy niniejszego Rozdziału stosuje się wyłącznie w okresie</w:t>
      </w:r>
      <w:r w:rsidRPr="00B9694C">
        <w:rPr>
          <w:rFonts w:ascii="Verdana" w:hAnsi="Verdana" w:cs="Arial"/>
          <w:bCs/>
          <w:sz w:val="20"/>
          <w:szCs w:val="20"/>
        </w:rPr>
        <w:t xml:space="preserve">, w którym zgodnie z decyzją Zarządu Giełdy, </w:t>
      </w:r>
      <w:bookmarkStart w:id="7" w:name="_Hlk195288996"/>
      <w:r w:rsidRPr="00B9694C">
        <w:rPr>
          <w:rFonts w:ascii="Verdana" w:hAnsi="Verdana" w:cs="Arial"/>
          <w:bCs/>
          <w:sz w:val="20"/>
          <w:szCs w:val="20"/>
        </w:rPr>
        <w:t xml:space="preserve">określoną w odrębnej uchwale, </w:t>
      </w:r>
      <w:bookmarkStart w:id="8" w:name="_Hlk195301474"/>
      <w:r w:rsidR="008F2C31" w:rsidRPr="00B9694C">
        <w:rPr>
          <w:rFonts w:ascii="Verdana" w:hAnsi="Verdana" w:cs="Arial"/>
          <w:bCs/>
          <w:sz w:val="20"/>
          <w:szCs w:val="20"/>
        </w:rPr>
        <w:t xml:space="preserve">następuje czasowy powrót </w:t>
      </w:r>
      <w:r w:rsidR="006066C5" w:rsidRPr="00B9694C">
        <w:rPr>
          <w:rFonts w:ascii="Verdana" w:hAnsi="Verdana" w:cs="Arial"/>
          <w:bCs/>
          <w:sz w:val="20"/>
          <w:szCs w:val="20"/>
        </w:rPr>
        <w:t xml:space="preserve">do </w:t>
      </w:r>
      <w:r w:rsidRPr="00B9694C">
        <w:rPr>
          <w:rFonts w:ascii="Verdana" w:hAnsi="Verdana" w:cs="Arial"/>
          <w:bCs/>
          <w:sz w:val="20"/>
          <w:szCs w:val="20"/>
        </w:rPr>
        <w:t>notow</w:t>
      </w:r>
      <w:r w:rsidR="008F2C31" w:rsidRPr="00B9694C">
        <w:rPr>
          <w:rFonts w:ascii="Verdana" w:hAnsi="Verdana" w:cs="Arial"/>
          <w:bCs/>
          <w:sz w:val="20"/>
          <w:szCs w:val="20"/>
        </w:rPr>
        <w:t xml:space="preserve">ań </w:t>
      </w:r>
      <w:r w:rsidRPr="00B9694C">
        <w:rPr>
          <w:rFonts w:ascii="Verdana" w:hAnsi="Verdana" w:cs="Arial"/>
          <w:bCs/>
          <w:sz w:val="20"/>
          <w:szCs w:val="20"/>
        </w:rPr>
        <w:t>giełdow</w:t>
      </w:r>
      <w:r w:rsidR="008F2C31" w:rsidRPr="00B9694C">
        <w:rPr>
          <w:rFonts w:ascii="Verdana" w:hAnsi="Verdana" w:cs="Arial"/>
          <w:bCs/>
          <w:sz w:val="20"/>
          <w:szCs w:val="20"/>
        </w:rPr>
        <w:t xml:space="preserve">ych </w:t>
      </w:r>
      <w:r w:rsidRPr="00B9694C">
        <w:rPr>
          <w:rFonts w:ascii="Verdana" w:hAnsi="Verdana" w:cs="Arial"/>
          <w:bCs/>
          <w:sz w:val="20"/>
        </w:rPr>
        <w:t>w systemie UTP.</w:t>
      </w:r>
    </w:p>
    <w:bookmarkEnd w:id="7"/>
    <w:bookmarkEnd w:id="8"/>
    <w:p w14:paraId="667935D0" w14:textId="011DAE86" w:rsidR="00B900C8" w:rsidRPr="00B9694C" w:rsidRDefault="00B900C8" w:rsidP="008F2C31">
      <w:pPr>
        <w:pStyle w:val="Tekstpodstawowy"/>
        <w:numPr>
          <w:ilvl w:val="0"/>
          <w:numId w:val="8"/>
        </w:numPr>
        <w:tabs>
          <w:tab w:val="clear"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hanging="426"/>
        <w:jc w:val="both"/>
        <w:rPr>
          <w:rFonts w:ascii="Verdana" w:hAnsi="Verdana" w:cs="Arial"/>
          <w:bCs/>
          <w:color w:val="1F497D"/>
          <w:sz w:val="20"/>
        </w:rPr>
      </w:pPr>
      <w:r w:rsidRPr="00B9694C">
        <w:rPr>
          <w:rFonts w:ascii="Verdana" w:hAnsi="Verdana" w:cs="Arial"/>
          <w:bCs/>
          <w:sz w:val="20"/>
        </w:rPr>
        <w:t>W zakresie nieuregulowanym w niniejszym Rozdziale w okresie</w:t>
      </w:r>
      <w:r w:rsidRPr="00B9694C">
        <w:rPr>
          <w:rFonts w:ascii="Verdana" w:hAnsi="Verdana" w:cs="Arial"/>
          <w:bCs/>
          <w:sz w:val="20"/>
          <w:szCs w:val="20"/>
        </w:rPr>
        <w:t>, w którym zgodnie z decyzją Zarządu Giełdy</w:t>
      </w:r>
      <w:r w:rsidRPr="00B9694C">
        <w:rPr>
          <w:rFonts w:ascii="Verdana" w:hAnsi="Verdana" w:cs="Arial"/>
          <w:bCs/>
          <w:sz w:val="20"/>
        </w:rPr>
        <w:t>, o której mowa w ust. 1,</w:t>
      </w:r>
      <w:r w:rsidRPr="00B9694C">
        <w:rPr>
          <w:rFonts w:ascii="Verdana" w:hAnsi="Verdana" w:cs="Arial"/>
          <w:bCs/>
          <w:sz w:val="20"/>
          <w:szCs w:val="20"/>
        </w:rPr>
        <w:t xml:space="preserve"> notowania giełdowe </w:t>
      </w:r>
      <w:r w:rsidRPr="00B9694C">
        <w:rPr>
          <w:rFonts w:ascii="Verdana" w:hAnsi="Verdana" w:cs="Arial"/>
          <w:bCs/>
          <w:sz w:val="20"/>
        </w:rPr>
        <w:t xml:space="preserve">wracają czasowo do notowań w systemie  </w:t>
      </w:r>
      <w:r w:rsidRPr="00B9694C">
        <w:rPr>
          <w:rFonts w:ascii="Verdana" w:hAnsi="Verdana" w:cs="Arial"/>
          <w:bCs/>
          <w:iCs/>
          <w:sz w:val="20"/>
        </w:rPr>
        <w:t>UTP,</w:t>
      </w:r>
      <w:r w:rsidRPr="00B9694C">
        <w:rPr>
          <w:rFonts w:ascii="Verdana" w:hAnsi="Verdana" w:cs="Arial"/>
          <w:bCs/>
          <w:sz w:val="20"/>
        </w:rPr>
        <w:t xml:space="preserve"> stosuje się odpowiednio pozostałe przepisy niniejszego Regulaminu, z wyłączeniem przepisów Rozdziałów  IX – XIV</w:t>
      </w:r>
      <w:r w:rsidRPr="00B9694C">
        <w:rPr>
          <w:rFonts w:ascii="Verdana" w:hAnsi="Verdana" w:cs="Arial"/>
          <w:bCs/>
          <w:color w:val="1F497D"/>
          <w:sz w:val="20"/>
        </w:rPr>
        <w:t xml:space="preserve">. </w:t>
      </w:r>
    </w:p>
    <w:p w14:paraId="116C95AA" w14:textId="77777777" w:rsidR="00F20DBE" w:rsidRPr="00B9694C" w:rsidRDefault="00F20DBE" w:rsidP="008F2C31">
      <w:pPr>
        <w:spacing w:after="120" w:line="360" w:lineRule="auto"/>
        <w:jc w:val="center"/>
        <w:rPr>
          <w:rFonts w:ascii="Verdana" w:eastAsia="Times New Roman" w:hAnsi="Verdana"/>
          <w:bCs/>
          <w:sz w:val="20"/>
          <w:szCs w:val="20"/>
          <w:lang w:eastAsia="pl-PL"/>
        </w:rPr>
      </w:pPr>
    </w:p>
    <w:p w14:paraId="0DB66876" w14:textId="77777777" w:rsidR="00F20DBE" w:rsidRPr="00B9694C" w:rsidRDefault="00F20DBE" w:rsidP="008F2C31">
      <w:pPr>
        <w:keepNext/>
        <w:spacing w:after="120" w:line="360" w:lineRule="auto"/>
        <w:jc w:val="center"/>
        <w:outlineLvl w:val="1"/>
        <w:rPr>
          <w:rFonts w:ascii="Verdana" w:eastAsia="Times New Roman" w:hAnsi="Verdana"/>
          <w:bCs/>
          <w:iCs/>
          <w:sz w:val="20"/>
          <w:szCs w:val="24"/>
          <w:lang w:eastAsia="pl-PL"/>
        </w:rPr>
      </w:pPr>
      <w:bookmarkStart w:id="9" w:name="_Toc195182720"/>
      <w:r w:rsidRPr="00B9694C">
        <w:rPr>
          <w:rFonts w:ascii="Verdana" w:eastAsia="Times New Roman" w:hAnsi="Verdana"/>
          <w:bCs/>
          <w:iCs/>
          <w:sz w:val="20"/>
          <w:szCs w:val="24"/>
          <w:lang w:eastAsia="pl-PL"/>
        </w:rPr>
        <w:lastRenderedPageBreak/>
        <w:t>Oddział 2</w:t>
      </w:r>
      <w:bookmarkEnd w:id="9"/>
    </w:p>
    <w:p w14:paraId="29D23835" w14:textId="77777777" w:rsidR="00F20DBE" w:rsidRPr="00B9694C" w:rsidRDefault="00F20DBE" w:rsidP="006066C5">
      <w:pPr>
        <w:keepNext/>
        <w:spacing w:after="240" w:line="360" w:lineRule="auto"/>
        <w:jc w:val="center"/>
        <w:outlineLvl w:val="1"/>
        <w:rPr>
          <w:rFonts w:ascii="Verdana" w:eastAsia="Times New Roman" w:hAnsi="Verdana"/>
          <w:bCs/>
          <w:iCs/>
          <w:sz w:val="20"/>
          <w:szCs w:val="24"/>
          <w:lang w:eastAsia="pl-PL"/>
        </w:rPr>
      </w:pPr>
      <w:bookmarkStart w:id="10" w:name="_Toc195182721"/>
      <w:r w:rsidRPr="00B9694C">
        <w:rPr>
          <w:rFonts w:ascii="Verdana" w:eastAsia="Times New Roman" w:hAnsi="Verdana"/>
          <w:bCs/>
          <w:iCs/>
          <w:sz w:val="20"/>
          <w:szCs w:val="24"/>
          <w:lang w:eastAsia="pl-PL"/>
        </w:rPr>
        <w:t>Zlecenia maklerskie, transakcje giełdowe</w:t>
      </w:r>
      <w:bookmarkEnd w:id="10"/>
    </w:p>
    <w:p w14:paraId="55A549BD" w14:textId="77777777"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200</w:t>
      </w:r>
    </w:p>
    <w:p w14:paraId="410AC4D5" w14:textId="77777777" w:rsidR="00F20DBE" w:rsidRPr="00B9694C" w:rsidRDefault="00F20DBE" w:rsidP="008F2C31">
      <w:pPr>
        <w:spacing w:after="120" w:line="360" w:lineRule="auto"/>
        <w:ind w:left="567" w:hanging="567"/>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1. </w:t>
      </w:r>
      <w:r w:rsidRPr="00B9694C">
        <w:rPr>
          <w:rFonts w:ascii="Verdana" w:eastAsia="Times New Roman" w:hAnsi="Verdana"/>
          <w:bCs/>
          <w:sz w:val="20"/>
          <w:szCs w:val="20"/>
          <w:lang w:eastAsia="pl-PL"/>
        </w:rPr>
        <w:tab/>
        <w:t>Transakcje giełdowe zawierane są na podstawie zleceń maklerskich przekazanych przez członków giełdy, lub odpowiednio zleceń maklerskich przekazanych przez ich klientów korzystających z dostępu sponsorowanego, z zastrzeżeniem ust. 2, których przyjęcie zostało potwierdzone przez giełdę.</w:t>
      </w:r>
    </w:p>
    <w:p w14:paraId="552DF745" w14:textId="77777777" w:rsidR="00F20DBE" w:rsidRPr="00B9694C" w:rsidRDefault="00F20DBE" w:rsidP="008F2C31">
      <w:pPr>
        <w:spacing w:after="120" w:line="360" w:lineRule="auto"/>
        <w:ind w:left="567" w:hanging="567"/>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1a.</w:t>
      </w:r>
      <w:r w:rsidRPr="00B9694C">
        <w:rPr>
          <w:rFonts w:ascii="Verdana" w:eastAsia="Times New Roman" w:hAnsi="Verdana"/>
          <w:bCs/>
          <w:sz w:val="20"/>
          <w:szCs w:val="20"/>
          <w:lang w:eastAsia="pl-PL"/>
        </w:rPr>
        <w:tab/>
        <w:t>Transakcje giełdowe zawarte na podstawie zleceń maklerskich przekazanych na giełdę przez klientów członków giełdy korzystających z dostępu sponsorowanego stanowią, w rozumieniu niniejszego Regulaminu oraz przepisów giełdowych wydanych na jego podstawie,  transakcje giełdowe członków giełdy.</w:t>
      </w:r>
    </w:p>
    <w:p w14:paraId="5F73EE60" w14:textId="65E43492" w:rsidR="00F20DBE" w:rsidRPr="00B9694C" w:rsidRDefault="00F20DBE" w:rsidP="008F2C31">
      <w:pPr>
        <w:spacing w:after="120" w:line="360" w:lineRule="auto"/>
        <w:ind w:left="567" w:hanging="567"/>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2. </w:t>
      </w:r>
      <w:r w:rsidRPr="00B9694C">
        <w:rPr>
          <w:rFonts w:ascii="Verdana" w:eastAsia="Times New Roman" w:hAnsi="Verdana"/>
          <w:bCs/>
          <w:sz w:val="20"/>
          <w:szCs w:val="20"/>
          <w:lang w:eastAsia="pl-PL"/>
        </w:rPr>
        <w:tab/>
        <w:t>Na zasadach określonych w umowie, o której mowa w § 266  ust. 2 Krajowy Depozyt  może złożyć zlecenie maklerskie:</w:t>
      </w:r>
    </w:p>
    <w:p w14:paraId="7D8CD0AF" w14:textId="77777777" w:rsidR="00F20DBE" w:rsidRPr="00B9694C" w:rsidRDefault="00F20DBE" w:rsidP="008F2C31">
      <w:pPr>
        <w:tabs>
          <w:tab w:val="left" w:pos="851"/>
        </w:tabs>
        <w:spacing w:after="120" w:line="360" w:lineRule="auto"/>
        <w:ind w:left="567"/>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w imieniu własnym, w przypadkach określonych w Ustawie o obrocie,</w:t>
      </w:r>
    </w:p>
    <w:p w14:paraId="1E2EB46D" w14:textId="77777777" w:rsidR="00F20DBE" w:rsidRPr="00B9694C" w:rsidRDefault="00F20DBE" w:rsidP="006066C5">
      <w:pPr>
        <w:tabs>
          <w:tab w:val="left" w:pos="851"/>
        </w:tabs>
        <w:spacing w:after="240" w:line="360" w:lineRule="auto"/>
        <w:ind w:left="567"/>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w imieniu członka giełdy, na podstawie udzielonego pełnomocnictwa, </w:t>
      </w:r>
      <w:r w:rsidRPr="00B9694C">
        <w:rPr>
          <w:rFonts w:ascii="Verdana" w:eastAsia="Times New Roman" w:hAnsi="Verdana"/>
          <w:bCs/>
          <w:sz w:val="20"/>
          <w:szCs w:val="20"/>
          <w:lang w:eastAsia="pl-PL"/>
        </w:rPr>
        <w:br/>
        <w:t>w innych przypadkach związanych z funkcjonowaniem systemu zabezpieczenia płynności rozliczeń transakcji, o którym mowa w Ustawie o obrocie.</w:t>
      </w:r>
    </w:p>
    <w:p w14:paraId="00CC6DFA" w14:textId="64D88553"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201</w:t>
      </w:r>
    </w:p>
    <w:p w14:paraId="3DA3C206" w14:textId="51CBD990"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Transakcje giełdowe zawierane są z chwilą dokonania odpowiedniego zapisu </w:t>
      </w:r>
      <w:r w:rsidR="00954AEA"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w systemie informatycznym Giełdy.</w:t>
      </w:r>
    </w:p>
    <w:p w14:paraId="4E572E7B" w14:textId="64ECC62D"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202</w:t>
      </w:r>
    </w:p>
    <w:p w14:paraId="019F02DF" w14:textId="12D02F9E"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 Członek giełdy sporządza zlecenia maklerskie w imieniu własnym na rachunek klienta albo na rachunek własny. Zlecenie maklerskie na rachunek klienta korzystającego z bezpośredniego dostępu elektronicznego stanowi, w rozumieniu niniejszego Regulaminu oraz przepisów giełdowych wydanych na jego podstawie, zlecenie maklerskie członka giełdy na rachunek klienta.</w:t>
      </w:r>
    </w:p>
    <w:p w14:paraId="4C3DE4DA" w14:textId="5E11AE0A"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2. Członek giełdy zobowiązany jest do stosowania środków organizacyjnych </w:t>
      </w:r>
      <w:r w:rsidR="006066C5"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i technicznych służących kontroli wielkości i poprawności zleceń maklerskich przekazywanych na giełdę, w tym zleceń przekazywanych przez jego klientów korzystających z dostępu sponsorowanego.</w:t>
      </w:r>
    </w:p>
    <w:p w14:paraId="7D814FBE"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3. Członek giełdy zobowiązany jest do badania zleceń maklerskich oraz zawieranych przez siebie transakcji giełdowych, w tym transakcji zawieranych na podstawie zleceń </w:t>
      </w:r>
      <w:r w:rsidRPr="00B9694C">
        <w:rPr>
          <w:rFonts w:ascii="Verdana" w:eastAsia="Times New Roman" w:hAnsi="Verdana"/>
          <w:bCs/>
          <w:sz w:val="20"/>
          <w:szCs w:val="20"/>
          <w:lang w:eastAsia="pl-PL"/>
        </w:rPr>
        <w:lastRenderedPageBreak/>
        <w:t>maklerskich przekazanych przez jego klientów korzystających z dostępu sponsorowanego, pod kątem możliwości dokonania manipulacji kursami instrumentów finansowych.</w:t>
      </w:r>
    </w:p>
    <w:p w14:paraId="64DD1B71"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 Giełda na bieżąco monitoruje złożone zlecenia i transakcje zawarte przez członków giełdy, w tym zlecenia maklerskie złożone przez klientów członka giełdy korzystających z dostępu sponsorowanego oraz transakcje zawarte na podstawie tych zleceń, w celu identyfikowania naruszeń  przepisów obowiązujących na giełdzie, przypadków naruszenia zasad obrotu, przypadków uzasadniających podejrzenie wystąpienia manipulacji na rynku lub wykorzystywania informacji poufnych, a także zakłóceń funkcjonowania systemu informatycznego Giełdy.</w:t>
      </w:r>
    </w:p>
    <w:p w14:paraId="11729BCA"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5. Giełda niezwłocznie informuje KNF o każdym przypadku istotnego naruszenia przepisów obowiązujących na giełdzie lub zasad obrotu, oraz o istotnych zakłóceniach funkcjonowania systemu informatycznego Giełdy, mając na uwadze art. 81 Rozporządzenia delegowanego Komisji (UE) 2017/565 oraz sekcję A Załącznika III do tego Rozporządzenia.</w:t>
      </w:r>
    </w:p>
    <w:p w14:paraId="74CF50C6" w14:textId="57BF87A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6. Giełda niezwłocznie informuje KNF o każdym przypadku uzasadniającym podejrzenie wystąpienia manipulacji na rynku lub wykorzystywania informacji poufnych, zgodnie z Rozporządzeniem delegowanym Komisji (UE) 2016/957 oraz art. 82 Rozporządzenia delegowanego Komisji (UE) 2017/565 i sekcją B Załącznika III do tego Rozporządzenia.</w:t>
      </w:r>
    </w:p>
    <w:p w14:paraId="505AA534"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7. Giełda informuje KNF o wszystkich złożonych zleceniach maklerskich oraz zawartych transakcjach.</w:t>
      </w:r>
    </w:p>
    <w:p w14:paraId="7002041B" w14:textId="0C47A5C8"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203</w:t>
      </w:r>
    </w:p>
    <w:p w14:paraId="186475C0"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 W przypadku zleceń maklerskich składanych przy wykorzystaniu handlu algorytmicznego członek giełdy zobowiązany jest dodatkowo:</w:t>
      </w:r>
    </w:p>
    <w:p w14:paraId="3CD35AF3" w14:textId="5B2492D5" w:rsidR="00F20DBE" w:rsidRPr="00B9694C" w:rsidRDefault="00F20DBE" w:rsidP="006066C5">
      <w:pPr>
        <w:spacing w:after="120" w:line="360" w:lineRule="auto"/>
        <w:ind w:left="284" w:hanging="28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poinformować Giełdę o zamiarze wykorzystywania handlu algorytmicznego </w:t>
      </w:r>
      <w:r w:rsidR="006066C5"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 xml:space="preserve">w działalności prowadzonej na giełdzie, </w:t>
      </w:r>
    </w:p>
    <w:p w14:paraId="3E476500" w14:textId="2521D7FD" w:rsidR="00F20DBE" w:rsidRPr="00B9694C" w:rsidRDefault="00F20DBE" w:rsidP="006066C5">
      <w:pPr>
        <w:spacing w:after="120" w:line="360" w:lineRule="auto"/>
        <w:ind w:left="284" w:hanging="28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opracować, wdrożyć i stosować zasady i procedury oraz środki kontroli </w:t>
      </w:r>
      <w:r w:rsidR="006066C5"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 xml:space="preserve">i mechanizmy określone w art. 1-18 Rozporządzenia delegowanego Komisji (UE) 2017/589, </w:t>
      </w:r>
    </w:p>
    <w:p w14:paraId="53FA8C56" w14:textId="77777777" w:rsidR="00F20DBE" w:rsidRPr="00B9694C" w:rsidRDefault="00F20DBE" w:rsidP="008F2C31">
      <w:pPr>
        <w:spacing w:after="120" w:line="360" w:lineRule="auto"/>
        <w:ind w:left="284" w:hanging="28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 xml:space="preserve">przeprowadzić testy wykorzystywanych algorytmów w celu uniknięcia możliwości przyczynienia się do zakłóceń obrotu, </w:t>
      </w:r>
    </w:p>
    <w:p w14:paraId="4DE6A931" w14:textId="77777777" w:rsidR="00F20DBE" w:rsidRPr="00B9694C" w:rsidRDefault="00F20DBE" w:rsidP="008F2C31">
      <w:pPr>
        <w:spacing w:after="120" w:line="360" w:lineRule="auto"/>
        <w:ind w:left="284" w:hanging="28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4)</w:t>
      </w:r>
      <w:r w:rsidRPr="00B9694C">
        <w:rPr>
          <w:rFonts w:ascii="Verdana" w:eastAsia="Times New Roman" w:hAnsi="Verdana"/>
          <w:bCs/>
          <w:sz w:val="20"/>
          <w:szCs w:val="20"/>
          <w:lang w:eastAsia="pl-PL"/>
        </w:rPr>
        <w:tab/>
        <w:t>wskazać maklera nadzorującego odpowiedzialnego u członka giełdy za nadzór nad przekazywaniem na giełdę, modyfikowaniem i anulowaniem  zleceń maklerskich składanych przy wykorzystaniu handlu algorytmicznego,</w:t>
      </w:r>
    </w:p>
    <w:p w14:paraId="24F5907F" w14:textId="0C52FD0E" w:rsidR="00F20DBE" w:rsidRPr="00B9694C" w:rsidRDefault="00F20DBE" w:rsidP="008F2C31">
      <w:pPr>
        <w:spacing w:after="120" w:line="360" w:lineRule="auto"/>
        <w:ind w:left="284" w:hanging="28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5)</w:t>
      </w:r>
      <w:r w:rsidRPr="00B9694C">
        <w:rPr>
          <w:rFonts w:ascii="Verdana" w:eastAsia="Times New Roman" w:hAnsi="Verdana"/>
          <w:bCs/>
          <w:sz w:val="20"/>
          <w:szCs w:val="20"/>
          <w:lang w:eastAsia="pl-PL"/>
        </w:rPr>
        <w:tab/>
        <w:t xml:space="preserve">poinformować KNF oraz organ nadzoru właściwy ze względu na swoją siedzibę </w:t>
      </w:r>
      <w:r w:rsidR="006066C5"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 xml:space="preserve">o fakcie wykorzystywania handlu algorytmicznego w działalności prowadzonej na giełdzie, jak również o zaprzestaniu wykorzystywania handlu algorytmicznego </w:t>
      </w:r>
      <w:r w:rsidR="006066C5"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w działalności prowadzonej na giełdzie.</w:t>
      </w:r>
    </w:p>
    <w:p w14:paraId="7BB52DDA"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2. Członek giełdy zobowiązany jest zobowiązać swoich klientów korzystających </w:t>
      </w:r>
      <w:r w:rsidRPr="00B9694C">
        <w:rPr>
          <w:rFonts w:ascii="Verdana" w:eastAsia="Times New Roman" w:hAnsi="Verdana"/>
          <w:bCs/>
          <w:sz w:val="20"/>
          <w:szCs w:val="20"/>
          <w:lang w:eastAsia="pl-PL"/>
        </w:rPr>
        <w:br/>
        <w:t xml:space="preserve">z bezpośredniego dostępu elektronicznego do spełniania wymogów, o których mowa </w:t>
      </w:r>
      <w:r w:rsidRPr="00B9694C">
        <w:rPr>
          <w:rFonts w:ascii="Verdana" w:eastAsia="Times New Roman" w:hAnsi="Verdana"/>
          <w:bCs/>
          <w:sz w:val="20"/>
          <w:szCs w:val="20"/>
          <w:lang w:eastAsia="pl-PL"/>
        </w:rPr>
        <w:br/>
        <w:t xml:space="preserve">w ust. 1 pkt 2 i 3, jeżeli składają zlecenia przy wykorzystaniu handlu algorytmicznego. </w:t>
      </w:r>
    </w:p>
    <w:p w14:paraId="70ACFC9A" w14:textId="66C2AF6A"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3. Członek giełdy zobowiązany jest przeprowadzić testy algorytmów również </w:t>
      </w:r>
      <w:r w:rsidR="006066C5"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 xml:space="preserve">w przypadku istotnych zmian algorytmów wykorzystywanych przez siebie oraz zobowiązać do przeprowadzania takich testów w odniesieniu do algorytmów jego klientów korzystających z bezpośredniego dostępu elektronicznego. </w:t>
      </w:r>
    </w:p>
    <w:p w14:paraId="37639C41"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4. Wraz z informacją, o której mowa w ust. 1 pkt 1, członek giełdy składa oświadczenie o przeprowadzeniu testów wykorzystywanych algorytmów oraz opis mechanizmów użytych do takich testów. Członek giełdy składa oświadczenie wraz z opisem, o którym mowa w zdaniu pierwszym, również w przypadku rozpoczęcia korzystania z nowego algorytmu lub istotnej zmiany wykorzystywanego dotychczas algorytmu. </w:t>
      </w:r>
    </w:p>
    <w:p w14:paraId="036E2A48"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5. Przepisy ust. 1 - 4 stosuje się odpowiednio do członków giełdy wykorzystujących handel algorytmiczny w działalności prowadzonej na giełdzie przed dniem 3 stycznia   2018 r. </w:t>
      </w:r>
    </w:p>
    <w:p w14:paraId="3458B644"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6. Giełda prowadzi rejestr algorytmów wykorzystywanych przez danego członka giełdy. </w:t>
      </w:r>
    </w:p>
    <w:p w14:paraId="4A552BB0" w14:textId="4C8BF74B"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204</w:t>
      </w:r>
    </w:p>
    <w:p w14:paraId="4079E8BD"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Zarząd Giełdy lub przewodniczący sesji może zawiesić na czas określony przyjmowanie zleceń maklerskich: </w:t>
      </w:r>
    </w:p>
    <w:p w14:paraId="1FE2606C" w14:textId="308CE343" w:rsidR="00F20DBE" w:rsidRPr="00B9694C" w:rsidRDefault="00F20DBE" w:rsidP="008F2C31">
      <w:pPr>
        <w:spacing w:after="120" w:line="360" w:lineRule="auto"/>
        <w:ind w:left="284" w:hanging="28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członka giełdy (zleceń maklerskich oznaczonych tym samym kodem, o którym mowa w § 206 ust. 1 pkt 7),  </w:t>
      </w:r>
    </w:p>
    <w:p w14:paraId="4A99C6D5" w14:textId="306AECF0" w:rsidR="00F20DBE" w:rsidRPr="00B9694C" w:rsidRDefault="00F20DBE" w:rsidP="008F2C31">
      <w:pPr>
        <w:spacing w:after="120" w:line="360" w:lineRule="auto"/>
        <w:ind w:left="284" w:hanging="28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na rachunek danego klienta członka giełdy korzystającego z bezpośredniego dostępu elektronicznego (zleceń maklerskich oznaczonych tym samym kodem, o którym mowa w § 206 ust. 1 pkt 11).  </w:t>
      </w:r>
    </w:p>
    <w:p w14:paraId="086DAAAE"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2.</w:t>
      </w:r>
      <w:r w:rsidRPr="00B9694C">
        <w:rPr>
          <w:rFonts w:ascii="Verdana" w:eastAsia="Times New Roman" w:hAnsi="Verdana"/>
          <w:bCs/>
          <w:sz w:val="20"/>
          <w:szCs w:val="20"/>
          <w:lang w:eastAsia="pl-PL"/>
        </w:rPr>
        <w:tab/>
        <w:t>Zawieszenie przyjmowania zleceń maklerskich, o których mowa w ust. 1, następuje:</w:t>
      </w:r>
    </w:p>
    <w:p w14:paraId="72398BC2" w14:textId="55D0719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z inicjatywy  Zarządu Giełdy lub przewodniczącego sesji - w przypadku, gdy </w:t>
      </w:r>
      <w:r w:rsidR="006066C5"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 xml:space="preserve">w ich ocenie zawieszenie jest niezbędne z uwagi na bezpieczeństwo obrotu giełdowego lub interes jego uczestników, </w:t>
      </w:r>
    </w:p>
    <w:p w14:paraId="24B3744F"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na żądanie KNF, </w:t>
      </w:r>
    </w:p>
    <w:p w14:paraId="1381C4A8" w14:textId="620EC8F0"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 xml:space="preserve">na wniosek Krajowego Depozytu - w zakresie i na zasadach określonych </w:t>
      </w:r>
      <w:r w:rsidRPr="00B9694C">
        <w:rPr>
          <w:rFonts w:ascii="Verdana" w:eastAsia="Times New Roman" w:hAnsi="Verdana"/>
          <w:bCs/>
          <w:sz w:val="20"/>
          <w:szCs w:val="20"/>
          <w:lang w:eastAsia="pl-PL"/>
        </w:rPr>
        <w:br/>
        <w:t xml:space="preserve">w przepisach  regulujących działalność tego podmiotu i umowie, o której mowa </w:t>
      </w:r>
      <w:r w:rsidRPr="00B9694C">
        <w:rPr>
          <w:rFonts w:ascii="Verdana" w:eastAsia="Times New Roman" w:hAnsi="Verdana"/>
          <w:bCs/>
          <w:sz w:val="20"/>
          <w:szCs w:val="20"/>
          <w:lang w:eastAsia="pl-PL"/>
        </w:rPr>
        <w:br/>
        <w:t xml:space="preserve">w § 266 ust. 2, </w:t>
      </w:r>
    </w:p>
    <w:p w14:paraId="74621F38"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 xml:space="preserve">na wniosek członka giełdy - w zakresie odnoszącym się do zleceń, </w:t>
      </w:r>
      <w:r w:rsidRPr="00B9694C">
        <w:rPr>
          <w:rFonts w:ascii="Verdana" w:eastAsia="Times New Roman" w:hAnsi="Verdana"/>
          <w:bCs/>
          <w:sz w:val="20"/>
          <w:szCs w:val="20"/>
          <w:lang w:eastAsia="pl-PL"/>
        </w:rPr>
        <w:br/>
        <w:t xml:space="preserve">o których  mowa w ust. 1 pkt 1, </w:t>
      </w:r>
    </w:p>
    <w:p w14:paraId="73549E67"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5)</w:t>
      </w:r>
      <w:r w:rsidRPr="00B9694C">
        <w:rPr>
          <w:rFonts w:ascii="Verdana" w:eastAsia="Times New Roman" w:hAnsi="Verdana"/>
          <w:bCs/>
          <w:sz w:val="20"/>
          <w:szCs w:val="20"/>
          <w:lang w:eastAsia="pl-PL"/>
        </w:rPr>
        <w:tab/>
        <w:t xml:space="preserve">na wniosek członka giełdy - w zakresie odnoszącym się do zleceń, </w:t>
      </w:r>
      <w:r w:rsidRPr="00B9694C">
        <w:rPr>
          <w:rFonts w:ascii="Verdana" w:eastAsia="Times New Roman" w:hAnsi="Verdana"/>
          <w:bCs/>
          <w:sz w:val="20"/>
          <w:szCs w:val="20"/>
          <w:lang w:eastAsia="pl-PL"/>
        </w:rPr>
        <w:br/>
        <w:t xml:space="preserve">o których mowa w ust. 1 pkt 2, zgodnie z obowiązującymi u członka giełdy zasadami zawieszania danego typu bezpośredniego dostępu elektronicznego jego klientów, </w:t>
      </w:r>
    </w:p>
    <w:p w14:paraId="104DC763"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6)</w:t>
      </w:r>
      <w:r w:rsidRPr="00B9694C">
        <w:rPr>
          <w:rFonts w:ascii="Verdana" w:eastAsia="Times New Roman" w:hAnsi="Verdana"/>
          <w:bCs/>
          <w:sz w:val="20"/>
          <w:szCs w:val="20"/>
          <w:lang w:eastAsia="pl-PL"/>
        </w:rPr>
        <w:tab/>
        <w:t>na wniosek uczestnika rozliczającego członka giełdy - w zakresie odnoszącym się do zleceń, o których mowa w ust. 1 pkt 1, zgodnie z obowiązującymi członka giełdy zasadami rozliczania przez danego uczestnika rozliczającego,</w:t>
      </w:r>
    </w:p>
    <w:p w14:paraId="3E08F25C" w14:textId="38A27FE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7)</w:t>
      </w:r>
      <w:r w:rsidRPr="00B9694C">
        <w:rPr>
          <w:rFonts w:ascii="Verdana" w:eastAsia="Times New Roman" w:hAnsi="Verdana"/>
          <w:bCs/>
          <w:sz w:val="20"/>
          <w:szCs w:val="20"/>
          <w:lang w:eastAsia="pl-PL"/>
        </w:rPr>
        <w:tab/>
        <w:t xml:space="preserve">na wniosek uczestnika rozliczającego członka giełdy - w zakresie odnoszącym się do zleceń, o których mowa w ust. 1 pkt 2, zgodnie z obowiązującymi członka giełdy zasadami rozliczania przez danego uczestnika rozliczającego oraz zgodnie z obowiązującymi u członka giełdy zasadami zawieszania danego typu bezpośredniego dostępu elektronicznego jego klientów, </w:t>
      </w:r>
    </w:p>
    <w:p w14:paraId="78468311" w14:textId="36D27D01"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8)</w:t>
      </w:r>
      <w:r w:rsidRPr="00B9694C">
        <w:rPr>
          <w:rFonts w:ascii="Verdana" w:eastAsia="Times New Roman" w:hAnsi="Verdana"/>
          <w:bCs/>
          <w:sz w:val="20"/>
          <w:szCs w:val="20"/>
          <w:lang w:eastAsia="pl-PL"/>
        </w:rPr>
        <w:tab/>
        <w:t xml:space="preserve">na wniosek klienta członka giełdy korzystającego z dostępu sponsorowanego - </w:t>
      </w:r>
      <w:r w:rsidR="006066C5"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 xml:space="preserve">w zakresie odnoszącym się do zleceń tego klienta, o których  mowa w ust. 1 </w:t>
      </w:r>
      <w:r w:rsidR="006066C5"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pkt 2, zgodnie z obowiązującymi u członka giełdy zasadami zawieszania dostępu sponsorowanego.</w:t>
      </w:r>
    </w:p>
    <w:p w14:paraId="441F269A" w14:textId="0F8636A5"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 xml:space="preserve">Jeżeli co innego nie wynika z decyzji o zawieszeniu, przekazane na giełdę </w:t>
      </w:r>
      <w:r w:rsidR="006066C5"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 xml:space="preserve">a niezrealizowane zlecenia maklerskie złożone przez danego członka giełdy, lub odpowiednio przez danego klienta członka giełdy korzystającego z dostępu sponsorowanego , których dotyczy zawieszenie przyjmowania, tracą ważność </w:t>
      </w:r>
      <w:r w:rsidR="006066C5"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z chwilą tego zawieszenia.</w:t>
      </w:r>
    </w:p>
    <w:p w14:paraId="7A18AC7F"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Jeżeli co innego nie wynika z decyzji o zawieszeniu, zawieszenie przyjmowania oraz utrata ważności zleceń maklerskich, o których mowa w ust. 1 pkt 1, dotyczy:</w:t>
      </w:r>
    </w:p>
    <w:p w14:paraId="1F9E7A13"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1)</w:t>
      </w:r>
      <w:r w:rsidRPr="00B9694C">
        <w:rPr>
          <w:rFonts w:ascii="Verdana" w:eastAsia="Times New Roman" w:hAnsi="Verdana"/>
          <w:bCs/>
          <w:sz w:val="20"/>
          <w:szCs w:val="20"/>
          <w:lang w:eastAsia="pl-PL"/>
        </w:rPr>
        <w:tab/>
        <w:t>wszystkich instrumentów finansowych notowanych na giełdzie będących przedmiotem tych zleceń, albo oddzielnie</w:t>
      </w:r>
    </w:p>
    <w:p w14:paraId="1DBE0126"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wszystkich papierów wartościowych będących przedmiotem tych zleceń, albo oddzielnie </w:t>
      </w:r>
    </w:p>
    <w:p w14:paraId="1D3EC4E8"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 xml:space="preserve">wszystkich instrumentów pochodnych będących przedmiotem tych zleceń.  </w:t>
      </w:r>
    </w:p>
    <w:p w14:paraId="0C14B14E"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5.</w:t>
      </w:r>
      <w:r w:rsidRPr="00B9694C">
        <w:rPr>
          <w:rFonts w:ascii="Verdana" w:eastAsia="Times New Roman" w:hAnsi="Verdana"/>
          <w:bCs/>
          <w:sz w:val="20"/>
          <w:szCs w:val="20"/>
          <w:lang w:eastAsia="pl-PL"/>
        </w:rPr>
        <w:tab/>
        <w:t xml:space="preserve">Jeżeli co innego nie wynika z decyzji o zawieszeniu, zawieszenie przyjmowania oraz utrata ważności zleceń maklerskich, o których mowa w ust. 1 pkt 2, dotyczy wszystkich instrumentów finansowych notowanych na giełdzie będących przedmiotem tych zleceń.  </w:t>
      </w:r>
    </w:p>
    <w:p w14:paraId="10E2B995"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6.</w:t>
      </w:r>
      <w:r w:rsidRPr="00B9694C">
        <w:rPr>
          <w:rFonts w:ascii="Verdana" w:eastAsia="Times New Roman" w:hAnsi="Verdana"/>
          <w:bCs/>
          <w:sz w:val="20"/>
          <w:szCs w:val="20"/>
          <w:lang w:eastAsia="pl-PL"/>
        </w:rPr>
        <w:tab/>
        <w:t xml:space="preserve">Zarząd Giełdy określa w Szczegółowych Zasadach Obrotu Giełdowego szczegółowy tryb przekazywania wniosków o zawieszenie obrotu oraz wymogi co do zakresu informacji wymaganych przez Giełdę w związku ze złożeniem wniosku o zawieszenie. </w:t>
      </w:r>
    </w:p>
    <w:p w14:paraId="64F63E1A" w14:textId="03C6FD02"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205</w:t>
      </w:r>
    </w:p>
    <w:p w14:paraId="55B95565" w14:textId="77777777" w:rsidR="00F20DBE" w:rsidRPr="00B9694C" w:rsidRDefault="00F20DBE" w:rsidP="006066C5">
      <w:pPr>
        <w:spacing w:after="24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Członek giełdy obowiązany jest do naprawienia szkody wynikłej z tytułu zawinionego niewykonania lub nienależytego wykonania przyjętego zlecenia. </w:t>
      </w:r>
    </w:p>
    <w:p w14:paraId="280CC6AF" w14:textId="373E33B9"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206</w:t>
      </w:r>
    </w:p>
    <w:p w14:paraId="0D2EF9A0"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Zlecenie maklerskie powinno określać w szczególności:  </w:t>
      </w:r>
    </w:p>
    <w:p w14:paraId="5E2B1EA1"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nazwę lub kod instrumentu finansowego, którego zlecenie dotyczy, </w:t>
      </w:r>
    </w:p>
    <w:p w14:paraId="3742E679"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rodzaj oferty (kupno lub sprzedaż),</w:t>
      </w:r>
    </w:p>
    <w:p w14:paraId="1C907D96" w14:textId="00E7352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 xml:space="preserve">limit ceny lub polecenie wykonania zlecenia bez określania limitu ceny, </w:t>
      </w:r>
    </w:p>
    <w:p w14:paraId="6E2E9DDC"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 xml:space="preserve">liczbę instrumentów finansowych mających być przedmiotem transakcji, </w:t>
      </w:r>
    </w:p>
    <w:p w14:paraId="0D6AEDDF"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5)</w:t>
      </w:r>
      <w:r w:rsidRPr="00B9694C">
        <w:rPr>
          <w:rFonts w:ascii="Verdana" w:eastAsia="Times New Roman" w:hAnsi="Verdana"/>
          <w:bCs/>
          <w:sz w:val="20"/>
          <w:szCs w:val="20"/>
          <w:lang w:eastAsia="pl-PL"/>
        </w:rPr>
        <w:tab/>
        <w:t xml:space="preserve">termin ważności zlecenia, </w:t>
      </w:r>
    </w:p>
    <w:p w14:paraId="5A343BAF"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6)</w:t>
      </w:r>
      <w:r w:rsidRPr="00B9694C">
        <w:rPr>
          <w:rFonts w:ascii="Verdana" w:eastAsia="Times New Roman" w:hAnsi="Verdana"/>
          <w:bCs/>
          <w:sz w:val="20"/>
          <w:szCs w:val="20"/>
          <w:lang w:eastAsia="pl-PL"/>
        </w:rPr>
        <w:tab/>
        <w:t xml:space="preserve">wskaźnik typu działania, w szczególności: </w:t>
      </w:r>
    </w:p>
    <w:p w14:paraId="20E280D8" w14:textId="77777777" w:rsidR="00F20DBE" w:rsidRPr="00B9694C" w:rsidRDefault="00F20DBE" w:rsidP="00C51182">
      <w:pPr>
        <w:tabs>
          <w:tab w:val="left" w:pos="993"/>
        </w:tabs>
        <w:spacing w:after="120" w:line="360" w:lineRule="auto"/>
        <w:ind w:left="708"/>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a)</w:t>
      </w:r>
      <w:r w:rsidRPr="00B9694C">
        <w:rPr>
          <w:rFonts w:ascii="Verdana" w:eastAsia="Times New Roman" w:hAnsi="Verdana"/>
          <w:bCs/>
          <w:sz w:val="20"/>
          <w:szCs w:val="20"/>
          <w:lang w:eastAsia="pl-PL"/>
        </w:rPr>
        <w:tab/>
        <w:t>na rachunek własny,</w:t>
      </w:r>
    </w:p>
    <w:p w14:paraId="2C7590E6" w14:textId="77777777" w:rsidR="00F20DBE" w:rsidRPr="00B9694C" w:rsidRDefault="00F20DBE" w:rsidP="00C51182">
      <w:pPr>
        <w:tabs>
          <w:tab w:val="left" w:pos="993"/>
        </w:tabs>
        <w:spacing w:after="120" w:line="360" w:lineRule="auto"/>
        <w:ind w:left="708"/>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b)</w:t>
      </w:r>
      <w:r w:rsidRPr="00B9694C">
        <w:rPr>
          <w:rFonts w:ascii="Verdana" w:eastAsia="Times New Roman" w:hAnsi="Verdana"/>
          <w:bCs/>
          <w:sz w:val="20"/>
          <w:szCs w:val="20"/>
          <w:lang w:eastAsia="pl-PL"/>
        </w:rPr>
        <w:tab/>
        <w:t>na rachunek klienta,</w:t>
      </w:r>
    </w:p>
    <w:p w14:paraId="35448466" w14:textId="77777777" w:rsidR="00F20DBE" w:rsidRPr="00B9694C" w:rsidRDefault="00F20DBE" w:rsidP="00C51182">
      <w:pPr>
        <w:tabs>
          <w:tab w:val="left" w:pos="993"/>
        </w:tabs>
        <w:spacing w:after="120" w:line="360" w:lineRule="auto"/>
        <w:ind w:left="708"/>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c)</w:t>
      </w:r>
      <w:r w:rsidRPr="00B9694C">
        <w:rPr>
          <w:rFonts w:ascii="Verdana" w:eastAsia="Times New Roman" w:hAnsi="Verdana"/>
          <w:bCs/>
          <w:sz w:val="20"/>
          <w:szCs w:val="20"/>
          <w:lang w:eastAsia="pl-PL"/>
        </w:rPr>
        <w:tab/>
        <w:t>animator rynku,</w:t>
      </w:r>
    </w:p>
    <w:p w14:paraId="2098036A"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7)</w:t>
      </w:r>
      <w:r w:rsidRPr="00B9694C">
        <w:rPr>
          <w:rFonts w:ascii="Verdana" w:eastAsia="Times New Roman" w:hAnsi="Verdana"/>
          <w:bCs/>
          <w:sz w:val="20"/>
          <w:szCs w:val="20"/>
          <w:lang w:eastAsia="pl-PL"/>
        </w:rPr>
        <w:tab/>
        <w:t xml:space="preserve">kod wystawcy zlecenia, </w:t>
      </w:r>
    </w:p>
    <w:p w14:paraId="02C7C27E"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8)</w:t>
      </w:r>
      <w:r w:rsidRPr="00B9694C">
        <w:rPr>
          <w:rFonts w:ascii="Verdana" w:eastAsia="Times New Roman" w:hAnsi="Verdana"/>
          <w:bCs/>
          <w:sz w:val="20"/>
          <w:szCs w:val="20"/>
          <w:lang w:eastAsia="pl-PL"/>
        </w:rPr>
        <w:tab/>
        <w:t xml:space="preserve">datę wystawienia zlecenia, </w:t>
      </w:r>
    </w:p>
    <w:p w14:paraId="447D0C1A"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9)</w:t>
      </w:r>
      <w:r w:rsidRPr="00B9694C">
        <w:rPr>
          <w:rFonts w:ascii="Verdana" w:eastAsia="Times New Roman" w:hAnsi="Verdana"/>
          <w:bCs/>
          <w:sz w:val="20"/>
          <w:szCs w:val="20"/>
          <w:lang w:eastAsia="pl-PL"/>
        </w:rPr>
        <w:tab/>
        <w:t>numer własny zlecenia</w:t>
      </w:r>
    </w:p>
    <w:p w14:paraId="0C46215C" w14:textId="22507D16" w:rsidR="00F20DBE" w:rsidRPr="00B9694C" w:rsidRDefault="00F20DBE" w:rsidP="008F2C31">
      <w:pPr>
        <w:tabs>
          <w:tab w:val="left" w:pos="851"/>
        </w:tabs>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10)</w:t>
      </w:r>
      <w:r w:rsidRPr="00B9694C">
        <w:rPr>
          <w:rFonts w:ascii="Verdana" w:eastAsia="Times New Roman" w:hAnsi="Verdana"/>
          <w:bCs/>
          <w:sz w:val="20"/>
          <w:szCs w:val="20"/>
          <w:lang w:eastAsia="pl-PL"/>
        </w:rPr>
        <w:tab/>
        <w:t xml:space="preserve">informację czy zlecenie przekazywane jest z wykorzystaniem </w:t>
      </w:r>
      <w:r w:rsidR="006066C5" w:rsidRPr="00B9694C">
        <w:rPr>
          <w:rFonts w:ascii="Verdana" w:eastAsia="Times New Roman" w:hAnsi="Verdana"/>
          <w:bCs/>
          <w:sz w:val="20"/>
          <w:szCs w:val="20"/>
          <w:lang w:eastAsia="pl-PL"/>
        </w:rPr>
        <w:t>b</w:t>
      </w:r>
      <w:r w:rsidRPr="00B9694C">
        <w:rPr>
          <w:rFonts w:ascii="Verdana" w:eastAsia="Times New Roman" w:hAnsi="Verdana"/>
          <w:bCs/>
          <w:sz w:val="20"/>
          <w:szCs w:val="20"/>
          <w:lang w:eastAsia="pl-PL"/>
        </w:rPr>
        <w:t>ezpośredniego dostępu elektronicznego,</w:t>
      </w:r>
    </w:p>
    <w:p w14:paraId="797A7DB7" w14:textId="77777777" w:rsidR="00F20DBE" w:rsidRPr="00B9694C" w:rsidRDefault="00F20DBE" w:rsidP="008F2C31">
      <w:pPr>
        <w:tabs>
          <w:tab w:val="left" w:pos="851"/>
        </w:tabs>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11)</w:t>
      </w:r>
      <w:r w:rsidRPr="00B9694C">
        <w:rPr>
          <w:rFonts w:ascii="Verdana" w:eastAsia="Times New Roman" w:hAnsi="Verdana"/>
          <w:bCs/>
          <w:sz w:val="20"/>
          <w:szCs w:val="20"/>
          <w:lang w:eastAsia="pl-PL"/>
        </w:rPr>
        <w:tab/>
        <w:t>oznaczenie klienta członka giełdy, na rachunek którego przekazywane jest zlecenie na giełdę, w tym klienta korzystającego z bezpośredniego dostępu elektronicznego,</w:t>
      </w:r>
    </w:p>
    <w:p w14:paraId="6B35D7A1" w14:textId="04DB6D0B" w:rsidR="00F20DBE" w:rsidRPr="00B9694C" w:rsidRDefault="00F20DBE" w:rsidP="008F2C31">
      <w:pPr>
        <w:tabs>
          <w:tab w:val="left" w:pos="851"/>
        </w:tabs>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12)</w:t>
      </w:r>
      <w:r w:rsidRPr="00B9694C">
        <w:rPr>
          <w:rFonts w:ascii="Verdana" w:eastAsia="Times New Roman" w:hAnsi="Verdana"/>
          <w:bCs/>
          <w:sz w:val="20"/>
          <w:szCs w:val="20"/>
          <w:lang w:eastAsia="pl-PL"/>
        </w:rPr>
        <w:tab/>
        <w:t xml:space="preserve">oznaczenie członka giełdy niebiorącego udziału w wykonaniu zlecenia, </w:t>
      </w:r>
      <w:r w:rsidR="006066C5"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o którym mowa w art. 2 ust. 1 lit d) Rozporządzenia delegowanego Komisji (UE) 2017/580, jeżeli brał on udział w przekazywaniu zlecenia na giełdę,</w:t>
      </w:r>
    </w:p>
    <w:p w14:paraId="0B9E28F6" w14:textId="77777777" w:rsidR="00F20DBE" w:rsidRPr="00B9694C" w:rsidRDefault="00F20DBE" w:rsidP="008F2C31">
      <w:pPr>
        <w:tabs>
          <w:tab w:val="left" w:pos="851"/>
        </w:tabs>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13)</w:t>
      </w:r>
      <w:r w:rsidRPr="00B9694C">
        <w:rPr>
          <w:rFonts w:ascii="Verdana" w:eastAsia="Times New Roman" w:hAnsi="Verdana"/>
          <w:bCs/>
          <w:sz w:val="20"/>
          <w:szCs w:val="20"/>
          <w:lang w:eastAsia="pl-PL"/>
        </w:rPr>
        <w:tab/>
        <w:t>oznaczenie osoby fizycznej lub algorytmu odpowiedzialnych za podjęcie decyzji inwestycyjnej w odniesieniu do danego zlecenia składanego na rachunek własny członka giełdy lub w ramach świadczonej przez członka giełdy usługi zarządzania portfelem, ustalonych zgodnie z art. 8 Rozporządzenia delegowanego Komisji (UE) 2017/590,</w:t>
      </w:r>
    </w:p>
    <w:p w14:paraId="14718F0E" w14:textId="52928E0F" w:rsidR="00F20DBE" w:rsidRPr="00B9694C" w:rsidRDefault="00F20DBE" w:rsidP="008F2C31">
      <w:pPr>
        <w:tabs>
          <w:tab w:val="left" w:pos="851"/>
        </w:tabs>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14)</w:t>
      </w:r>
      <w:r w:rsidRPr="00B9694C">
        <w:rPr>
          <w:rFonts w:ascii="Verdana" w:eastAsia="Times New Roman" w:hAnsi="Verdana"/>
          <w:bCs/>
          <w:sz w:val="20"/>
          <w:szCs w:val="20"/>
          <w:lang w:eastAsia="pl-PL"/>
        </w:rPr>
        <w:tab/>
        <w:t>oznaczenie osoby fizycznej lub algorytmu odpowiedzialnych u członka giełdy</w:t>
      </w:r>
      <w:r w:rsidR="00633556" w:rsidRPr="00B9694C">
        <w:rPr>
          <w:rFonts w:ascii="Verdana" w:eastAsia="Times New Roman" w:hAnsi="Verdana"/>
          <w:bCs/>
          <w:sz w:val="20"/>
          <w:szCs w:val="20"/>
          <w:lang w:eastAsia="pl-PL"/>
        </w:rPr>
        <w:t xml:space="preserve"> </w:t>
      </w:r>
      <w:r w:rsidRPr="00B9694C">
        <w:rPr>
          <w:rFonts w:ascii="Verdana" w:eastAsia="Times New Roman" w:hAnsi="Verdana"/>
          <w:bCs/>
          <w:sz w:val="20"/>
          <w:szCs w:val="20"/>
          <w:lang w:eastAsia="pl-PL"/>
        </w:rPr>
        <w:t>za wykonanie danego zlecenia, ustalonych zgodnie z art. 9 Rozporządzenia delegowanego Komisji (UE) 2017/590.</w:t>
      </w:r>
    </w:p>
    <w:p w14:paraId="6389C541"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Oznaczenia, o których w ust. 1 pkt 11-14, przekazywane są w zleceniu maklerskim w postaci zakodowanej. Odpowiadające tym oznaczeniom dane, w tym dane osobowe, określone w pkt 3-6 Tabeli 2 Załącznika do Rozporządzenia delegowanego Komisji (UE) 2017/580 przekazywane są Giełdzie przez członków giełdy z zachowaniem wymogów wynikających z właściwych przepisów prawa, w szczególności przepisów dotyczących ochrony danych osobowych. </w:t>
      </w:r>
    </w:p>
    <w:p w14:paraId="37613F28" w14:textId="7DC670AF"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Dane osobowe, o których mowa w ust. 2, mogą być wykorzystywane wyłącznie w celu wypełniania przez Giełdę obowiązków, o których mowa w art. 25 ust. 2 Rozporządzenia Parlamentu Europejskiego i Rady (UE) Nr 600/2014 oraz obowiązków wynikających z Rozporządzenia delegowanego Komisji (UE) 2016/957, a także do celów statystycznych zgodnie z art. 29d Ustawy o obrocie.</w:t>
      </w:r>
    </w:p>
    <w:p w14:paraId="28C0B4A1" w14:textId="6D11DAF4"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 xml:space="preserve">Szczegółowy zakres informacji zawartych w zleceniu maklerskim, sposób ich przekazywania, jak również sposób przekazywania danych osobowych, o których mowa w ust. 2, określa Zarząd Giełdy w Szczegółowych Zasadach Obrotu Giełdowego. </w:t>
      </w:r>
    </w:p>
    <w:p w14:paraId="03DE48D4" w14:textId="3E8ACD8F"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207</w:t>
      </w:r>
    </w:p>
    <w:p w14:paraId="019C934F"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Cenę oznaczoną w zleceniu maklerskim uważa się w przypadku oferty kupna za cenę maksymalną, a w przypadku oferty sprzedaży za cenę minimalną.</w:t>
      </w:r>
    </w:p>
    <w:p w14:paraId="6ECBEA34" w14:textId="0D64C3A4"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 208</w:t>
      </w:r>
    </w:p>
    <w:p w14:paraId="1FE4C90D"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Informacje zawarte w zleceniach maklerskich są dostępne wyłącznie dla upoważnionych pracowników Giełdy oraz osób upoważnionych do tego właściwymi przepisami prawa.</w:t>
      </w:r>
    </w:p>
    <w:p w14:paraId="2701B5FD" w14:textId="3B32CC29"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209</w:t>
      </w:r>
    </w:p>
    <w:p w14:paraId="07AF8294"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W systemie notowań ciągłych oraz w systemie kursu jednolitego mogą być składane następujące rodzaje zleceń maklerskich:</w:t>
      </w:r>
    </w:p>
    <w:p w14:paraId="73312F2B" w14:textId="77777777" w:rsidR="00F20DBE" w:rsidRPr="00B9694C" w:rsidRDefault="00F20DBE" w:rsidP="008F2C31">
      <w:pPr>
        <w:spacing w:after="120" w:line="360" w:lineRule="auto"/>
        <w:ind w:left="708" w:hanging="42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zlecenia z limitem realizacji (LIMIT), </w:t>
      </w:r>
    </w:p>
    <w:p w14:paraId="40EB88CB" w14:textId="77777777" w:rsidR="00F20DBE" w:rsidRPr="00B9694C" w:rsidRDefault="00F20DBE" w:rsidP="008F2C31">
      <w:pPr>
        <w:spacing w:after="120" w:line="360" w:lineRule="auto"/>
        <w:ind w:left="708" w:hanging="42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zlecenia po każdej cenie (PKC), </w:t>
      </w:r>
    </w:p>
    <w:p w14:paraId="26EBBD79" w14:textId="77777777" w:rsidR="00F20DBE" w:rsidRPr="00B9694C" w:rsidRDefault="00F20DBE" w:rsidP="008F2C31">
      <w:pPr>
        <w:spacing w:after="120" w:line="360" w:lineRule="auto"/>
        <w:ind w:left="708" w:hanging="42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 xml:space="preserve">zlecenia po cenie rynkowej (PCR), </w:t>
      </w:r>
    </w:p>
    <w:p w14:paraId="3CD089BF" w14:textId="77777777" w:rsidR="00F20DBE" w:rsidRPr="00B9694C" w:rsidRDefault="00F20DBE" w:rsidP="008F2C31">
      <w:pPr>
        <w:spacing w:after="120" w:line="360" w:lineRule="auto"/>
        <w:ind w:left="708" w:hanging="42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 xml:space="preserve">zlecenia z limitem aktywacji (STOP),  </w:t>
      </w:r>
    </w:p>
    <w:p w14:paraId="27414678" w14:textId="77777777" w:rsidR="00F20DBE" w:rsidRPr="00B9694C" w:rsidRDefault="00F20DBE" w:rsidP="008F2C31">
      <w:pPr>
        <w:spacing w:after="120" w:line="360" w:lineRule="auto"/>
        <w:ind w:left="708" w:hanging="42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5)</w:t>
      </w:r>
      <w:r w:rsidRPr="00B9694C">
        <w:rPr>
          <w:rFonts w:ascii="Verdana" w:eastAsia="Times New Roman" w:hAnsi="Verdana"/>
          <w:bCs/>
          <w:sz w:val="20"/>
          <w:szCs w:val="20"/>
          <w:lang w:eastAsia="pl-PL"/>
        </w:rPr>
        <w:tab/>
        <w:t xml:space="preserve">zlecenia ze zmiennym limitem realizacji (PEG).  </w:t>
      </w:r>
    </w:p>
    <w:p w14:paraId="0E393A85"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Zlecenie LIMIT zawiera limit ceny i może być realizowane wyłącznie po cenie określonej w tym limicie albo po cenie niższej - w przypadku zlecenia  kupna albo po cenie wyższej - w przypadku zlecenia sprzedaży. </w:t>
      </w:r>
    </w:p>
    <w:p w14:paraId="4486BA63"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 xml:space="preserve">Zlecenie PKC nie zawiera limitu ceny. W trakcie notowań ciągłych zlecenie PKC realizowane jest po najlepszych możliwych cenach zleceń przeciwstawnych oczekujących na realizację w arkuszu zleceń. </w:t>
      </w:r>
    </w:p>
    <w:p w14:paraId="7FA93909"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Zlecenie PCR nie zawiera limitu ceny. W trakcie notowań ciągłych zlecenie PCR realizowane jest po najlepszej możliwej cenie zlecenia przeciwstawnego oczekującego na realizację w arkuszu zleceń.</w:t>
      </w:r>
    </w:p>
    <w:p w14:paraId="19FDFCA4"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5.</w:t>
      </w:r>
      <w:r w:rsidRPr="00B9694C">
        <w:rPr>
          <w:rFonts w:ascii="Verdana" w:eastAsia="Times New Roman" w:hAnsi="Verdana"/>
          <w:bCs/>
          <w:sz w:val="20"/>
          <w:szCs w:val="20"/>
          <w:lang w:eastAsia="pl-PL"/>
        </w:rPr>
        <w:tab/>
        <w:t xml:space="preserve">Zlecenie STOP zawiera limit aktywacji zlecenia oraz limit ceny, po której zlecenie to może podlegać realizacji (zlecenie STOP Limit) albo polecenie realizacji bez określonego limitu ceny (zlecenie STOP Loss). </w:t>
      </w:r>
    </w:p>
    <w:p w14:paraId="3FD1E87C"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6.</w:t>
      </w:r>
      <w:r w:rsidRPr="00B9694C">
        <w:rPr>
          <w:rFonts w:ascii="Verdana" w:eastAsia="Times New Roman" w:hAnsi="Verdana"/>
          <w:bCs/>
          <w:sz w:val="20"/>
          <w:szCs w:val="20"/>
          <w:lang w:eastAsia="pl-PL"/>
        </w:rPr>
        <w:tab/>
        <w:t>Zlecenie PEG zawiera zmienny limit ceny, który przyjmuje wartość równą limitowi ceny najlepszego zlecenia po tej samej stronie w arkuszu zleceń.</w:t>
      </w:r>
    </w:p>
    <w:p w14:paraId="72D0ACC5"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7.</w:t>
      </w:r>
      <w:r w:rsidRPr="00B9694C">
        <w:rPr>
          <w:rFonts w:ascii="Verdana" w:eastAsia="Times New Roman" w:hAnsi="Verdana"/>
          <w:bCs/>
          <w:sz w:val="20"/>
          <w:szCs w:val="20"/>
          <w:lang w:eastAsia="pl-PL"/>
        </w:rPr>
        <w:tab/>
        <w:t xml:space="preserve">Składając zlecenie maklerskie członek giełdy może wskazać dodatkowe oznaczenia lub rodzaje ważności oraz dodatkowe warunki realizacji zlecenia, zgodne </w:t>
      </w:r>
      <w:r w:rsidRPr="00B9694C">
        <w:rPr>
          <w:rFonts w:ascii="Verdana" w:eastAsia="Times New Roman" w:hAnsi="Verdana"/>
          <w:bCs/>
          <w:sz w:val="20"/>
          <w:szCs w:val="20"/>
          <w:lang w:eastAsia="pl-PL"/>
        </w:rPr>
        <w:br/>
        <w:t xml:space="preserve">z postanowieniami Szczegółowych Zasad Obrotu Giełdowego.  </w:t>
      </w:r>
    </w:p>
    <w:p w14:paraId="4A80E598"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8.</w:t>
      </w:r>
      <w:r w:rsidRPr="00B9694C">
        <w:rPr>
          <w:rFonts w:ascii="Verdana" w:eastAsia="Times New Roman" w:hAnsi="Verdana"/>
          <w:bCs/>
          <w:sz w:val="20"/>
          <w:szCs w:val="20"/>
          <w:lang w:eastAsia="pl-PL"/>
        </w:rPr>
        <w:tab/>
        <w:t xml:space="preserve">Zarząd Giełdy określa w Szczegółowych Zasadach  Obrotu Giełdowego zasady postępowania oraz warunki i czas przyjmowania i anulowania poszczególnych rodzajów zleceń maklerskich, jak również ich realizacji i modyfikacji w poszczególnych systemach notowań i fazach sesji. </w:t>
      </w:r>
    </w:p>
    <w:p w14:paraId="4DF4E4F0"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9.</w:t>
      </w:r>
      <w:r w:rsidRPr="00B9694C">
        <w:rPr>
          <w:rFonts w:ascii="Verdana" w:eastAsia="Times New Roman" w:hAnsi="Verdana"/>
          <w:bCs/>
          <w:sz w:val="20"/>
          <w:szCs w:val="20"/>
          <w:lang w:eastAsia="pl-PL"/>
        </w:rPr>
        <w:tab/>
        <w:t>Zarząd Giełdy może określić w Szczegółowych Zasadach Obrotu Giełdowego szczególne rodzaje zleceń maklerskich oraz wymagania, którym powinny one odpowiadać.</w:t>
      </w:r>
    </w:p>
    <w:p w14:paraId="46FFBA88"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10.</w:t>
      </w:r>
      <w:r w:rsidRPr="00B9694C">
        <w:rPr>
          <w:rFonts w:ascii="Verdana" w:eastAsia="Times New Roman" w:hAnsi="Verdana"/>
          <w:bCs/>
          <w:sz w:val="20"/>
          <w:szCs w:val="20"/>
          <w:lang w:eastAsia="pl-PL"/>
        </w:rPr>
        <w:tab/>
        <w:t xml:space="preserve"> W szczególnie uzasadnionych przypadkach Zarząd Giełdy może zawiesić na czas określony zakres zleceń maklerskich przyjmowanych do realizacji na giełdzie, jak również dodatkowych oznaczeń, rodzajów ważności  lub dodatkowych warunków realizacji tych zleceń.   </w:t>
      </w:r>
    </w:p>
    <w:p w14:paraId="5BA3CA19"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11.</w:t>
      </w:r>
      <w:r w:rsidRPr="00B9694C">
        <w:rPr>
          <w:rFonts w:ascii="Verdana" w:eastAsia="Times New Roman" w:hAnsi="Verdana"/>
          <w:bCs/>
          <w:sz w:val="20"/>
          <w:szCs w:val="20"/>
          <w:lang w:eastAsia="pl-PL"/>
        </w:rPr>
        <w:tab/>
        <w:t xml:space="preserve"> W szczególnie uzasadnionych przypadkach Zarząd Giełdy może unieważnić przekazane na giełdę, a niezrealizowane zlecenia maklerskie.</w:t>
      </w:r>
    </w:p>
    <w:p w14:paraId="358D00FE"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12.</w:t>
      </w:r>
      <w:r w:rsidRPr="00B9694C">
        <w:rPr>
          <w:rFonts w:ascii="Verdana" w:eastAsia="Times New Roman" w:hAnsi="Verdana"/>
          <w:bCs/>
          <w:sz w:val="20"/>
          <w:szCs w:val="20"/>
          <w:lang w:eastAsia="pl-PL"/>
        </w:rPr>
        <w:tab/>
        <w:t xml:space="preserve"> Z chwilą ogłoszenia zawieszenia obrotu wstrzymywane jest zawieranie transakcji, przy czym zlecenia maklerskie mogą być przyjmowane, modyfikowane i anulowane, o ile z przepisów Regulaminu Giełdy, Szczegółowych Zasad Obrotu Giełdowego lub decyzji o zawieszeniu nie wynika inaczej. </w:t>
      </w:r>
    </w:p>
    <w:p w14:paraId="7D6BD6ED" w14:textId="425488F9"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210</w:t>
      </w:r>
    </w:p>
    <w:p w14:paraId="2D214D51"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Giełda na koniec każdej sesji giełdowej oblicza wskaźniki niewykonanych zleceń do liczby transakcji, zgodnie z zasadami i metodami określonymi w art. 3 Rozporządzenia delegowanego Komisji (UE) 2017/566.</w:t>
      </w:r>
    </w:p>
    <w:p w14:paraId="719FE2C8"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Do końca każdego roku kalendarzowego Giełda podaje do wiadomości uczestników obrotu maksymalne wielkości wskaźników, o których mowa w ust. 1, obowiązujące na giełdzie w kolejnym roku kalendarzowym, z zastrzeżeniem ust. 3. </w:t>
      </w:r>
    </w:p>
    <w:p w14:paraId="1DCC0201"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W uzasadnionych przypadkach Giełda może dokonać zmiany maksymalnych wielkości wskaźników, o których mowa w ust. 1, w trakcie trwania danego roku kalendarzowego, z zastrzeżeniem, że informacja o ich zmianie powinna zostać podana do wiadomości uczestników obrotu co najmniej na 3 miesiące przed ich wejściem w życie.</w:t>
      </w:r>
    </w:p>
    <w:p w14:paraId="367590D8" w14:textId="77777777" w:rsidR="00F20DBE" w:rsidRPr="00B9694C" w:rsidRDefault="00F20DBE" w:rsidP="00A07044">
      <w:pPr>
        <w:tabs>
          <w:tab w:val="left" w:pos="426"/>
        </w:tabs>
        <w:spacing w:after="24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Przekroczenie maksymalnych wielkości wskaźników, o których mowa w ust. 1,  skutkuje obowiązkiem uiszczenia przez danego członka giełdy dodatkowej opłaty giełdowej, o ile przepisy Regulaminu Giełdy taką opłatę przewidują.</w:t>
      </w:r>
    </w:p>
    <w:p w14:paraId="2BB3D00F" w14:textId="77777777" w:rsidR="00F20DBE" w:rsidRPr="00B9694C" w:rsidRDefault="00F20DBE" w:rsidP="008F2C31">
      <w:pPr>
        <w:keepNext/>
        <w:spacing w:after="120" w:line="360" w:lineRule="auto"/>
        <w:jc w:val="center"/>
        <w:outlineLvl w:val="1"/>
        <w:rPr>
          <w:rFonts w:ascii="Verdana" w:eastAsia="Times New Roman" w:hAnsi="Verdana"/>
          <w:bCs/>
          <w:iCs/>
          <w:sz w:val="20"/>
          <w:szCs w:val="24"/>
          <w:lang w:eastAsia="pl-PL"/>
        </w:rPr>
      </w:pPr>
      <w:bookmarkStart w:id="11" w:name="_Toc195182722"/>
      <w:r w:rsidRPr="00B9694C">
        <w:rPr>
          <w:rFonts w:ascii="Verdana" w:eastAsia="Times New Roman" w:hAnsi="Verdana"/>
          <w:bCs/>
          <w:iCs/>
          <w:sz w:val="20"/>
          <w:szCs w:val="24"/>
          <w:lang w:eastAsia="pl-PL"/>
        </w:rPr>
        <w:t>Oddział 3</w:t>
      </w:r>
      <w:bookmarkEnd w:id="11"/>
      <w:r w:rsidRPr="00B9694C">
        <w:rPr>
          <w:rFonts w:ascii="Verdana" w:eastAsia="Times New Roman" w:hAnsi="Verdana"/>
          <w:bCs/>
          <w:iCs/>
          <w:sz w:val="20"/>
          <w:szCs w:val="24"/>
          <w:lang w:eastAsia="pl-PL"/>
        </w:rPr>
        <w:t xml:space="preserve"> </w:t>
      </w:r>
    </w:p>
    <w:p w14:paraId="2C418EB1" w14:textId="77777777" w:rsidR="00F20DBE" w:rsidRPr="00B9694C" w:rsidRDefault="00F20DBE" w:rsidP="00197316">
      <w:pPr>
        <w:keepNext/>
        <w:spacing w:after="240" w:line="360" w:lineRule="auto"/>
        <w:jc w:val="center"/>
        <w:outlineLvl w:val="1"/>
        <w:rPr>
          <w:rFonts w:ascii="Verdana" w:eastAsia="Times New Roman" w:hAnsi="Verdana"/>
          <w:bCs/>
          <w:iCs/>
          <w:sz w:val="20"/>
          <w:szCs w:val="24"/>
          <w:lang w:eastAsia="pl-PL"/>
        </w:rPr>
      </w:pPr>
      <w:bookmarkStart w:id="12" w:name="_Toc195182723"/>
      <w:r w:rsidRPr="00B9694C">
        <w:rPr>
          <w:rFonts w:ascii="Verdana" w:eastAsia="Times New Roman" w:hAnsi="Verdana"/>
          <w:bCs/>
          <w:iCs/>
          <w:sz w:val="20"/>
          <w:szCs w:val="24"/>
          <w:lang w:eastAsia="pl-PL"/>
        </w:rPr>
        <w:t>Anulowanie transakcji giełdowych</w:t>
      </w:r>
      <w:bookmarkEnd w:id="12"/>
    </w:p>
    <w:p w14:paraId="63EF42CA" w14:textId="3E738AE7"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211</w:t>
      </w:r>
    </w:p>
    <w:p w14:paraId="6CE22210"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Transakcja giełdowa może zostać anulowana, jeżeli została zawarta na podstawie błędnie sporządzonego zlecenia maklerskiego przekazanego przez członka giełdy, lub </w:t>
      </w:r>
      <w:r w:rsidRPr="00B9694C">
        <w:rPr>
          <w:rFonts w:ascii="Verdana" w:eastAsia="Times New Roman" w:hAnsi="Verdana"/>
          <w:bCs/>
          <w:sz w:val="20"/>
          <w:szCs w:val="20"/>
          <w:lang w:eastAsia="pl-PL"/>
        </w:rPr>
        <w:lastRenderedPageBreak/>
        <w:t>odpowiednio przekazanego przez jego klienta korzystającego z dostępu sponsorowanego. Przez błędnie sporządzone zlecenie maklerskie rozumie się zlecenie, w którym został błędnie wprowadzony limit ceny, wolumen, rodzaj oferty lub wskazanie instrumentu finansowego, którego zlecenie dotyczy.</w:t>
      </w:r>
    </w:p>
    <w:p w14:paraId="3A41A21E"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Anulowanie transakcji oznacza uznanie transakcji za niezawartą oraz unieważnienie zleceń maklerskich, które były jej podstawą.</w:t>
      </w:r>
    </w:p>
    <w:p w14:paraId="02F53EBB" w14:textId="28501981"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212</w:t>
      </w:r>
    </w:p>
    <w:p w14:paraId="157439A5" w14:textId="2CE651AE"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1. Wyrażenie zgody na anulowanie transakcji zawartej na podstawie błędnie sporządzonego zlecenia skutkuje anulowaniem wszystkich transakcji giełdowych, których przedmiotem jest dany instrument finansowy, zawartych od momentu wprowadzenia do systemu informatycznego giełdy błędnie sporządzonego zlecenia maklerskiego, a w przypadku zleceń STOP , od momentu ujawnienia zlecenia </w:t>
      </w:r>
      <w:r w:rsidR="00197316"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 xml:space="preserve">w arkuszu zleceń,  do momentu przekazania członkom giełdy przez przewodniczącego sesji informacji o złożeniu wniosku, o którym mowa w § 213 ust. 1 pkt. 1), </w:t>
      </w:r>
      <w:r w:rsidR="00197316"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z zastrzeżeniem ust. 2 i 3.</w:t>
      </w:r>
    </w:p>
    <w:p w14:paraId="26D41AC7"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W przypadku anulowania danej transakcji pakietowej anulowaniu ulega wyłącznie ta transakcja.</w:t>
      </w:r>
    </w:p>
    <w:p w14:paraId="321418BD"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Wyrażenie zgody na anulowanie danej transakcji pakietowej nie powoduje anulowania innych transakcji zawartych na danym instrumencie finansowym.</w:t>
      </w:r>
    </w:p>
    <w:p w14:paraId="4805D956"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W przypadku, gdy anulowanie dotyczy transakcji zawartej na podstawie zlecenia maklerskiego uwzględnionego przy określaniu kursu otwarcia, kursu zamknięcia, kursu jednolitego lub kursu wyznaczonego w wyniku równoważenia, Zarząd Giełdy lub przewodniczący sesji unieważnia także ten kurs oraz określa dalszy tok postępowania.</w:t>
      </w:r>
    </w:p>
    <w:p w14:paraId="236F8772" w14:textId="6E7FA9A2"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213</w:t>
      </w:r>
    </w:p>
    <w:p w14:paraId="08ABD3AB"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Decyzję o wyrażeniu zgody na anulowanie transakcji giełdowej zawartej na podstawie błędnie sporządzonego zlecenia maklerskiego podejmuje przewodniczący sesji, po spełnieniu łącznie następujących warunków, z zastrzeżeniem ust. 4 i 5:</w:t>
      </w:r>
    </w:p>
    <w:p w14:paraId="42E403E3"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otrzymania wniosku członka giełdy o anulowanie transakcji zawartej na podstawie błędnie sporządzonego zlecenia maklerskiego zawierającego oświadczenie członka giełdy o popełnionym błędzie - w imieniu członka giełdy wniosek składa makler nadzorujący; w przypadku wniosku o anulowanie transakcji na podstawie  błędnie sporządzonego zlecenia maklerskiego klienta </w:t>
      </w:r>
      <w:r w:rsidRPr="00B9694C">
        <w:rPr>
          <w:rFonts w:ascii="Verdana" w:eastAsia="Times New Roman" w:hAnsi="Verdana"/>
          <w:bCs/>
          <w:sz w:val="20"/>
          <w:szCs w:val="20"/>
          <w:lang w:eastAsia="pl-PL"/>
        </w:rPr>
        <w:lastRenderedPageBreak/>
        <w:t>korzystającego z dostępu sponsorowanego wniosek członka giełdy zawiera dodatkowo oświadczenie tego klienta o popełnionym błędzie,</w:t>
      </w:r>
    </w:p>
    <w:p w14:paraId="40760138"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przekroczenia przez kurs transakcji zawartej na podstawie błędnego zlecenia maklerskiego lub zlecenia z limitem aktywacji, którego aktywacja nastąpiła w wyniku realizacji błędnego zlecenia, przedziału zmiany wahań kursów, określonego przez Zarząd Giełdy, z którego transakcje giełdowe nie podlegają anulowaniu,</w:t>
      </w:r>
    </w:p>
    <w:p w14:paraId="0A198E73" w14:textId="7F61903E"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wyrażenia zgody, z zastrzeżeniem ust. 2 i 3, na anulowanie wszystkich transakcji, o których mowa w § 212 ust. 1, przez więcej niż połowę członków giełdy będących stronami transakcji podlegających anulowaniu, jeżeli przedmiotem transakcji tych członków giełdy jest liczba instrumentów finansowych stanowiących co najmniej 90 % całkowitego wolumenu transakcji podlegających anulowaniu (przez całkowity wolumen transakcji rozumie się sumę liczby instrumentów finansowych, będących przedmiotem wszystkich podlegających anulowaniu transakcji, pomnożoną przez dwa). W imieniu członka giełdy zgodę wyraża albo odmawia jej wyrażenia makler nadzorujący.</w:t>
      </w:r>
    </w:p>
    <w:p w14:paraId="117A81BC" w14:textId="4E98EC7D"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W przypadku, o którym mowa w § 212 ust. 4 zgoda na anulowanie transakcji musi być wyrażona przez wszystkich członków giełdy, którzy zawarli transakcje, na podstawie zleceń uwzględnionych przy określaniu odpowiednio kursu otwarcia, kursu zamknięcia, kursu jednolitego lub kursu wyznaczonego w wyniku równoważenia.</w:t>
      </w:r>
    </w:p>
    <w:p w14:paraId="23CFC65E"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 xml:space="preserve">W przypadku transakcji pakietowych nie stosuje się warunku, o którym mowa </w:t>
      </w:r>
      <w:r w:rsidRPr="00B9694C">
        <w:rPr>
          <w:rFonts w:ascii="Verdana" w:eastAsia="Times New Roman" w:hAnsi="Verdana"/>
          <w:bCs/>
          <w:sz w:val="20"/>
          <w:szCs w:val="20"/>
          <w:lang w:eastAsia="pl-PL"/>
        </w:rPr>
        <w:br/>
        <w:t>w ust. 1 pkt 2), a zgoda określona w ust. 1 pkt 3) musi być wyrażona przez drugą stronę transakcji.</w:t>
      </w:r>
    </w:p>
    <w:p w14:paraId="74F9B90B"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W szczególnie uzasadnionych przypadkach pomimo spełnienia warunków wskazanych w ust. 1, przewodniczący sesji może odmówić wyrażenia zgody na anulowanie transakcji.</w:t>
      </w:r>
    </w:p>
    <w:p w14:paraId="2B3CE457"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5.</w:t>
      </w:r>
      <w:r w:rsidRPr="00B9694C">
        <w:rPr>
          <w:rFonts w:ascii="Verdana" w:eastAsia="Times New Roman" w:hAnsi="Verdana"/>
          <w:bCs/>
          <w:sz w:val="20"/>
          <w:szCs w:val="20"/>
          <w:lang w:eastAsia="pl-PL"/>
        </w:rPr>
        <w:tab/>
        <w:t xml:space="preserve">W szczególnie uzasadnionych przypadkach Zarząd Giełdy, na wniosek członka giełdy, może postanowić o anulowaniu transakcji bez spełnienia warunków, o których mowa w ust. 1 pkt 3) oraz ust. 2. </w:t>
      </w:r>
    </w:p>
    <w:p w14:paraId="5A10B57F" w14:textId="23AEA882"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214</w:t>
      </w:r>
    </w:p>
    <w:p w14:paraId="4E0FA573" w14:textId="0D3E0824"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Wniosek, o którym mowa § 213 ust. 1 pkt. 1) musi być przekazany w ciągu 15 minut od momentu zawarcia pierwszej transakcji na podstawie błędnie sporządzonego zlecenia maklerskiego. </w:t>
      </w:r>
    </w:p>
    <w:p w14:paraId="494AFE39" w14:textId="4F599FD9"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2.</w:t>
      </w:r>
      <w:r w:rsidRPr="00B9694C">
        <w:rPr>
          <w:rFonts w:ascii="Verdana" w:eastAsia="Times New Roman" w:hAnsi="Verdana"/>
          <w:bCs/>
          <w:sz w:val="20"/>
          <w:szCs w:val="20"/>
          <w:lang w:eastAsia="pl-PL"/>
        </w:rPr>
        <w:tab/>
        <w:t>Wniosek, o którym mowa w § 213 ust. 1 pkt. 1) złożony w przypadku transakcji, dla których karty umowy zostały przekazane do rozrachunku do Krajowego Depozytu, zostaje odrzucony.</w:t>
      </w:r>
    </w:p>
    <w:p w14:paraId="5D07BB8E" w14:textId="2AB3DC4B" w:rsidR="00F20DBE" w:rsidRPr="00B9694C" w:rsidRDefault="00F20DBE" w:rsidP="00197316">
      <w:pPr>
        <w:tabs>
          <w:tab w:val="left" w:pos="426"/>
        </w:tabs>
        <w:spacing w:after="24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 xml:space="preserve">Członek giełdy składający wniosek, o którym mowa w § 213 ust. 1 pkt. 1) zobowiązany jest do przekazania Giełdzie w dniu złożenia wniosku wyjaśnienia przyczyn i okoliczności przekazania, odpowiednio przez członka giełdy lub jego klienta korzystającego z dostępu sponsorowanego, błędnego zlecenia maklerskiego. Wyjaśnienie sporządzone zostaje w formie pisemnej przez maklera nadzorującego. </w:t>
      </w:r>
    </w:p>
    <w:p w14:paraId="0CB3112D" w14:textId="36CB798F"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215</w:t>
      </w:r>
    </w:p>
    <w:p w14:paraId="4CA6B5FA" w14:textId="3A67B626"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Jeżeli wniosek, o którym mowa w § 213 ust. 1 pkt 1) nie został odrzucony to przewodniczący sesji nie później niż 20 minut po otrzymaniu wniosku przekazuje informację o nim do publicznej wiadomości. </w:t>
      </w:r>
    </w:p>
    <w:p w14:paraId="32A00E5D" w14:textId="3E22BCD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Przewodniczący sesji może zawiesić obrót instrumentem finansowym, którego dotyczy wniosek określony w § 213 ust. 1 pkt. 1) na okres niezbędny do przygotowania informacji, o której mowa w ust. 1.</w:t>
      </w:r>
    </w:p>
    <w:p w14:paraId="4153D7C2" w14:textId="0CC4B32C"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216</w:t>
      </w:r>
    </w:p>
    <w:p w14:paraId="4888FC60" w14:textId="4ED0EF76"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Z zastrzeżeniem § 213 ust. 5, każdy członek giełdy, który był stroną transakcji, o których mowa w § 212 ust. 1, zobowiązany jest do przekazania informacji przewodniczącemu sesji o wyrażeniu przez siebie zgody na anulowanie tej transakcji albo odmowie wyrażenia takiej zgody, w terminie 30 minut od momentu przekazania informacji, o której mowa w § 215 ust. 1. W szczególnie uzasadnionych przypadkach przewodniczący sesji może wydłużyć termin przekazania takiej informacji przez członków giełdy. </w:t>
      </w:r>
    </w:p>
    <w:p w14:paraId="4A46D2FB" w14:textId="43A08004"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W przypadku gdy członek giełdy składa wniosek o anulowanie transakcji, o którym mowa w § 213 ust. 1 pkt 1, uznaje się, że zarówno on, jak i jego klient korzystający z dostępu sponsorowanego, który sporządził błędnie zlecenie maklerskie, wyrazili zgodę na anulowanie tej transakcji z momentem złożenia tego wniosku.</w:t>
      </w:r>
    </w:p>
    <w:p w14:paraId="1A18B470" w14:textId="4989FCE0"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217</w:t>
      </w:r>
    </w:p>
    <w:p w14:paraId="40CEEA94" w14:textId="35824BB8"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Decyzja o anulowaniu transakcji podejmowana jest przez przewodniczącego sesji w ciągu 10 minut od uzyskania zgody, o której mowa w § 213 ust. 1 pkt 3), a w przypadku, o którym mowa w § 213 ust. 5, decyzja podejmowana jest przez  Zarząd Giełdy w ciągu 60 minut od złożenia wniosku, o którym mowa w § 214 </w:t>
      </w:r>
      <w:r w:rsidR="00E724F9"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 xml:space="preserve">ust. 1. </w:t>
      </w:r>
    </w:p>
    <w:p w14:paraId="5D0A0AF4" w14:textId="16A77BE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2.</w:t>
      </w:r>
      <w:r w:rsidRPr="00B9694C">
        <w:rPr>
          <w:rFonts w:ascii="Verdana" w:eastAsia="Times New Roman" w:hAnsi="Verdana"/>
          <w:bCs/>
          <w:sz w:val="20"/>
          <w:szCs w:val="20"/>
          <w:lang w:eastAsia="pl-PL"/>
        </w:rPr>
        <w:tab/>
        <w:t xml:space="preserve">W przypadku upływu terminu, określonego w § 216 ust. 1 i nieprzekazaniu przez członków giełdy zgody, o której mowa w § 213 ust. 1 pkt 3) lub ust. 2 lub ust. 3 przewodniczący sesji podejmuje decyzję o niewyrażeniu zgody na anulowanie transakcji. </w:t>
      </w:r>
    </w:p>
    <w:p w14:paraId="3E65F89B" w14:textId="56737B82"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218</w:t>
      </w:r>
    </w:p>
    <w:p w14:paraId="68FF2746" w14:textId="481B67A1"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Przewodniczący sesji przekazuje niezwłocznie do publicznej wiadomości informację o podjętej decyzji, o której mowa w § 217 lub w § 213 ust. 4.</w:t>
      </w:r>
    </w:p>
    <w:p w14:paraId="1F92A7E3" w14:textId="2CDD3BD8"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Giełda przekazuje KNF w każdym przypadku informację o otrzymaniu wniosku </w:t>
      </w:r>
      <w:r w:rsidRPr="00B9694C">
        <w:rPr>
          <w:rFonts w:ascii="Verdana" w:eastAsia="Times New Roman" w:hAnsi="Verdana"/>
          <w:bCs/>
          <w:sz w:val="20"/>
          <w:szCs w:val="20"/>
          <w:lang w:eastAsia="pl-PL"/>
        </w:rPr>
        <w:br/>
        <w:t xml:space="preserve">o anulowanie transakcji oraz kopię wyjaśnień członka giełdy, o których mowa w § 214 ust. 3. </w:t>
      </w:r>
    </w:p>
    <w:p w14:paraId="583F61D1" w14:textId="4552F755"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219</w:t>
      </w:r>
    </w:p>
    <w:p w14:paraId="12986B2A" w14:textId="0F319432"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Zarząd Giełdy określa w Szczegółowych Zasadach  Obrotu Giełdowego szczegółowe warunki i tryb anulowania transakcji giełdowych, w szczególności przedział zmiany wahań kursów, o którym mowa w § 213 ust. 1 pkt 2), treść wniosku o anulowanie transakcji, tryb wyrażania zgody przez członków giełdy, lub odpowiednio ich klientów korzystających z dostępu sponsorowanego, na anulowanie transakcji oraz zakres informacji przekazywanych w związku z anulowaniem transakcji.</w:t>
      </w:r>
    </w:p>
    <w:p w14:paraId="7C53F4BC" w14:textId="0EED095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Anulowaniu nie mogą podlegać transakcje odkupu lub odsprzedaży, transakcje pakietowe z dniem rozliczenia ustalonym na dzień zawarcia transakcji oraz transakcje pakietowe zawierane poza godzinami sesji giełdowych.</w:t>
      </w:r>
    </w:p>
    <w:p w14:paraId="3BE0BF44" w14:textId="77777777" w:rsidR="00F20DBE" w:rsidRPr="00B9694C" w:rsidRDefault="00F20DBE" w:rsidP="008F2C31">
      <w:pPr>
        <w:spacing w:after="120" w:line="360" w:lineRule="auto"/>
        <w:jc w:val="both"/>
        <w:rPr>
          <w:rFonts w:ascii="Verdana" w:eastAsia="Times New Roman" w:hAnsi="Verdana"/>
          <w:bCs/>
          <w:sz w:val="20"/>
          <w:szCs w:val="20"/>
          <w:lang w:eastAsia="pl-PL"/>
        </w:rPr>
      </w:pPr>
    </w:p>
    <w:p w14:paraId="38166DFE" w14:textId="77777777" w:rsidR="00F20DBE" w:rsidRPr="00B9694C" w:rsidRDefault="00F20DBE" w:rsidP="008F2C31">
      <w:pPr>
        <w:keepNext/>
        <w:spacing w:after="120" w:line="360" w:lineRule="auto"/>
        <w:jc w:val="center"/>
        <w:outlineLvl w:val="1"/>
        <w:rPr>
          <w:rFonts w:ascii="Verdana" w:eastAsia="Times New Roman" w:hAnsi="Verdana"/>
          <w:bCs/>
          <w:iCs/>
          <w:sz w:val="20"/>
          <w:szCs w:val="24"/>
          <w:lang w:eastAsia="pl-PL"/>
        </w:rPr>
      </w:pPr>
      <w:bookmarkStart w:id="13" w:name="_Toc195182724"/>
      <w:r w:rsidRPr="00B9694C">
        <w:rPr>
          <w:rFonts w:ascii="Verdana" w:eastAsia="Times New Roman" w:hAnsi="Verdana"/>
          <w:bCs/>
          <w:iCs/>
          <w:sz w:val="20"/>
          <w:szCs w:val="24"/>
          <w:lang w:eastAsia="pl-PL"/>
        </w:rPr>
        <w:t>Oddział 4</w:t>
      </w:r>
      <w:bookmarkEnd w:id="13"/>
    </w:p>
    <w:p w14:paraId="4F867E64" w14:textId="77777777" w:rsidR="00F20DBE" w:rsidRPr="00B9694C" w:rsidRDefault="00F20DBE" w:rsidP="008F2C31">
      <w:pPr>
        <w:keepNext/>
        <w:spacing w:after="120" w:line="360" w:lineRule="auto"/>
        <w:jc w:val="center"/>
        <w:outlineLvl w:val="1"/>
        <w:rPr>
          <w:rFonts w:ascii="Verdana" w:eastAsia="Times New Roman" w:hAnsi="Verdana"/>
          <w:bCs/>
          <w:iCs/>
          <w:sz w:val="20"/>
          <w:szCs w:val="24"/>
          <w:lang w:eastAsia="pl-PL"/>
        </w:rPr>
      </w:pPr>
      <w:bookmarkStart w:id="14" w:name="_Toc195182725"/>
      <w:r w:rsidRPr="00B9694C">
        <w:rPr>
          <w:rFonts w:ascii="Verdana" w:eastAsia="Times New Roman" w:hAnsi="Verdana"/>
          <w:bCs/>
          <w:iCs/>
          <w:sz w:val="20"/>
          <w:szCs w:val="24"/>
          <w:lang w:eastAsia="pl-PL"/>
        </w:rPr>
        <w:t>Korekta transakcji giełdowych</w:t>
      </w:r>
      <w:bookmarkEnd w:id="14"/>
      <w:r w:rsidRPr="00B9694C">
        <w:rPr>
          <w:rFonts w:ascii="Verdana" w:eastAsia="Times New Roman" w:hAnsi="Verdana"/>
          <w:bCs/>
          <w:iCs/>
          <w:sz w:val="20"/>
          <w:szCs w:val="24"/>
          <w:lang w:eastAsia="pl-PL"/>
        </w:rPr>
        <w:t xml:space="preserve"> </w:t>
      </w:r>
    </w:p>
    <w:p w14:paraId="558CD888" w14:textId="13FD3CED"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220</w:t>
      </w:r>
    </w:p>
    <w:p w14:paraId="175BB68C" w14:textId="368BF9D7" w:rsidR="00F20DBE" w:rsidRPr="00B9694C" w:rsidRDefault="00F20DBE" w:rsidP="008F2C31">
      <w:pPr>
        <w:tabs>
          <w:tab w:val="left" w:pos="567"/>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Transakcja pakietowa może podlegać korekcie na podstawie zgodnych wniosków członków giełdy będących stronami tej transakcji, na warunkach określonych w niniejszym Oddziale. </w:t>
      </w:r>
    </w:p>
    <w:p w14:paraId="3476C3DF" w14:textId="77777777" w:rsidR="00F20DBE" w:rsidRPr="00B9694C" w:rsidRDefault="00F20DBE" w:rsidP="008F2C31">
      <w:pPr>
        <w:tabs>
          <w:tab w:val="left" w:pos="567"/>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Korekcie transakcji nie mogą podlegać transakcje pakietowe z dniem rozliczenia ustalonym na dzień zawarcia transakcji, transakcje pakietowe zawierane po godz.  16:30 oraz transakcje pakietowe zawierane poza godzinami sesji giełdowych.</w:t>
      </w:r>
    </w:p>
    <w:p w14:paraId="4B44FF87"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3.</w:t>
      </w:r>
      <w:r w:rsidRPr="00B9694C">
        <w:rPr>
          <w:rFonts w:ascii="Verdana" w:eastAsia="Times New Roman" w:hAnsi="Verdana"/>
          <w:bCs/>
          <w:sz w:val="20"/>
          <w:szCs w:val="20"/>
          <w:lang w:eastAsia="pl-PL"/>
        </w:rPr>
        <w:tab/>
        <w:t>Dokonanie korekty transakcji pakietowej oznacza uznanie korygowanej transakcji za niezawartą oraz unieważnienie zleceń maklerskich, które były podstawą jej zawarcia.</w:t>
      </w:r>
    </w:p>
    <w:p w14:paraId="310BBCC1" w14:textId="56E63386"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221</w:t>
      </w:r>
    </w:p>
    <w:p w14:paraId="2A55025E" w14:textId="32FC7F8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Dokonanie korekty danej transakcji pakietowej polega na wprowadzeniu do systemu informatycznego giełdy, przez strony tej transakcji - za zgodą przewodniczącego sesji - nowych zleceń maklerskich o parametrach zgodnych z wnioskami stron korygowanej transakcji  i zawarciu na ich podstawie nowej transakcji pakietowej, a następnie usunięciu przez przewodniczącego sesji korygowanej transakcji z systemu informatycznego Giełdy. </w:t>
      </w:r>
    </w:p>
    <w:p w14:paraId="1A48AA37"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Zlecenia, o których mowa w ust. 1, mogą dotyczyć wyłącznie instrumentów finansowych oznaczonych tym samym kodem co instrumenty, których dotyczy korygowana transakcja. </w:t>
      </w:r>
    </w:p>
    <w:p w14:paraId="70B6C031" w14:textId="66259EF5"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222</w:t>
      </w:r>
    </w:p>
    <w:p w14:paraId="2DF80B31"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Decyzję o wyrażeniu zgody na korektę transakcji pakietowej podejmuje przewodniczący sesji, po spełnieniu warunków umożliwiających korektę, w tym otrzymania wniosków od członków giełdy będących stronami transakcji pakietowej podlegającej korekcie, zawierających ich zgodne oświadczenia woli co do zakresu korekty i wyjaśnienia przyczyn korekty. W imieniu członka giełdy wniosek składa makler nadzorujący. </w:t>
      </w:r>
    </w:p>
    <w:p w14:paraId="1FD22627"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W przypadku wniosku o korektę transakcji pakietowej zawartej na podstawie zlecenia maklerskiego klienta korzystającego z dostępu sponsorowanego, wniosek członka giełdy zawiera dodatkowo wyjaśnienie tego klienta co do przyczyn korekty. </w:t>
      </w:r>
    </w:p>
    <w:p w14:paraId="5C0E675B" w14:textId="46C6BA49"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223</w:t>
      </w:r>
    </w:p>
    <w:p w14:paraId="2F9FE8F3" w14:textId="0DF642EF"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Wnioski o skorygowanie transakcji pakietowej, o których mowa § 220 ust. 1, muszą zostać przekazane na giełdę w ciągu 15 minut od momentu zawarcia transakcji pakietowej, która ma podlegać korekcie.</w:t>
      </w:r>
    </w:p>
    <w:p w14:paraId="24B8726B" w14:textId="4B4BD8CE"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W uzasadnionych przypadkach Zarząd Giełdy, na podstawie zgodnych wniosków członków giełdy będących stronami danej transakcji, może postanowić o korekcie tej transakcji pomimo niespełnienia warunku, o którym mowa w ust. 1, z zastrzeżeniem </w:t>
      </w:r>
      <w:r w:rsidRPr="00B9694C">
        <w:rPr>
          <w:rFonts w:ascii="Verdana" w:eastAsia="Times New Roman" w:hAnsi="Verdana"/>
          <w:bCs/>
          <w:sz w:val="20"/>
          <w:szCs w:val="20"/>
          <w:lang w:eastAsia="pl-PL"/>
        </w:rPr>
        <w:br/>
        <w:t xml:space="preserve">§ 220 ust. 2. </w:t>
      </w:r>
    </w:p>
    <w:p w14:paraId="530A38EE" w14:textId="0E075F87"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224</w:t>
      </w:r>
    </w:p>
    <w:p w14:paraId="4A36D5EE" w14:textId="08C130A4"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Jeżeli wnioski, o których mowa w § 220 ust. 1, nie zostaną odrzucone ze względów formalnych, przewodniczący sesji nie później niż 5 minut po otrzymaniu </w:t>
      </w:r>
      <w:r w:rsidRPr="00B9694C">
        <w:rPr>
          <w:rFonts w:ascii="Verdana" w:eastAsia="Times New Roman" w:hAnsi="Verdana"/>
          <w:bCs/>
          <w:sz w:val="20"/>
          <w:szCs w:val="20"/>
          <w:lang w:eastAsia="pl-PL"/>
        </w:rPr>
        <w:lastRenderedPageBreak/>
        <w:t xml:space="preserve">drugiego z tych wniosków podejmuje decyzję w sprawie możliwości dokonania korekty transakcji. </w:t>
      </w:r>
    </w:p>
    <w:p w14:paraId="34B9F2A3" w14:textId="4BF98C10"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Wprowadzenie zleceń, o których mowa w § 221 ust. 1, do systemu informatycznego Giełdy powinno nastąpić w ciągu 15 minut od wyrażenia przez przewodniczącego sesji zgody na korektę, jednak nie później niż do godz. 17:05 w tym dniu.</w:t>
      </w:r>
    </w:p>
    <w:p w14:paraId="5C9E35A0" w14:textId="5AD1BD42"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225</w:t>
      </w:r>
    </w:p>
    <w:p w14:paraId="3C7C0FDF" w14:textId="45820A0A"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Giełda przekazuje KNF informację o otrzymaniu wniosków o korektę transakcji pakietowej, o dokonaniu albo odmowie dokonania tej korekty, jak również kopie wyjaśnień, o których mowa w § 222. </w:t>
      </w:r>
    </w:p>
    <w:p w14:paraId="7E79A231" w14:textId="6FDA5472"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226</w:t>
      </w:r>
    </w:p>
    <w:p w14:paraId="1B503D3F"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Zarząd Giełdy może określić w Szczegółowych Zasadach Obrotu Giełdowego szczegółowe warunki i tryb korekty transakcji pakietowej, w szczególności treść wniosku o dokonanie korekty takiej transakcji. </w:t>
      </w:r>
    </w:p>
    <w:p w14:paraId="704A4EB5" w14:textId="77777777" w:rsidR="00F20DBE" w:rsidRPr="00B9694C" w:rsidRDefault="00F20DBE" w:rsidP="008F2C31">
      <w:pPr>
        <w:spacing w:after="120" w:line="360" w:lineRule="auto"/>
        <w:jc w:val="both"/>
        <w:rPr>
          <w:rFonts w:ascii="Verdana" w:eastAsia="Times New Roman" w:hAnsi="Verdana"/>
          <w:bCs/>
          <w:sz w:val="20"/>
          <w:szCs w:val="20"/>
          <w:lang w:eastAsia="pl-PL"/>
        </w:rPr>
      </w:pPr>
    </w:p>
    <w:p w14:paraId="6DBA7820" w14:textId="77777777" w:rsidR="00F20DBE" w:rsidRPr="00B9694C" w:rsidRDefault="00F20DBE" w:rsidP="008F2C31">
      <w:pPr>
        <w:keepNext/>
        <w:spacing w:after="120" w:line="360" w:lineRule="auto"/>
        <w:jc w:val="center"/>
        <w:outlineLvl w:val="1"/>
        <w:rPr>
          <w:rFonts w:ascii="Verdana" w:eastAsia="Times New Roman" w:hAnsi="Verdana"/>
          <w:bCs/>
          <w:iCs/>
          <w:sz w:val="20"/>
          <w:szCs w:val="24"/>
          <w:lang w:eastAsia="pl-PL"/>
        </w:rPr>
      </w:pPr>
      <w:bookmarkStart w:id="15" w:name="_Toc195182726"/>
      <w:r w:rsidRPr="00B9694C">
        <w:rPr>
          <w:rFonts w:ascii="Verdana" w:eastAsia="Times New Roman" w:hAnsi="Verdana"/>
          <w:bCs/>
          <w:iCs/>
          <w:sz w:val="20"/>
          <w:szCs w:val="24"/>
          <w:lang w:eastAsia="pl-PL"/>
        </w:rPr>
        <w:t>Oddział 5</w:t>
      </w:r>
      <w:bookmarkEnd w:id="15"/>
    </w:p>
    <w:p w14:paraId="259F65ED" w14:textId="77777777" w:rsidR="00F20DBE" w:rsidRPr="00B9694C" w:rsidRDefault="00F20DBE" w:rsidP="00A07044">
      <w:pPr>
        <w:keepNext/>
        <w:spacing w:after="240" w:line="360" w:lineRule="auto"/>
        <w:jc w:val="center"/>
        <w:outlineLvl w:val="1"/>
        <w:rPr>
          <w:rFonts w:ascii="Verdana" w:eastAsia="Times New Roman" w:hAnsi="Verdana"/>
          <w:bCs/>
          <w:iCs/>
          <w:sz w:val="20"/>
          <w:szCs w:val="24"/>
          <w:lang w:eastAsia="pl-PL"/>
        </w:rPr>
      </w:pPr>
      <w:bookmarkStart w:id="16" w:name="_Toc195182727"/>
      <w:r w:rsidRPr="00B9694C">
        <w:rPr>
          <w:rFonts w:ascii="Verdana" w:eastAsia="Times New Roman" w:hAnsi="Verdana"/>
          <w:bCs/>
          <w:iCs/>
          <w:sz w:val="20"/>
          <w:szCs w:val="24"/>
          <w:lang w:eastAsia="pl-PL"/>
        </w:rPr>
        <w:t>Sesje giełdowe</w:t>
      </w:r>
      <w:bookmarkEnd w:id="16"/>
    </w:p>
    <w:p w14:paraId="3B8FE723" w14:textId="41B71C42"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227</w:t>
      </w:r>
    </w:p>
    <w:p w14:paraId="1AA2FE76"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Sesje giełdowe odbywają się regularnie od poniedziałku do piątku w godzinach 8.30 – 17.05, zgodnie ze szczegółowym harmonogramem określanym przez Zarząd Giełdy.  </w:t>
      </w:r>
    </w:p>
    <w:p w14:paraId="7A08B90C"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W szczególnie uzasadnionych przypadkach Zarząd Giełdy może na czas określony zmienić dni lub godziny odbywania sesji giełdowych oraz harmonogram notowań.</w:t>
      </w:r>
    </w:p>
    <w:p w14:paraId="6BE7EFA8" w14:textId="49C4D66F"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228</w:t>
      </w:r>
    </w:p>
    <w:p w14:paraId="3BE20268"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Zarząd Giełdy określa terminy, dni i harmonogram notowań instrumentów finansowych w Szczegółowych Zasadach Obrotu Giełdowego.</w:t>
      </w:r>
    </w:p>
    <w:p w14:paraId="68832BB7" w14:textId="77777777" w:rsidR="00F20DBE" w:rsidRPr="00B9694C" w:rsidRDefault="00F20DBE" w:rsidP="00197316">
      <w:pPr>
        <w:tabs>
          <w:tab w:val="left" w:pos="426"/>
        </w:tabs>
        <w:spacing w:after="24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Informacje, o których mowa w ust. 1, podawane są do wiadomości uczestników obrotu co najmniej na 2 tygodnie przed ich wejściem w życie. </w:t>
      </w:r>
    </w:p>
    <w:p w14:paraId="0B3106D1" w14:textId="47DEE3F3"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229</w:t>
      </w:r>
    </w:p>
    <w:p w14:paraId="72DF32A6" w14:textId="77777777" w:rsidR="00F20DBE" w:rsidRPr="00B9694C" w:rsidRDefault="00F20DBE" w:rsidP="00197316">
      <w:pPr>
        <w:spacing w:after="24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Zarząd Giełdy może odwołać sesję giełdową z ważnych powodów, z własnej inicjatywy lub na wniosek co najmniej 5 członków giełdy.</w:t>
      </w:r>
    </w:p>
    <w:p w14:paraId="77A70961" w14:textId="43313C8D"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 230</w:t>
      </w:r>
    </w:p>
    <w:p w14:paraId="5E1FD0D6"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Nadzór nad przebiegiem i porządkiem sesji giełdowej sprawuje przewodniczący sesji.</w:t>
      </w:r>
    </w:p>
    <w:p w14:paraId="059B92AA"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Przewodniczący sesji podejmuje również inne czynności dotyczące obrotu giełdowego, określone w Regulaminie Giełdy, Szczegółowych Zasadach Obrotu Giełdowego i innych przepisach giełdowych.</w:t>
      </w:r>
    </w:p>
    <w:p w14:paraId="3C562CF8"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Przewodniczącym sesji jest upoważniony przez Zarząd Giełdy pracownik Giełdy.</w:t>
      </w:r>
    </w:p>
    <w:p w14:paraId="5107FC30"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W uzasadnionych przypadkach sesję giełdową może prowadzić członek Zarządu Giełdy.</w:t>
      </w:r>
    </w:p>
    <w:p w14:paraId="3A628BF7" w14:textId="2432952F"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231</w:t>
      </w:r>
    </w:p>
    <w:p w14:paraId="71A043FE"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Otwarcie i zamknięcie sesji giełdowej oznajmia członek Zarządu Giełdy </w:t>
      </w:r>
    </w:p>
    <w:p w14:paraId="2C5D4922"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lub przewodniczący sesji w zwyczajowo przyjęty sposób.</w:t>
      </w:r>
    </w:p>
    <w:p w14:paraId="11CB5986"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Zarząd Giełdy lub przewodniczący sesji może przedłużyć czas wprowadzania zleceń maklerskich na sesję lub zawiesić ich przyjmowanie, opóźnić otwarcie lub przedłużyć sesję, jak również zawiesić obrót giełdowy lub przerwać sesję, jeżeli wymaga tego bezpieczeństwo  obrotu giełdowego lub interes jego uczestników.</w:t>
      </w:r>
    </w:p>
    <w:p w14:paraId="413617B0"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Przepisy ust. 2 stosuje się odpowiednio do obrotu poszczególnymi instrumentami finansowymi podczas danej sesji giełdowej, w szczególności w przypadku przekazania przez emitenta lub powzięcia w inny sposób informacji mogącej mieć wpływ na bezpieczeństwo obrotu giełdowego lub interes jego uczestników.</w:t>
      </w:r>
    </w:p>
    <w:p w14:paraId="533782A5" w14:textId="3DDA0569"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Giełda niezwłocznie informuje KNF o wszelkich istotnych zakłóceniach w przebiegu sesji giełdowej, jak również o każdym przypadku równoważenia, o którym mowa w § 244, dla instrumentów finansowych, dla których giełda jest istotnym rynkiem z punktu widzenia płynności  w rozumieniu art. 1 Rozporządzenia delegowanego Komisji (UE) 2017/570.</w:t>
      </w:r>
    </w:p>
    <w:p w14:paraId="139BC744" w14:textId="77777777" w:rsidR="00F20DBE" w:rsidRPr="00B9694C" w:rsidRDefault="00F20DBE" w:rsidP="00197316">
      <w:pPr>
        <w:tabs>
          <w:tab w:val="left" w:pos="284"/>
        </w:tabs>
        <w:spacing w:after="24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5.</w:t>
      </w:r>
      <w:r w:rsidRPr="00B9694C">
        <w:rPr>
          <w:rFonts w:ascii="Verdana" w:eastAsia="Times New Roman" w:hAnsi="Verdana"/>
          <w:bCs/>
          <w:sz w:val="20"/>
          <w:szCs w:val="20"/>
          <w:lang w:eastAsia="pl-PL"/>
        </w:rPr>
        <w:tab/>
        <w:t xml:space="preserve">Zarząd Giełdy może określić w Szczegółowych Zasadach Obrotu Giełdowego szczegółowe zasady działania w przypadkach, o których mowa w ust. 2 i 3.  </w:t>
      </w:r>
    </w:p>
    <w:p w14:paraId="5A382E94" w14:textId="21A34941"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232</w:t>
      </w:r>
    </w:p>
    <w:p w14:paraId="385FCA6B"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W przypadku powstania w czasie sesji giełdowej sporu związanego z jej przebiegiem i porządkiem, a wymagającego natychmiastowego rozpatrzenia, rozstrzyga go przewodniczący sesji.</w:t>
      </w:r>
    </w:p>
    <w:p w14:paraId="4DE53EDD"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Od rozstrzygnięcia, o którym mowa w ust. 1, nie przysługuje odwołanie.</w:t>
      </w:r>
    </w:p>
    <w:p w14:paraId="6EA995E0" w14:textId="1BB53064"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3.</w:t>
      </w:r>
      <w:r w:rsidRPr="00B9694C">
        <w:rPr>
          <w:rFonts w:ascii="Verdana" w:eastAsia="Times New Roman" w:hAnsi="Verdana"/>
          <w:bCs/>
          <w:sz w:val="20"/>
          <w:szCs w:val="20"/>
          <w:lang w:eastAsia="pl-PL"/>
        </w:rPr>
        <w:tab/>
        <w:t>Postanowienie ust. 2 nie narusza przepisów dotyczących Sądu Giełdowego.</w:t>
      </w:r>
    </w:p>
    <w:p w14:paraId="7AE79A4C" w14:textId="6FF58141"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233</w:t>
      </w:r>
    </w:p>
    <w:p w14:paraId="2217536B" w14:textId="46620A08"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1. </w:t>
      </w:r>
      <w:r w:rsidRPr="00B9694C">
        <w:rPr>
          <w:rFonts w:ascii="Verdana" w:eastAsia="Times New Roman" w:hAnsi="Verdana"/>
          <w:bCs/>
          <w:sz w:val="20"/>
          <w:szCs w:val="20"/>
          <w:lang w:eastAsia="pl-PL"/>
        </w:rPr>
        <w:tab/>
        <w:t>W wyjątkowych przypadkach, w szczególności w sytuacjach wskazanych w art. 18  ust. 2  lit. d)  Rozporządzenia delegowanego Komisji (UE) 2017/584, Zarząd Giełdy może unieważnić sesję giełdową lub też kursy poszczególnych instrumentów finansowych, niezwłocznie informując KNF, Krajowy Depozyt oraz członków giełdy.</w:t>
      </w:r>
    </w:p>
    <w:p w14:paraId="73E7E272"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Decyzję o unieważnieniu sesji lub kursów poszczególnych instrumentów finansowych, Zarząd Giełdy może podjąć nie później niż w ciągu 30 minut od zakończenia sesji giełdowej w danym dniu lub odpowiednio od zawarcia ostatniej transakcji giełdowej instrumentami finansowymi, których kurs podlega unieważnieniu.</w:t>
      </w:r>
    </w:p>
    <w:p w14:paraId="21E7208F"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3. Unieważnienie sesji giełdowej oznacza uznanie za niezawarte wszystkich transakcji giełdowych zawartych na danej sesji oraz unieważnienie wszystkich zleceń maklerskich, które były ich podstawą. </w:t>
      </w:r>
    </w:p>
    <w:p w14:paraId="3AD8CC37"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4. Unieważnienie kursów instrumentów finansowych oznacza uznanie za niezawarte wszystkich transakcji giełdowych tymi instrumentami finansowymi objętymi danym kodem, zawartych na danej sesji giełdowej w okresie wskazanym w decyzji </w:t>
      </w:r>
      <w:r w:rsidRPr="00B9694C">
        <w:rPr>
          <w:rFonts w:ascii="Verdana" w:eastAsia="Times New Roman" w:hAnsi="Verdana"/>
          <w:bCs/>
          <w:sz w:val="20"/>
          <w:szCs w:val="20"/>
          <w:lang w:eastAsia="pl-PL"/>
        </w:rPr>
        <w:br/>
        <w:t xml:space="preserve">o unieważnieniu, oraz unieważnienie wszystkich zleceń maklerskich, które były ich podstawą. </w:t>
      </w:r>
    </w:p>
    <w:p w14:paraId="2A1F31A6" w14:textId="377F0E71"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5. Zarząd Giełdy podejmując decyzję o unieważnieniu sesji lub kursów poszczególnych instrumentów finansowych określa jednocześnie dalszy tok postępowania w tej sprawie, w szczególności co do ważności przekazanych na giełdę a niezrealizowanych zleceń maklerskich oraz możliwości składania, modyfikowania i anulowania nowych zleceń maklerskich.</w:t>
      </w:r>
    </w:p>
    <w:p w14:paraId="09C074B7" w14:textId="629AF34E"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234</w:t>
      </w:r>
    </w:p>
    <w:p w14:paraId="374A47EE"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Informacje zawarte w dokumentacji sesji giełdowej nie podlegające publicznemu ujawnieniu mogą być udostępnione za zgodą Zarządu Giełdy jedynie upoważnionym pracownikom Giełdy oraz osobom upoważnionym do tego właściwymi przepisami prawa.</w:t>
      </w:r>
    </w:p>
    <w:p w14:paraId="37B638D3"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Zakres przekazywanych do publicznej wiadomości informacji dotyczących sesji giełdowej określa Zarząd Giełdy, z zastrzeżeniem przepisów § 171.</w:t>
      </w:r>
    </w:p>
    <w:p w14:paraId="64AEB571" w14:textId="7F373573"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235</w:t>
      </w:r>
    </w:p>
    <w:p w14:paraId="1D739222" w14:textId="657B80F3"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Zarząd Giełdy może udostępnić informacje o charakterze statystycznym zawarte </w:t>
      </w:r>
      <w:r w:rsidR="003B32C8"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w dokumentacji sesji giełdowej osobom innym niż określone w § 234.</w:t>
      </w:r>
    </w:p>
    <w:p w14:paraId="75B9F345" w14:textId="73B763DD"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 236</w:t>
      </w:r>
    </w:p>
    <w:p w14:paraId="79B6A4DC"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Na sesjach giełdowych notowania odbywają się w systemie:</w:t>
      </w:r>
    </w:p>
    <w:p w14:paraId="6EDF836E"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 notowań ciągłych, w tym w:</w:t>
      </w:r>
      <w:r w:rsidRPr="00B9694C">
        <w:rPr>
          <w:rFonts w:ascii="Verdana" w:eastAsia="Times New Roman" w:hAnsi="Verdana"/>
          <w:bCs/>
          <w:sz w:val="20"/>
          <w:szCs w:val="20"/>
          <w:lang w:eastAsia="pl-PL"/>
        </w:rPr>
        <w:tab/>
      </w:r>
    </w:p>
    <w:p w14:paraId="0FC20860" w14:textId="77777777" w:rsidR="00F20DBE" w:rsidRPr="00B9694C" w:rsidRDefault="00F20DBE" w:rsidP="008F2C31">
      <w:pPr>
        <w:spacing w:after="120" w:line="360" w:lineRule="auto"/>
        <w:ind w:firstLine="28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a)</w:t>
      </w:r>
      <w:r w:rsidRPr="00B9694C">
        <w:rPr>
          <w:rFonts w:ascii="Verdana" w:eastAsia="Times New Roman" w:hAnsi="Verdana"/>
          <w:bCs/>
          <w:sz w:val="20"/>
          <w:szCs w:val="20"/>
          <w:lang w:eastAsia="pl-PL"/>
        </w:rPr>
        <w:tab/>
        <w:t xml:space="preserve">systemie notowań ciągłych niebędącym systemem animatora rynku, </w:t>
      </w:r>
    </w:p>
    <w:p w14:paraId="21C816A1" w14:textId="77777777" w:rsidR="00F20DBE" w:rsidRPr="00B9694C" w:rsidRDefault="00F20DBE" w:rsidP="008F2C31">
      <w:pPr>
        <w:spacing w:after="120" w:line="360" w:lineRule="auto"/>
        <w:ind w:firstLine="28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b)</w:t>
      </w:r>
      <w:r w:rsidRPr="00B9694C">
        <w:rPr>
          <w:rFonts w:ascii="Verdana" w:eastAsia="Times New Roman" w:hAnsi="Verdana"/>
          <w:bCs/>
          <w:sz w:val="20"/>
          <w:szCs w:val="20"/>
          <w:lang w:eastAsia="pl-PL"/>
        </w:rPr>
        <w:tab/>
        <w:t>systemie animatora rynku:</w:t>
      </w:r>
    </w:p>
    <w:p w14:paraId="1418EA78" w14:textId="77777777" w:rsidR="00F20DBE" w:rsidRPr="00B9694C" w:rsidRDefault="00F20DBE" w:rsidP="00A07044">
      <w:pPr>
        <w:tabs>
          <w:tab w:val="left" w:pos="1134"/>
        </w:tabs>
        <w:spacing w:after="120" w:line="360" w:lineRule="auto"/>
        <w:ind w:left="708" w:firstLine="1"/>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w:t>
      </w:r>
      <w:r w:rsidRPr="00B9694C">
        <w:rPr>
          <w:rFonts w:ascii="Verdana" w:eastAsia="Times New Roman" w:hAnsi="Verdana"/>
          <w:bCs/>
          <w:sz w:val="20"/>
          <w:szCs w:val="20"/>
          <w:lang w:eastAsia="pl-PL"/>
        </w:rPr>
        <w:tab/>
        <w:t xml:space="preserve">z fazą notowań ciągłych w każdym dniu sesyjnym, </w:t>
      </w:r>
    </w:p>
    <w:p w14:paraId="1AE7B81E" w14:textId="77777777" w:rsidR="00F20DBE" w:rsidRPr="00B9694C" w:rsidRDefault="00F20DBE" w:rsidP="00A07044">
      <w:pPr>
        <w:tabs>
          <w:tab w:val="left" w:pos="1134"/>
        </w:tabs>
        <w:spacing w:after="120" w:line="360" w:lineRule="auto"/>
        <w:ind w:left="1134" w:hanging="425"/>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w:t>
      </w:r>
      <w:r w:rsidRPr="00B9694C">
        <w:rPr>
          <w:rFonts w:ascii="Verdana" w:eastAsia="Times New Roman" w:hAnsi="Verdana"/>
          <w:bCs/>
          <w:sz w:val="20"/>
          <w:szCs w:val="20"/>
          <w:lang w:eastAsia="pl-PL"/>
        </w:rPr>
        <w:tab/>
        <w:t>z fazą notowań ciągłych w wybranym dniu sesyjnym tygodnia kalendarzowego;</w:t>
      </w:r>
    </w:p>
    <w:p w14:paraId="77C1BFBA"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kursu jednolitego, w tym w:</w:t>
      </w:r>
    </w:p>
    <w:p w14:paraId="5EE53403"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a)</w:t>
      </w:r>
      <w:r w:rsidRPr="00B9694C">
        <w:rPr>
          <w:rFonts w:ascii="Verdana" w:eastAsia="Times New Roman" w:hAnsi="Verdana"/>
          <w:bCs/>
          <w:sz w:val="20"/>
          <w:szCs w:val="20"/>
          <w:lang w:eastAsia="pl-PL"/>
        </w:rPr>
        <w:tab/>
        <w:t xml:space="preserve">systemie z dwukrotnym określaniem kursu jednolitego w każdym dniu sesyjnym, zwanym dalej „systemem kursu jednolitego z dwukrotnym określaniem kursu jednolitego”, </w:t>
      </w:r>
    </w:p>
    <w:p w14:paraId="1A09313B"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b)</w:t>
      </w:r>
      <w:r w:rsidRPr="00B9694C">
        <w:rPr>
          <w:rFonts w:ascii="Verdana" w:eastAsia="Times New Roman" w:hAnsi="Verdana"/>
          <w:bCs/>
          <w:sz w:val="20"/>
          <w:szCs w:val="20"/>
          <w:lang w:eastAsia="pl-PL"/>
        </w:rPr>
        <w:tab/>
        <w:t>systemie z jednokrotnym określaniem kursu jednolitego w wybranym dniu sesyjnym tygodnia kalendarzowego, zwanym dalej „systemem kursu jednolitego z jednokrotnym określaniem kursu jednolitego”.</w:t>
      </w:r>
    </w:p>
    <w:p w14:paraId="6DB26B9D"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System notowań dla danego instrumentu finansowego określa Zarząd Giełdy lub upoważniony przez Zarząd Giełdy pracownik Giełdy z inicjatywy własnej lub na wniosek emitenta, pod warunkiem spełnienia określonych przez Zarząd Giełdy kryteriów kwalifikacyjnych, z zastrzeżeniem ust. 2a-2c.</w:t>
      </w:r>
    </w:p>
    <w:p w14:paraId="70D7554D"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2a. Instrumenty strukturyzowane, w stosunku do których zgodnie z właściwymi przepisami prawa istniał wymóg sporządzenia ostatecznych warunków/warunków końcowych, mogą być na wniosek ich emitenta, wyrażony we wniosku o wprowadzenie tych instrumentów do obrotu giełdowego, notowane w systemie animatora rynku z fazą notowań ciągłych w wybranym dniu sesyjnym tygodnia kalendarzowego, pod warunkiem że emitent w ostatecznych warunkach/warunkach końcowych tych instrumentów strukturyzowanych: </w:t>
      </w:r>
    </w:p>
    <w:p w14:paraId="0FF06123" w14:textId="77777777" w:rsidR="00F20DBE" w:rsidRPr="00B9694C" w:rsidRDefault="00F20DBE" w:rsidP="008F2C31">
      <w:pPr>
        <w:spacing w:after="120" w:line="360" w:lineRule="auto"/>
        <w:ind w:firstLine="14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1) wskaże zamiar ich notowania w tym systemie, oraz </w:t>
      </w:r>
    </w:p>
    <w:p w14:paraId="13CB406D" w14:textId="77777777" w:rsidR="00F20DBE" w:rsidRPr="00B9694C" w:rsidRDefault="00F20DBE" w:rsidP="008F2C31">
      <w:pPr>
        <w:spacing w:after="120" w:line="360" w:lineRule="auto"/>
        <w:ind w:firstLine="14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 uzasadni ten zamiar i wybór tego systemu notowań.</w:t>
      </w:r>
    </w:p>
    <w:p w14:paraId="77735EBA"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2b. Zarząd Giełdy nie wyraża zgody na notowanie instrumentów strukturyzowanych </w:t>
      </w:r>
      <w:r w:rsidRPr="00B9694C">
        <w:rPr>
          <w:rFonts w:ascii="Verdana" w:eastAsia="Times New Roman" w:hAnsi="Verdana"/>
          <w:bCs/>
          <w:sz w:val="20"/>
          <w:szCs w:val="20"/>
          <w:lang w:eastAsia="pl-PL"/>
        </w:rPr>
        <w:br/>
        <w:t xml:space="preserve">w systemie animatora rynku z fazą notowań ciągłych w wybranym dniu sesyjnym tygodnia kalendarzowego, jeżeli w ostatecznych warunkach/warunkach końcowych tych instrumentów strukturyzowanych emitent: </w:t>
      </w:r>
    </w:p>
    <w:p w14:paraId="2005EA34" w14:textId="77777777" w:rsidR="00F20DBE" w:rsidRPr="00B9694C" w:rsidRDefault="00F20DBE" w:rsidP="008F2C31">
      <w:pPr>
        <w:spacing w:after="120" w:line="360" w:lineRule="auto"/>
        <w:ind w:firstLine="14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1) nie wskaże zamiaru ich notowania w tym systemie, lub </w:t>
      </w:r>
    </w:p>
    <w:p w14:paraId="1DF67E45" w14:textId="77777777" w:rsidR="00F20DBE" w:rsidRPr="00B9694C" w:rsidRDefault="00F20DBE" w:rsidP="008F2C31">
      <w:pPr>
        <w:spacing w:after="120" w:line="360" w:lineRule="auto"/>
        <w:ind w:firstLine="14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2) nie uzasadni tego zamiaru i wyboru tego systemu notowań.</w:t>
      </w:r>
    </w:p>
    <w:p w14:paraId="1456EB72"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2c. Zarząd Giełdy, pomimo spełnienia przez emitenta wymogów określonych w ust. 2a, może nie wyrazić zgody na notowanie danych instrumentów strukturyzowanych w systemie animatora rynku z fazą notowań ciągłych w wybranym dniu sesyjnym tygodnia kalendarzowego jeżeli uzna, że zagrażałoby to bezpieczeństwu obrotu lub interesowi inwestorów.</w:t>
      </w:r>
    </w:p>
    <w:p w14:paraId="659327BD"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 xml:space="preserve">Zarząd Giełdy określa w Szczegółowych Zasadach  Obrotu Giełdowego zasady i kryteria podejmowania decyzji, o której mowa w ust. 2, z zastrzeżeniem ust. 4.   </w:t>
      </w:r>
    </w:p>
    <w:p w14:paraId="596867C2"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Instrumenty finansowe mogą być przedmiotem obrotu wyłącznie w jednym systemie notowań.</w:t>
      </w:r>
    </w:p>
    <w:p w14:paraId="15615F1C"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5.</w:t>
      </w:r>
      <w:r w:rsidRPr="00B9694C">
        <w:rPr>
          <w:rFonts w:ascii="Verdana" w:eastAsia="Times New Roman" w:hAnsi="Verdana"/>
          <w:bCs/>
          <w:sz w:val="20"/>
          <w:szCs w:val="20"/>
          <w:lang w:eastAsia="pl-PL"/>
        </w:rPr>
        <w:tab/>
        <w:t xml:space="preserve">W przypadku, gdy co innego nie wynika wprost z odrębnych przepisów giełdowych lub decyzji Zarządu Giełdy co do notowania danych instrumentów finansowych, uznaje się, że są one notowane: </w:t>
      </w:r>
    </w:p>
    <w:p w14:paraId="538A82A6" w14:textId="77777777" w:rsidR="00F20DBE" w:rsidRPr="00B9694C" w:rsidRDefault="00F20DBE" w:rsidP="008F2C31">
      <w:pPr>
        <w:spacing w:after="120" w:line="360" w:lineRule="auto"/>
        <w:ind w:firstLine="14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1)  w przypadku instrumentów zakwalifikowanych do systemu notowań ciągłych </w:t>
      </w:r>
    </w:p>
    <w:p w14:paraId="03C2ED1B" w14:textId="77777777" w:rsidR="00F20DBE" w:rsidRPr="00B9694C" w:rsidRDefault="00F20DBE" w:rsidP="008F2C31">
      <w:pPr>
        <w:spacing w:after="120" w:line="360" w:lineRule="auto"/>
        <w:ind w:left="708" w:firstLine="14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 w systemie notowań ciągłych niebędącym systemem animatora rynku, </w:t>
      </w:r>
      <w:r w:rsidRPr="00B9694C">
        <w:rPr>
          <w:rFonts w:ascii="Verdana" w:eastAsia="Times New Roman" w:hAnsi="Verdana"/>
          <w:bCs/>
          <w:sz w:val="20"/>
          <w:szCs w:val="20"/>
          <w:lang w:eastAsia="pl-PL"/>
        </w:rPr>
        <w:br/>
        <w:t xml:space="preserve">z zastrzeżeniem pkt 2); </w:t>
      </w:r>
    </w:p>
    <w:p w14:paraId="680ECD45" w14:textId="77777777" w:rsidR="00F20DBE" w:rsidRPr="00B9694C" w:rsidRDefault="00F20DBE" w:rsidP="008F2C31">
      <w:pPr>
        <w:spacing w:after="120" w:line="360" w:lineRule="auto"/>
        <w:ind w:firstLine="14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2)  w przypadku instrumentów zakwalifikowanych do systemu animatora rynku </w:t>
      </w:r>
    </w:p>
    <w:p w14:paraId="1AE5AD34" w14:textId="77777777" w:rsidR="00F20DBE" w:rsidRPr="00B9694C" w:rsidRDefault="00F20DBE" w:rsidP="008F2C31">
      <w:pPr>
        <w:spacing w:after="120" w:line="360" w:lineRule="auto"/>
        <w:ind w:firstLine="14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w systemie animatora rynku z fazą notowań ciągłych w każdym dniu sesyjnym;</w:t>
      </w:r>
    </w:p>
    <w:p w14:paraId="78327542" w14:textId="77777777" w:rsidR="00F20DBE" w:rsidRPr="00B9694C" w:rsidRDefault="00F20DBE" w:rsidP="008F2C31">
      <w:pPr>
        <w:spacing w:after="120" w:line="360" w:lineRule="auto"/>
        <w:ind w:firstLine="14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3)  w przypadku instrumentów zakwalifikowanych do systemu kursu jednolitego </w:t>
      </w:r>
    </w:p>
    <w:p w14:paraId="42C96F38" w14:textId="77777777" w:rsidR="00F20DBE" w:rsidRPr="00B9694C" w:rsidRDefault="00F20DBE" w:rsidP="003B32C8">
      <w:pPr>
        <w:spacing w:after="240" w:line="360" w:lineRule="auto"/>
        <w:ind w:firstLine="708"/>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w systemie kursu jednolitego z dwukrotnym określaniem kursu jednolitego.</w:t>
      </w:r>
    </w:p>
    <w:p w14:paraId="44BC9621" w14:textId="0E5D9944"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237</w:t>
      </w:r>
    </w:p>
    <w:p w14:paraId="11D84137"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W obrocie instrumentami finansowymi na sesjach giełdowych obowiązują ograniczenia wahań kursów. </w:t>
      </w:r>
    </w:p>
    <w:p w14:paraId="304A8A90" w14:textId="2838BC8E"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Z zastrzeżeniem ust. 3, podstawę dla ustalenia dopuszczalnych wahań kursów </w:t>
      </w:r>
      <w:r w:rsidR="003B32C8"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 xml:space="preserve">w danym systemie notowań stanowi kurs odniesienia określany zgodnie z przepisami </w:t>
      </w:r>
      <w:r w:rsidR="003B32C8"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 xml:space="preserve">§ 242 i § 250.    </w:t>
      </w:r>
    </w:p>
    <w:p w14:paraId="36B276E7"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 xml:space="preserve">W przypadku obrotu instrumentami finansowymi w systemie animatora rynku granice dopuszczalnych wahań  kursów  stanowią limity cen w zleceniach animatora rynku oraz limity cen określane przez Giełdę zgodnie z przepisami Szczegółowych Zasad Obrotu Giełdowego.  </w:t>
      </w:r>
    </w:p>
    <w:p w14:paraId="7788456B" w14:textId="0A1A60B4"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4.</w:t>
      </w:r>
      <w:r w:rsidRPr="00B9694C">
        <w:rPr>
          <w:rFonts w:ascii="Verdana" w:eastAsia="Times New Roman" w:hAnsi="Verdana"/>
          <w:bCs/>
          <w:sz w:val="20"/>
          <w:szCs w:val="20"/>
          <w:lang w:eastAsia="pl-PL"/>
        </w:rPr>
        <w:tab/>
        <w:t xml:space="preserve">Zarząd Giełdy określa w Szczegółowych Zasadach  Obrotu Giełdowego wysokość dopuszczalnych wahań kursów obowiązujących w określonym systemie notowań lub dla określonych instrumentów finansowych, z zastrzeżeniem przepisów § 242 i § 250.   </w:t>
      </w:r>
    </w:p>
    <w:p w14:paraId="41DC2157"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5.</w:t>
      </w:r>
      <w:r w:rsidRPr="00B9694C">
        <w:rPr>
          <w:rFonts w:ascii="Verdana" w:eastAsia="Times New Roman" w:hAnsi="Verdana"/>
          <w:bCs/>
          <w:sz w:val="20"/>
          <w:szCs w:val="20"/>
          <w:lang w:eastAsia="pl-PL"/>
        </w:rPr>
        <w:tab/>
        <w:t xml:space="preserve">W szczególnie uzasadnionych przypadkach Zarząd Giełdy mając na uwadze bezpieczeństwo obrotu lub interes jego uczestników może, na czas określony,  postanowić o zmianie wysokości, zawieszeniu lub zniesieniu ograniczeń wahań kursów dla wszystkich lub dla wybranych instrumentów finansowych lub w danym systemie notowań. Uchwała w tej sprawie jest podawana niezwłocznie do wiadomości uczestników obrotu.  </w:t>
      </w:r>
    </w:p>
    <w:p w14:paraId="34F7F008"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6.</w:t>
      </w:r>
      <w:r w:rsidRPr="00B9694C">
        <w:rPr>
          <w:rFonts w:ascii="Verdana" w:eastAsia="Times New Roman" w:hAnsi="Verdana"/>
          <w:bCs/>
          <w:sz w:val="20"/>
          <w:szCs w:val="20"/>
          <w:lang w:eastAsia="pl-PL"/>
        </w:rPr>
        <w:tab/>
        <w:t xml:space="preserve">W zakresie i na warunkach określonych w Szczegółowych Zasadach Obrotu Giełdowego przewodniczący sesji może w trakcie danej sesji giełdowej postanowić </w:t>
      </w:r>
      <w:r w:rsidRPr="00B9694C">
        <w:rPr>
          <w:rFonts w:ascii="Verdana" w:eastAsia="Times New Roman" w:hAnsi="Verdana"/>
          <w:bCs/>
          <w:sz w:val="20"/>
          <w:szCs w:val="20"/>
          <w:lang w:eastAsia="pl-PL"/>
        </w:rPr>
        <w:br/>
        <w:t xml:space="preserve">o zmianie wysokości, zawieszeniu lub zniesieniu ograniczeń wahań kursów dla wszystkich lub dla wybranych instrumentów finansowych lub w danym systemie notowań.  </w:t>
      </w:r>
    </w:p>
    <w:p w14:paraId="26C02C30" w14:textId="28143CEF"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238</w:t>
      </w:r>
    </w:p>
    <w:p w14:paraId="356BF9A4"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Kurs akcji notowanych na giełdzie określany jest w złotych lub innej walucie wymienialnej określonej przez Zarząd Giełdy dla danych akcji, zaś kurs dłużnych instrumentów finansowych w procentach ich wartości nominalnej - z dokładnością określoną przez Zarząd Giełdy w Szczegółowych Zasadach  Obrotu Giełdowego.  </w:t>
      </w:r>
    </w:p>
    <w:p w14:paraId="0A54D801"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1a. Kurs notowanych na giełdzie instrumentów finansowych może być określany </w:t>
      </w:r>
      <w:r w:rsidRPr="00B9694C">
        <w:rPr>
          <w:rFonts w:ascii="Verdana" w:eastAsia="Times New Roman" w:hAnsi="Verdana"/>
          <w:bCs/>
          <w:sz w:val="20"/>
          <w:szCs w:val="20"/>
          <w:lang w:eastAsia="pl-PL"/>
        </w:rPr>
        <w:br/>
        <w:t>z dokładnością do jednej dziesięciotysięcznej części danej waluty, z zastrzeżeniem że nie może być on niższy niż jeden grosz, a w przypadku określania kursu danego instrumentu w walucie innej niż złoty – niższy niż jedna setna części tej waluty.</w:t>
      </w:r>
    </w:p>
    <w:p w14:paraId="73EF6684"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Limit ceny w zleceniu maklerskim powinien być zgodny z obowiązującą dla danego instrumentu finansowego minimalną wielkością zmiany ceny (krokiem notowania),  określoną  przez  Zarząd Giełdy lub upoważnionego przez Zarząd Giełdy pracownika Giełdy, zgodnie z zasadami określonymi w Szczegółowych Zasadach Obrotu Giełdowego, z zastrzeżeniem ograniczeń wynikających z przepisów Rozporządzenia delegowanego Komisji (UE) 2017/588.</w:t>
      </w:r>
    </w:p>
    <w:p w14:paraId="423CD315"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Sposób określania kursu dla innych instrumentów finansowych notowanych na giełdzie oraz sposób podawania dokładności określania kursów i minimalnej wielkości zmiany ceny (kroku notowania) dla instrumentów finansowych notowanych na giełdzie określa Zarząd Giełdy w Szczegółowych Zasadach Obrotu Giełdowego.</w:t>
      </w:r>
    </w:p>
    <w:p w14:paraId="327AB3A8"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 xml:space="preserve">W przypadku gdy kurs danych papierów wartościowych został określony </w:t>
      </w:r>
      <w:r w:rsidRPr="00B9694C">
        <w:rPr>
          <w:rFonts w:ascii="Verdana" w:eastAsia="Times New Roman" w:hAnsi="Verdana"/>
          <w:bCs/>
          <w:sz w:val="20"/>
          <w:szCs w:val="20"/>
          <w:lang w:eastAsia="pl-PL"/>
        </w:rPr>
        <w:br/>
        <w:t xml:space="preserve">z dokładnością większą niż jedna setna części danej waluty notowania, wartość </w:t>
      </w:r>
      <w:r w:rsidRPr="00B9694C">
        <w:rPr>
          <w:rFonts w:ascii="Verdana" w:eastAsia="Times New Roman" w:hAnsi="Verdana"/>
          <w:bCs/>
          <w:sz w:val="20"/>
          <w:szCs w:val="20"/>
          <w:lang w:eastAsia="pl-PL"/>
        </w:rPr>
        <w:lastRenderedPageBreak/>
        <w:t xml:space="preserve">świadczenia pieniężnego wynikającego z transakcji giełdowej zawartej po tym kursie podlega zaokrągleniu do jednej setnej części tej waluty, zgodnie z następującymi zasadami:  </w:t>
      </w:r>
    </w:p>
    <w:p w14:paraId="284B0482"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w przypadku określenia kursu w złotych - końcówkę danej kwoty poniżej 0,5 grosza pomija się, a końcówkę równą lub wyższą niż 0,5 grosza zaokrągla się do jednego grosza,</w:t>
      </w:r>
    </w:p>
    <w:p w14:paraId="60F8A5D9" w14:textId="7CEB9F11"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w przypadku określenia kursu w walucie innej niż złoty - końcówkę danej kwoty poniżej 0,5 jednej setnej części danej waluty notowania pomija się, a końcówkę równą lub wyższą niż 0,5 jednej setnej części danej waluty notowania zaokrągla się do jednej setnej części tej waluty.</w:t>
      </w:r>
    </w:p>
    <w:p w14:paraId="3DFF5FA2"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5.</w:t>
      </w:r>
      <w:r w:rsidRPr="00B9694C">
        <w:rPr>
          <w:rFonts w:ascii="Verdana" w:eastAsia="Times New Roman" w:hAnsi="Verdana"/>
          <w:bCs/>
          <w:sz w:val="20"/>
          <w:szCs w:val="20"/>
          <w:lang w:eastAsia="pl-PL"/>
        </w:rPr>
        <w:tab/>
        <w:t>Ustalenie wartości świadczeń pieniężnych wynikających z transakcji giełdowych instrumentami pochodnymi następuje zgodnie z zasadami określonymi we właściwych warunkach obrotu oraz regulacjach KDPW_CCP S.A.</w:t>
      </w:r>
    </w:p>
    <w:p w14:paraId="09048F9D" w14:textId="77777777" w:rsidR="00F20DBE" w:rsidRPr="00B9694C" w:rsidRDefault="00F20DBE" w:rsidP="008F2C31">
      <w:pPr>
        <w:spacing w:after="120" w:line="360" w:lineRule="auto"/>
        <w:jc w:val="both"/>
        <w:rPr>
          <w:rFonts w:ascii="Verdana" w:eastAsia="Times New Roman" w:hAnsi="Verdana"/>
          <w:bCs/>
          <w:sz w:val="20"/>
          <w:szCs w:val="20"/>
          <w:lang w:eastAsia="pl-PL"/>
        </w:rPr>
      </w:pPr>
    </w:p>
    <w:p w14:paraId="0F0631A3" w14:textId="77777777" w:rsidR="00F20DBE" w:rsidRPr="00B9694C" w:rsidRDefault="00F20DBE" w:rsidP="008F2C31">
      <w:pPr>
        <w:keepNext/>
        <w:spacing w:after="120" w:line="360" w:lineRule="auto"/>
        <w:jc w:val="center"/>
        <w:outlineLvl w:val="1"/>
        <w:rPr>
          <w:rFonts w:ascii="Verdana" w:eastAsia="Times New Roman" w:hAnsi="Verdana"/>
          <w:bCs/>
          <w:iCs/>
          <w:sz w:val="20"/>
          <w:szCs w:val="24"/>
          <w:lang w:eastAsia="pl-PL"/>
        </w:rPr>
      </w:pPr>
      <w:bookmarkStart w:id="17" w:name="_Toc195182728"/>
      <w:r w:rsidRPr="00B9694C">
        <w:rPr>
          <w:rFonts w:ascii="Verdana" w:eastAsia="Times New Roman" w:hAnsi="Verdana"/>
          <w:bCs/>
          <w:iCs/>
          <w:sz w:val="20"/>
          <w:szCs w:val="24"/>
          <w:lang w:eastAsia="pl-PL"/>
        </w:rPr>
        <w:t>Oddział 6</w:t>
      </w:r>
      <w:bookmarkEnd w:id="17"/>
    </w:p>
    <w:p w14:paraId="7BAAE525" w14:textId="65622782" w:rsidR="00F20DBE" w:rsidRPr="00B9694C" w:rsidRDefault="00F20DBE" w:rsidP="003B32C8">
      <w:pPr>
        <w:keepNext/>
        <w:spacing w:after="240" w:line="360" w:lineRule="auto"/>
        <w:jc w:val="center"/>
        <w:outlineLvl w:val="1"/>
        <w:rPr>
          <w:rFonts w:ascii="Verdana" w:eastAsia="Times New Roman" w:hAnsi="Verdana"/>
          <w:bCs/>
          <w:iCs/>
          <w:sz w:val="20"/>
          <w:szCs w:val="24"/>
          <w:lang w:eastAsia="pl-PL"/>
        </w:rPr>
      </w:pPr>
      <w:bookmarkStart w:id="18" w:name="_Toc195182729"/>
      <w:r w:rsidRPr="00B9694C">
        <w:rPr>
          <w:rFonts w:ascii="Verdana" w:eastAsia="Times New Roman" w:hAnsi="Verdana"/>
          <w:bCs/>
          <w:iCs/>
          <w:sz w:val="20"/>
          <w:szCs w:val="24"/>
          <w:lang w:eastAsia="pl-PL"/>
        </w:rPr>
        <w:t>Notowania w systemie ciągłym (notowania ciągłe)</w:t>
      </w:r>
      <w:bookmarkEnd w:id="18"/>
    </w:p>
    <w:p w14:paraId="5138B24F" w14:textId="1898414F"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239</w:t>
      </w:r>
    </w:p>
    <w:p w14:paraId="071D70F2"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W systemie notowań ciągłych kurs otwarcia oraz kurs zamknięcia określany jest na podstawie następujących zleceń maklerskich, z zastrzeżeniem ust. 3:    </w:t>
      </w:r>
    </w:p>
    <w:p w14:paraId="0F82AB24"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 zleceń LIMIT,</w:t>
      </w:r>
    </w:p>
    <w:p w14:paraId="22EC3289"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 zleceń PKC,</w:t>
      </w:r>
    </w:p>
    <w:p w14:paraId="5A5B7CEC"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3) zleceń PCR.  </w:t>
      </w:r>
    </w:p>
    <w:p w14:paraId="02D44AB2" w14:textId="17F1C7F6"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Z zastrzeżeniem § 241 ust. 2 i 3, kurs otwarcia oraz kurs zamknięcia określany jest przy zastosowaniu kolejno następujących  zasad:</w:t>
      </w:r>
    </w:p>
    <w:p w14:paraId="254243CA"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maksymalizacji wolumenu obrotu,</w:t>
      </w:r>
    </w:p>
    <w:p w14:paraId="7A2F6DE7"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minimalizacji różnicy między liczbą instrumentów finansowych w zleceniach sprzedaży i zleceniach  kupna możliwych do zrealizowania po określonym kursie,</w:t>
      </w:r>
    </w:p>
    <w:p w14:paraId="08983FBE"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minimalizacji różnicy między kursem określanym a kursem odniesienia, a w systemie animatora rynku – między kursem określanym a połową sumy limitów cen stanowiących górne i dolne ograniczenie wahań kursów w tym systemie.</w:t>
      </w:r>
    </w:p>
    <w:p w14:paraId="53D20336"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3.</w:t>
      </w:r>
      <w:r w:rsidRPr="00B9694C">
        <w:rPr>
          <w:rFonts w:ascii="Verdana" w:eastAsia="Times New Roman" w:hAnsi="Verdana"/>
          <w:bCs/>
          <w:sz w:val="20"/>
          <w:szCs w:val="20"/>
          <w:lang w:eastAsia="pl-PL"/>
        </w:rPr>
        <w:tab/>
        <w:t xml:space="preserve">W systemie animatora rynku kurs otwarcia określany jest na podstawie następujących zleceń maklerskich: </w:t>
      </w:r>
    </w:p>
    <w:p w14:paraId="3AD20862"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zleceń LIMIT,</w:t>
      </w:r>
    </w:p>
    <w:p w14:paraId="2698624F"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zleceń PKC.</w:t>
      </w:r>
    </w:p>
    <w:p w14:paraId="3F0027D9" w14:textId="362914A5"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240</w:t>
      </w:r>
    </w:p>
    <w:p w14:paraId="04057DB0" w14:textId="77777777" w:rsidR="00F20DBE" w:rsidRPr="00B9694C" w:rsidRDefault="00F20DBE" w:rsidP="003B32C8">
      <w:pPr>
        <w:spacing w:after="24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Zarząd Giełdy określa szczegółowy tryb określania kursu otwarcia oraz kursu zamknięcia, jak również zasady realizacji zleceń biorących udział w ich określaniu.   </w:t>
      </w:r>
    </w:p>
    <w:p w14:paraId="61B371D9" w14:textId="668086BE"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241</w:t>
      </w:r>
    </w:p>
    <w:p w14:paraId="3C23726A"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Z chwilą ogłoszenia kursu otwarcia (zamknięcia) staje się on ceną, po której zostają zawarte transakcje giełdowe na otwarciu (zamknięciu).</w:t>
      </w:r>
    </w:p>
    <w:p w14:paraId="36E92B85"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W przypadku, gdy najwyższy limit ceny w zleceniu kupna jest niższy od najniższego limitu ceny w zleceniu sprzedaży lub gdy występują wyłącznie zlecenia kupna lub wyłącznie zlecenia sprzedaży lub gdy występuje brak zleceń (rynek zleceń rozbieżnych), za kurs otwarcia przyjmuje się kurs pierwszej transakcji na danej sesji zawartej w systemie notowań ciągłych, a za kurs zamknięcia kurs ostatniej transakcji na danej sesji. Jeśli na danej sesji nie zawarto żadnej transakcji, kursu otwarcia oraz kursu zamknięcia nie określa się. </w:t>
      </w:r>
    </w:p>
    <w:p w14:paraId="2A374D15"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W przypadku, gdy zgodnie z przepisami Szczegółowych Zasad Obrotu Giełdowego dla danych instrumentów finansowych nie przeprowadza się fazy zamknięcia, za kurs zamknięcia przyjmuje się kurs ostatniej transakcji na danej sesji zawartej w systemie notowań ciągłych. Jeśli na danej sesji nie zawarto żadnej transakcji, kursu zamknięcia nie określa się.</w:t>
      </w:r>
    </w:p>
    <w:p w14:paraId="2694E836" w14:textId="43C86B59"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242</w:t>
      </w:r>
    </w:p>
    <w:p w14:paraId="399D2154"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W systemie notowań ciągłych obowiązują statyczne oraz dynamiczne ograniczenia wahań kursów od kursu odniesienia. Statyczne ograniczenia wahań kursów obowiązują względem kursu odniesienia określanego zgodnie z ust. 3 i 4. Dynamiczne ograniczenia wahań kursów obowiązują względem kursu odniesienia określanego zgodnie z ust. 3 i 5.   </w:t>
      </w:r>
    </w:p>
    <w:p w14:paraId="5C1478D1"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Ograniczenia wahań kursów obowiązują we wszystkich fazach notowań ciągłych, o ile Zarząd Giełdy lub przewodniczący sesji nie postanowią inaczej. Statyczne ograniczenia wahań kursów nie obowiązują dla warrantów opcyjnych.  </w:t>
      </w:r>
    </w:p>
    <w:p w14:paraId="186BD9F2" w14:textId="5E13FA8E"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 xml:space="preserve">Kursem odniesienia dla kursu otwarcia, dla statycznych i dynamicznych ograniczeń wahań kursów, jest ostatni kurs zamknięcia. Postanowień zdania pierwszego nie </w:t>
      </w:r>
      <w:r w:rsidRPr="00B9694C">
        <w:rPr>
          <w:rFonts w:ascii="Verdana" w:eastAsia="Times New Roman" w:hAnsi="Verdana"/>
          <w:bCs/>
          <w:sz w:val="20"/>
          <w:szCs w:val="20"/>
          <w:lang w:eastAsia="pl-PL"/>
        </w:rPr>
        <w:lastRenderedPageBreak/>
        <w:t xml:space="preserve">stosuje się do instrumentów notowanych w systemie animatora rynku oraz do instrumentów pochodnych lub innych instrumentów finansowych, dla których zasady wyznaczania kursu odniesienia zostały określone na podstawie przepisów </w:t>
      </w:r>
      <w:r w:rsidR="00B92837"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 xml:space="preserve">ust. 9.  </w:t>
      </w:r>
    </w:p>
    <w:p w14:paraId="7C94E197" w14:textId="23CB7146"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 xml:space="preserve">Z zastrzeżeniem </w:t>
      </w:r>
      <w:r w:rsidR="00B65CCF" w:rsidRPr="00B9694C">
        <w:rPr>
          <w:rFonts w:ascii="Verdana" w:hAnsi="Verdana"/>
          <w:bCs/>
          <w:sz w:val="20"/>
          <w:szCs w:val="20"/>
        </w:rPr>
        <w:t xml:space="preserve">§ 244 </w:t>
      </w:r>
      <w:r w:rsidRPr="00B9694C">
        <w:rPr>
          <w:rFonts w:ascii="Verdana" w:eastAsia="Times New Roman" w:hAnsi="Verdana"/>
          <w:bCs/>
          <w:sz w:val="20"/>
          <w:szCs w:val="20"/>
          <w:lang w:eastAsia="pl-PL"/>
        </w:rPr>
        <w:t>ust. 4 pkt 1), kursem odniesienia dla kursów w fazie notowań ciągłych oraz dla kursu zamknięcia, dla statycznych ograniczeń wahań kursów, jest kurs otwarcia, a w przypadku braku wyznaczenia w fazie otwarcia kursu otwarcia - ostatni kurs zamknięcia. Postanowień zdania pierwszego nie stosuje się do instrumentów notowanych w systemie animatora rynku oraz do instrumentów pochodnych lub innych instrumentów finansowych, dla których zasady wyznaczania kursu odniesienia zostały określone na podstawie przepisów ust. 9.</w:t>
      </w:r>
    </w:p>
    <w:p w14:paraId="769F6566" w14:textId="1478D876"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5.</w:t>
      </w:r>
      <w:r w:rsidRPr="00B9694C">
        <w:rPr>
          <w:rFonts w:ascii="Verdana" w:eastAsia="Times New Roman" w:hAnsi="Verdana"/>
          <w:bCs/>
          <w:sz w:val="20"/>
          <w:szCs w:val="20"/>
          <w:lang w:eastAsia="pl-PL"/>
        </w:rPr>
        <w:tab/>
        <w:t xml:space="preserve">Z zastrzeżeniem ust. 8 - 9, kursem odniesienia dla  kursów w fazie notowań ciągłych oraz dla kursu zamknięcia, dla dynamicznych ograniczeń wahań kursów, jest kurs ostatniej transakcji, z zastrzeżeniem § 244 ust. 4 pkt 1). W przypadku braku wyznaczenia w fazie otwarcia kursu otwarcia, kursem odniesienia do czasu zawarcia pierwszej transakcji, dla dynamicznych ograniczeń wahań kursu, jest ostatni kurs zamknięcia, z zastrzeżeniem § 244 ust. 4 pkt 1). </w:t>
      </w:r>
    </w:p>
    <w:p w14:paraId="5C01EA85" w14:textId="289E5412"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6.</w:t>
      </w:r>
      <w:r w:rsidRPr="00B9694C">
        <w:rPr>
          <w:rFonts w:ascii="Verdana" w:eastAsia="Times New Roman" w:hAnsi="Verdana"/>
          <w:bCs/>
          <w:sz w:val="20"/>
          <w:szCs w:val="20"/>
          <w:lang w:eastAsia="pl-PL"/>
        </w:rPr>
        <w:tab/>
        <w:t xml:space="preserve">Zarząd Giełdy określa w Szczegółowych Zasadach Obrotu Giełdowego szczegółowe zasady określania kursu odniesienia oraz wysokość statycznych i dynamicznych ograniczeń wahań kursów dla papierów wartościowych notowanych w systemie notowań ciągłych, przy czym maksymalne dopuszczalne odchylenia od kursu odniesienia dla danych ograniczeń nie mogą przekraczać, z zastrzeżeniem </w:t>
      </w:r>
      <w:r w:rsidR="00B92837"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 xml:space="preserve">ust. 9: </w:t>
      </w:r>
    </w:p>
    <w:p w14:paraId="508EE2E2"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dla akcji i praw do akcji (z zastrzeżeniem pkt 2):  </w:t>
      </w:r>
    </w:p>
    <w:p w14:paraId="14A2C787"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a)</w:t>
      </w:r>
      <w:r w:rsidRPr="00B9694C">
        <w:rPr>
          <w:rFonts w:ascii="Verdana" w:eastAsia="Times New Roman" w:hAnsi="Verdana"/>
          <w:bCs/>
          <w:sz w:val="20"/>
          <w:szCs w:val="20"/>
          <w:lang w:eastAsia="pl-PL"/>
        </w:rPr>
        <w:tab/>
        <w:t xml:space="preserve">0,03 jednostki waluty notowania – przy kursie odniesienia poniżej </w:t>
      </w:r>
    </w:p>
    <w:p w14:paraId="43CD4E33"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0,30 jednostki waluty notowania, </w:t>
      </w:r>
    </w:p>
    <w:p w14:paraId="363DD14C"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b)</w:t>
      </w:r>
      <w:r w:rsidRPr="00B9694C">
        <w:rPr>
          <w:rFonts w:ascii="Verdana" w:eastAsia="Times New Roman" w:hAnsi="Verdana"/>
          <w:bCs/>
          <w:sz w:val="20"/>
          <w:szCs w:val="20"/>
          <w:lang w:eastAsia="pl-PL"/>
        </w:rPr>
        <w:tab/>
        <w:t>10% - w pozostałych przypadkach;</w:t>
      </w:r>
    </w:p>
    <w:p w14:paraId="7C93111F"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dla akcji i praw do akcji w dniu debiutu ich emitenta na giełdzie - 30%; </w:t>
      </w:r>
    </w:p>
    <w:p w14:paraId="3104BB2A"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 xml:space="preserve">dla praw poboru: </w:t>
      </w:r>
    </w:p>
    <w:p w14:paraId="1D8CF920" w14:textId="77777777" w:rsidR="00F20DBE" w:rsidRPr="00B9694C" w:rsidRDefault="00F20DBE" w:rsidP="008F2C31">
      <w:pPr>
        <w:spacing w:after="120" w:line="360" w:lineRule="auto"/>
        <w:ind w:left="709" w:hanging="283"/>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a)</w:t>
      </w:r>
      <w:r w:rsidRPr="00B9694C">
        <w:rPr>
          <w:rFonts w:ascii="Verdana" w:eastAsia="Times New Roman" w:hAnsi="Verdana"/>
          <w:bCs/>
          <w:sz w:val="20"/>
          <w:szCs w:val="20"/>
          <w:lang w:eastAsia="pl-PL"/>
        </w:rPr>
        <w:tab/>
        <w:t xml:space="preserve">0,03 jednostki waluty notowania – przy kursie odniesienia poniżej 0,30 jednostki waluty notowania,  </w:t>
      </w:r>
    </w:p>
    <w:p w14:paraId="443E0350" w14:textId="77777777" w:rsidR="00F20DBE" w:rsidRPr="00B9694C" w:rsidRDefault="00F20DBE" w:rsidP="008F2C31">
      <w:pPr>
        <w:spacing w:after="120" w:line="360" w:lineRule="auto"/>
        <w:ind w:left="709" w:hanging="283"/>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b)</w:t>
      </w:r>
      <w:r w:rsidRPr="00B9694C">
        <w:rPr>
          <w:rFonts w:ascii="Verdana" w:eastAsia="Times New Roman" w:hAnsi="Verdana"/>
          <w:bCs/>
          <w:sz w:val="20"/>
          <w:szCs w:val="20"/>
          <w:lang w:eastAsia="pl-PL"/>
        </w:rPr>
        <w:tab/>
        <w:t>100% - w pozostałych przypadkach;</w:t>
      </w:r>
    </w:p>
    <w:p w14:paraId="1A11E0DE"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 xml:space="preserve">dla certyfikatów inwestycyjnych: </w:t>
      </w:r>
    </w:p>
    <w:p w14:paraId="3AEC5F18"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a)</w:t>
      </w:r>
      <w:r w:rsidRPr="00B9694C">
        <w:rPr>
          <w:rFonts w:ascii="Verdana" w:eastAsia="Times New Roman" w:hAnsi="Verdana"/>
          <w:bCs/>
          <w:sz w:val="20"/>
          <w:szCs w:val="20"/>
          <w:lang w:eastAsia="pl-PL"/>
        </w:rPr>
        <w:tab/>
        <w:t xml:space="preserve">0,03 jednostki waluty notowania – przy kursie odniesienia poniżej 0,30 jednostki waluty notowania,  </w:t>
      </w:r>
    </w:p>
    <w:p w14:paraId="1908E946"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b)</w:t>
      </w:r>
      <w:r w:rsidRPr="00B9694C">
        <w:rPr>
          <w:rFonts w:ascii="Verdana" w:eastAsia="Times New Roman" w:hAnsi="Verdana"/>
          <w:bCs/>
          <w:sz w:val="20"/>
          <w:szCs w:val="20"/>
          <w:lang w:eastAsia="pl-PL"/>
        </w:rPr>
        <w:tab/>
        <w:t xml:space="preserve">10% - w pozostałych przypadkach; </w:t>
      </w:r>
    </w:p>
    <w:p w14:paraId="05E9D5D6"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5)</w:t>
      </w:r>
      <w:r w:rsidRPr="00B9694C">
        <w:rPr>
          <w:rFonts w:ascii="Verdana" w:eastAsia="Times New Roman" w:hAnsi="Verdana"/>
          <w:bCs/>
          <w:sz w:val="20"/>
          <w:szCs w:val="20"/>
          <w:lang w:eastAsia="pl-PL"/>
        </w:rPr>
        <w:tab/>
        <w:t xml:space="preserve">dla  dłużnych instrumentów finansowych – 15 punktów procentowych; </w:t>
      </w:r>
    </w:p>
    <w:p w14:paraId="76BD1714"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6)</w:t>
      </w:r>
      <w:r w:rsidRPr="00B9694C">
        <w:rPr>
          <w:rFonts w:ascii="Verdana" w:eastAsia="Times New Roman" w:hAnsi="Verdana"/>
          <w:bCs/>
          <w:sz w:val="20"/>
          <w:szCs w:val="20"/>
          <w:lang w:eastAsia="pl-PL"/>
        </w:rPr>
        <w:tab/>
        <w:t>(uchylony)</w:t>
      </w:r>
    </w:p>
    <w:p w14:paraId="4F2B5E24" w14:textId="77777777"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6a) dla instrumentów typu ETC i ETN: </w:t>
      </w:r>
    </w:p>
    <w:p w14:paraId="4DC758EE"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a) 0,05 jednostki waluty notowania – przy kursie odniesienia poniżej 0,30 jednostki waluty notowania,  </w:t>
      </w:r>
    </w:p>
    <w:p w14:paraId="73AB71BB" w14:textId="77777777" w:rsidR="00F20DBE" w:rsidRPr="00B9694C" w:rsidRDefault="00F20DBE" w:rsidP="008F2C31">
      <w:pPr>
        <w:spacing w:after="120" w:line="360" w:lineRule="auto"/>
        <w:ind w:firstLine="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b)   15% - w pozostałych przypadkach;</w:t>
      </w:r>
    </w:p>
    <w:p w14:paraId="133719E2"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7)</w:t>
      </w:r>
      <w:r w:rsidRPr="00B9694C">
        <w:rPr>
          <w:rFonts w:ascii="Verdana" w:eastAsia="Times New Roman" w:hAnsi="Verdana"/>
          <w:bCs/>
          <w:sz w:val="20"/>
          <w:szCs w:val="20"/>
          <w:lang w:eastAsia="pl-PL"/>
        </w:rPr>
        <w:tab/>
        <w:t xml:space="preserve">dla tytułów uczestnictwa funduszy typu ETF: </w:t>
      </w:r>
    </w:p>
    <w:p w14:paraId="43E8ABD3" w14:textId="77777777" w:rsidR="00F20DBE" w:rsidRPr="00B9694C" w:rsidRDefault="00F20DBE" w:rsidP="008F2C31">
      <w:pPr>
        <w:spacing w:after="120" w:line="360" w:lineRule="auto"/>
        <w:ind w:left="708" w:hanging="28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a)</w:t>
      </w:r>
      <w:r w:rsidRPr="00B9694C">
        <w:rPr>
          <w:rFonts w:ascii="Verdana" w:eastAsia="Times New Roman" w:hAnsi="Verdana"/>
          <w:bCs/>
          <w:sz w:val="20"/>
          <w:szCs w:val="20"/>
          <w:lang w:eastAsia="pl-PL"/>
        </w:rPr>
        <w:tab/>
        <w:t xml:space="preserve">0,03 jednostki waluty notowania – przy kursie odniesienia poniżej 0,30 jednostki waluty notowania,  </w:t>
      </w:r>
    </w:p>
    <w:p w14:paraId="50148462" w14:textId="77777777" w:rsidR="00F20DBE" w:rsidRPr="00B9694C" w:rsidRDefault="00F20DBE" w:rsidP="008F2C31">
      <w:pPr>
        <w:spacing w:after="120" w:line="360" w:lineRule="auto"/>
        <w:ind w:firstLine="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b)</w:t>
      </w:r>
      <w:r w:rsidRPr="00B9694C">
        <w:rPr>
          <w:rFonts w:ascii="Verdana" w:eastAsia="Times New Roman" w:hAnsi="Verdana"/>
          <w:bCs/>
          <w:sz w:val="20"/>
          <w:szCs w:val="20"/>
          <w:lang w:eastAsia="pl-PL"/>
        </w:rPr>
        <w:tab/>
        <w:t>10% - w pozostałych przypadkach;</w:t>
      </w:r>
    </w:p>
    <w:p w14:paraId="3E278F6C"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8)</w:t>
      </w:r>
      <w:r w:rsidRPr="00B9694C">
        <w:rPr>
          <w:rFonts w:ascii="Verdana" w:eastAsia="Times New Roman" w:hAnsi="Verdana"/>
          <w:bCs/>
          <w:sz w:val="20"/>
          <w:szCs w:val="20"/>
          <w:lang w:eastAsia="pl-PL"/>
        </w:rPr>
        <w:tab/>
        <w:t xml:space="preserve">dla pozostałych papierów wartościowych - 100%, o ile Zarząd Giełdy nie określi niższej wartości.   </w:t>
      </w:r>
    </w:p>
    <w:p w14:paraId="0EB60AB0"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7.</w:t>
      </w:r>
      <w:r w:rsidRPr="00B9694C">
        <w:rPr>
          <w:rFonts w:ascii="Verdana" w:eastAsia="Times New Roman" w:hAnsi="Verdana"/>
          <w:bCs/>
          <w:sz w:val="20"/>
          <w:szCs w:val="20"/>
          <w:lang w:eastAsia="pl-PL"/>
        </w:rPr>
        <w:tab/>
        <w:t xml:space="preserve">Zarząd Giełdy określa w Szczegółowych Zasadach Obrotu Giełdowego szczegółowe zasady określania kursu odniesienia oraz wysokość statycznych i dynamicznych ograniczeń wahań kursów dla instrumentów pochodnych notowanych w systemie notowań ciągłych, z zastrzeżeniem ust. 9, przy czym maksymalne dopuszczalne odchylenia od kursu odniesienia dla danych ograniczeń nie mogą przekraczać: </w:t>
      </w:r>
    </w:p>
    <w:p w14:paraId="78C4BD5A"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dla kontraktów terminowych na akcje - 15%, </w:t>
      </w:r>
    </w:p>
    <w:p w14:paraId="2EA12779"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dla kontraktów terminowych na kursy walut - 9%,</w:t>
      </w:r>
    </w:p>
    <w:p w14:paraId="77741782"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dla kontraktów terminowych na obligacje - 3%,</w:t>
      </w:r>
    </w:p>
    <w:p w14:paraId="3BB6CC2A"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dla kontraktów terminowych na stawki WIBOR - 1%,</w:t>
      </w:r>
    </w:p>
    <w:p w14:paraId="6EC33D7F"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5)</w:t>
      </w:r>
      <w:r w:rsidRPr="00B9694C">
        <w:rPr>
          <w:rFonts w:ascii="Verdana" w:eastAsia="Times New Roman" w:hAnsi="Verdana"/>
          <w:bCs/>
          <w:sz w:val="20"/>
          <w:szCs w:val="20"/>
          <w:lang w:eastAsia="pl-PL"/>
        </w:rPr>
        <w:tab/>
        <w:t>dla kontraktów terminowych na indeksy oraz pozostałe instrumenty bazowe – 10%,</w:t>
      </w:r>
    </w:p>
    <w:p w14:paraId="531B33F6"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6)</w:t>
      </w:r>
      <w:r w:rsidRPr="00B9694C">
        <w:rPr>
          <w:rFonts w:ascii="Verdana" w:eastAsia="Times New Roman" w:hAnsi="Verdana"/>
          <w:bCs/>
          <w:sz w:val="20"/>
          <w:szCs w:val="20"/>
          <w:lang w:eastAsia="pl-PL"/>
        </w:rPr>
        <w:tab/>
        <w:t>dla opcji - wartości równej w danym roku kalendarzowym 20% średniej arytmetycznej wyliczonej na podstawie wszystkich wartości zamknięcia instrumentu bazowego dla danych opcji, opublikowanych w poprzednim roku kalendarzowym.</w:t>
      </w:r>
    </w:p>
    <w:p w14:paraId="55A543E6" w14:textId="2610A10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8.</w:t>
      </w:r>
      <w:r w:rsidRPr="00B9694C">
        <w:rPr>
          <w:rFonts w:ascii="Verdana" w:eastAsia="Times New Roman" w:hAnsi="Verdana"/>
          <w:bCs/>
          <w:sz w:val="20"/>
          <w:szCs w:val="20"/>
          <w:lang w:eastAsia="pl-PL"/>
        </w:rPr>
        <w:tab/>
        <w:t xml:space="preserve">W systemie animatora rynku granice dopuszczalnych wahań kursów  stanowią limity cen w zleceniach animatora rynku oraz limity cen określane przez Giełdę zgodnie z przepisami Szczegółowych Zasad Obrotu Giełdowego, przy czym limit ceny określony przez Giełdę nie może odbiegać od limitu ceny w zleceniu animatora, z zastrzeżeniem ust. 9, o więcej niż: </w:t>
      </w:r>
    </w:p>
    <w:p w14:paraId="402ABF19" w14:textId="77777777" w:rsidR="00F20DBE" w:rsidRPr="00B9694C" w:rsidRDefault="00F20DBE" w:rsidP="008F2C31">
      <w:pPr>
        <w:tabs>
          <w:tab w:val="left" w:pos="426"/>
        </w:tabs>
        <w:spacing w:after="120" w:line="360" w:lineRule="auto"/>
        <w:ind w:left="708" w:hanging="42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0,10 jednostki waluty notowania – w przypadku, gdy limit ceny w zleceniu animatora wynosi mniej niż 0,75 jednostki waluty notowania, </w:t>
      </w:r>
    </w:p>
    <w:p w14:paraId="42F1F52D" w14:textId="77777777" w:rsidR="00F20DBE" w:rsidRPr="00B9694C" w:rsidRDefault="00F20DBE" w:rsidP="008F2C31">
      <w:pPr>
        <w:tabs>
          <w:tab w:val="left" w:pos="426"/>
        </w:tabs>
        <w:spacing w:after="120" w:line="360" w:lineRule="auto"/>
        <w:ind w:firstLine="28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20% – w pozostałych przypadkach.</w:t>
      </w:r>
    </w:p>
    <w:p w14:paraId="5757AA0B"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9.</w:t>
      </w:r>
      <w:r w:rsidRPr="00B9694C">
        <w:rPr>
          <w:rFonts w:ascii="Verdana" w:eastAsia="Times New Roman" w:hAnsi="Verdana"/>
          <w:bCs/>
          <w:sz w:val="20"/>
          <w:szCs w:val="20"/>
          <w:lang w:eastAsia="pl-PL"/>
        </w:rPr>
        <w:tab/>
        <w:t xml:space="preserve">Zarząd Giełdy może określić w Szczegółowych Zasadach Obrotu Giełdowego zasady wyznaczania kursu odniesienia lub ograniczeń wahań kursów, w szczególności </w:t>
      </w:r>
      <w:r w:rsidRPr="00B9694C">
        <w:rPr>
          <w:rFonts w:ascii="Verdana" w:eastAsia="Times New Roman" w:hAnsi="Verdana"/>
          <w:bCs/>
          <w:sz w:val="20"/>
          <w:szCs w:val="20"/>
          <w:lang w:eastAsia="pl-PL"/>
        </w:rPr>
        <w:br/>
        <w:t xml:space="preserve">w przypadku instrumentów pochodnych, instrumentów strukturyzowanych lub instrumentów o podobnym charakterze, instrumentów finansowych, których obrót cechuje się niską płynnością oraz w związku realizacją praw z notowanych instrumentów lub instrumentów bazowych dla tych instrumentów, o ile nie zagraża to bezpieczeństwu obrotu giełdowego lub interesowi jego uczestników.  </w:t>
      </w:r>
    </w:p>
    <w:p w14:paraId="59235B03" w14:textId="02E9D50A"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243</w:t>
      </w:r>
    </w:p>
    <w:p w14:paraId="3C6754F6"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W trakcie notowań ciągłych, z zastrzeżeniem ust. 6- 8, transakcje zawierane są na podstawie następujących rodzajów zleceń maklerskich:</w:t>
      </w:r>
    </w:p>
    <w:p w14:paraId="63333729" w14:textId="77777777" w:rsidR="00F20DBE" w:rsidRPr="00B9694C" w:rsidRDefault="00F20DBE" w:rsidP="008F2C31">
      <w:pPr>
        <w:spacing w:after="120" w:line="360" w:lineRule="auto"/>
        <w:ind w:left="708" w:hanging="708"/>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1) zleceń LIMIT, </w:t>
      </w:r>
    </w:p>
    <w:p w14:paraId="3ED7F8E9" w14:textId="77777777" w:rsidR="00F20DBE" w:rsidRPr="00B9694C" w:rsidRDefault="00F20DBE" w:rsidP="008F2C31">
      <w:pPr>
        <w:spacing w:after="120" w:line="360" w:lineRule="auto"/>
        <w:ind w:left="708" w:hanging="708"/>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2) zleceń PKC, </w:t>
      </w:r>
    </w:p>
    <w:p w14:paraId="7E74D463" w14:textId="77777777" w:rsidR="00F20DBE" w:rsidRPr="00B9694C" w:rsidRDefault="00F20DBE" w:rsidP="008F2C31">
      <w:pPr>
        <w:spacing w:after="120" w:line="360" w:lineRule="auto"/>
        <w:ind w:left="708" w:hanging="708"/>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3)  zleceń PCR, </w:t>
      </w:r>
    </w:p>
    <w:p w14:paraId="6304E0AF" w14:textId="77777777" w:rsidR="00F20DBE" w:rsidRPr="00B9694C" w:rsidRDefault="00F20DBE" w:rsidP="008F2C31">
      <w:pPr>
        <w:spacing w:after="120" w:line="360" w:lineRule="auto"/>
        <w:ind w:left="708" w:hanging="708"/>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4) zleceń STOP, </w:t>
      </w:r>
    </w:p>
    <w:p w14:paraId="4D2C8A31" w14:textId="77777777" w:rsidR="00F20DBE" w:rsidRPr="00B9694C" w:rsidRDefault="00F20DBE" w:rsidP="008F2C31">
      <w:pPr>
        <w:spacing w:after="120" w:line="360" w:lineRule="auto"/>
        <w:ind w:left="708" w:hanging="708"/>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5) zleceń PEG. </w:t>
      </w:r>
    </w:p>
    <w:p w14:paraId="40BE53DD"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W trakcie notowań ciągłych transakcje zawierane są  po kursie równym limitowi ceny najlepszego zlecenia przeciwstawnego oczekującego na realizację w arkuszu zleceń, z zastrzeżeniem  ust. 6 – 8. </w:t>
      </w:r>
    </w:p>
    <w:p w14:paraId="60A42BDC"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 xml:space="preserve">Zlecenia maklerskie z limitem ceny oczekujące na realizację podlegają realizacji według limitu ceny, a gdy limity ceny są takie same, według kolejności przyjęcia lub ujawnienia zlecenia w arkuszu zleceń, z zastrzeżeniem ust. 6 – 8. </w:t>
      </w:r>
    </w:p>
    <w:p w14:paraId="15338A50"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 xml:space="preserve">Zlecenia bez limitu ceny mają pierwszeństwo realizacji przed zleceniami </w:t>
      </w:r>
    </w:p>
    <w:p w14:paraId="754DEE69"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z limitem ceny, niezależnie od czasu ich przyjęcia do arkusza zleceń, z zastrzeżeniem </w:t>
      </w:r>
      <w:r w:rsidRPr="00B9694C">
        <w:rPr>
          <w:rFonts w:ascii="Verdana" w:eastAsia="Times New Roman" w:hAnsi="Verdana"/>
          <w:bCs/>
          <w:sz w:val="20"/>
          <w:szCs w:val="20"/>
          <w:lang w:eastAsia="pl-PL"/>
        </w:rPr>
        <w:br/>
        <w:t xml:space="preserve">ust. 6 – 8.  </w:t>
      </w:r>
    </w:p>
    <w:p w14:paraId="49C019B2" w14:textId="6B8407CC"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5.</w:t>
      </w:r>
      <w:r w:rsidRPr="00B9694C">
        <w:rPr>
          <w:rFonts w:ascii="Verdana" w:eastAsia="Times New Roman" w:hAnsi="Verdana"/>
          <w:bCs/>
          <w:sz w:val="20"/>
          <w:szCs w:val="20"/>
          <w:lang w:eastAsia="pl-PL"/>
        </w:rPr>
        <w:tab/>
        <w:t xml:space="preserve">W przypadku, gdy w arkuszu zleceń oczekuje na realizację zlecenie bez limitu ceny, a nie zachodzi równoważenie, o którym mowa w § 244, złożenie zlecenia przeciwstawnego skutkuje zawarciem transakcji po kursie  równym:  </w:t>
      </w:r>
    </w:p>
    <w:p w14:paraId="69A69CB3" w14:textId="77777777" w:rsidR="00F20DBE" w:rsidRPr="00B9694C" w:rsidRDefault="00F20DBE" w:rsidP="008F2C31">
      <w:pPr>
        <w:spacing w:after="120" w:line="360" w:lineRule="auto"/>
        <w:ind w:left="708" w:hanging="56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kursowi ostatniej transakcji, a  jeżeli w danym dniu żadna transakcja nie została zawarta – równym kursowi odniesienia dla dynamicznych ograniczeń wahań kursów, albo</w:t>
      </w:r>
    </w:p>
    <w:p w14:paraId="37D67377" w14:textId="77777777" w:rsidR="00F20DBE" w:rsidRPr="00B9694C" w:rsidRDefault="00F20DBE" w:rsidP="008F2C31">
      <w:pPr>
        <w:spacing w:after="120" w:line="360" w:lineRule="auto"/>
        <w:ind w:left="708" w:hanging="56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limitowi ceny w zleceniu z limitem ceny obecnym  po tej samej stronie arkusza zleceń co oczekujące na realizacje zlecenie bez limitu ceny, albo</w:t>
      </w:r>
    </w:p>
    <w:p w14:paraId="39188069" w14:textId="77777777" w:rsidR="00F20DBE" w:rsidRPr="00B9694C" w:rsidRDefault="00F20DBE" w:rsidP="008F2C31">
      <w:pPr>
        <w:spacing w:after="120" w:line="360" w:lineRule="auto"/>
        <w:ind w:firstLine="14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limitowi ceny składanego zlecenia przeciwstawnego</w:t>
      </w:r>
    </w:p>
    <w:p w14:paraId="7C03105C" w14:textId="77777777" w:rsidR="00F20DBE" w:rsidRPr="00B9694C" w:rsidRDefault="00F20DBE" w:rsidP="008F2C31">
      <w:pPr>
        <w:spacing w:after="120" w:line="360" w:lineRule="auto"/>
        <w:ind w:left="708" w:hanging="141"/>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 w zależności od tego, który z tych kursów jest najwyższy - w przypadku, gdy  składane zlecenie jest zleceniem sprzedaży, albo najniższy  - w przypadku, gdy  jest ono  zleceniem kupna. </w:t>
      </w:r>
    </w:p>
    <w:p w14:paraId="7FDED601" w14:textId="73382A68"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6.</w:t>
      </w:r>
      <w:r w:rsidRPr="00B9694C">
        <w:rPr>
          <w:rFonts w:ascii="Verdana" w:eastAsia="Times New Roman" w:hAnsi="Verdana"/>
          <w:bCs/>
          <w:sz w:val="20"/>
          <w:szCs w:val="20"/>
          <w:lang w:eastAsia="pl-PL"/>
        </w:rPr>
        <w:tab/>
        <w:t>W systemie animatora rynku transakcje w trakcie notowań ciągłych zawierane są na podstawie następujących rodzajów zleceń maklerskich:</w:t>
      </w:r>
    </w:p>
    <w:p w14:paraId="22C4EA30" w14:textId="77777777" w:rsidR="00F20DBE" w:rsidRPr="00B9694C" w:rsidRDefault="00F20DBE" w:rsidP="008F2C31">
      <w:pPr>
        <w:spacing w:after="120" w:line="360" w:lineRule="auto"/>
        <w:ind w:left="708" w:hanging="42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1) zleceń LIMIT, </w:t>
      </w:r>
    </w:p>
    <w:p w14:paraId="7758F6CC" w14:textId="77777777" w:rsidR="00F20DBE" w:rsidRPr="00B9694C" w:rsidRDefault="00F20DBE" w:rsidP="008F2C31">
      <w:pPr>
        <w:spacing w:after="120" w:line="360" w:lineRule="auto"/>
        <w:ind w:left="708" w:hanging="42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2) zleceń PKC, </w:t>
      </w:r>
    </w:p>
    <w:p w14:paraId="2B00D544" w14:textId="77777777" w:rsidR="00F20DBE" w:rsidRPr="00B9694C" w:rsidRDefault="00F20DBE" w:rsidP="008F2C31">
      <w:pPr>
        <w:spacing w:after="120" w:line="360" w:lineRule="auto"/>
        <w:ind w:left="708" w:hanging="42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 zleceń STOP.</w:t>
      </w:r>
    </w:p>
    <w:p w14:paraId="5A024D92" w14:textId="0152C804"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7.</w:t>
      </w:r>
      <w:r w:rsidRPr="00B9694C">
        <w:rPr>
          <w:rFonts w:ascii="Verdana" w:eastAsia="Times New Roman" w:hAnsi="Verdana"/>
          <w:bCs/>
          <w:sz w:val="20"/>
          <w:szCs w:val="20"/>
          <w:lang w:eastAsia="pl-PL"/>
        </w:rPr>
        <w:tab/>
        <w:t xml:space="preserve">W systemie animatora rynku warunkiem zawarcia transakcji jest istnienie </w:t>
      </w:r>
      <w:r w:rsidRPr="00B9694C">
        <w:rPr>
          <w:rFonts w:ascii="Verdana" w:eastAsia="Times New Roman" w:hAnsi="Verdana"/>
          <w:bCs/>
          <w:sz w:val="20"/>
          <w:szCs w:val="20"/>
          <w:lang w:eastAsia="pl-PL"/>
        </w:rPr>
        <w:br/>
        <w:t xml:space="preserve">w arkuszu zlecenia lub zleceń animatora rynku spełniających wymogi określone </w:t>
      </w:r>
      <w:r w:rsidRPr="00B9694C">
        <w:rPr>
          <w:rFonts w:ascii="Verdana" w:eastAsia="Times New Roman" w:hAnsi="Verdana"/>
          <w:bCs/>
          <w:sz w:val="20"/>
          <w:szCs w:val="20"/>
          <w:lang w:eastAsia="pl-PL"/>
        </w:rPr>
        <w:br/>
        <w:t>w Szczegółowych Zasadach Obrotu Giełdowego. W przeciwnym razie, do czasu złożenia przez animatora zlecenia lub zleceń spełniających określone wymogi, obrót danymi instrumentami ulega zawieszeniu. Przepisy ust. 2 – 5 stosuje się odpowiednio, z zastrzeżeniem przypadków określonych w Szczegółowych Zasadach  Obrotu Giełdowego.</w:t>
      </w:r>
    </w:p>
    <w:p w14:paraId="2566B8E6"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8.</w:t>
      </w:r>
      <w:r w:rsidRPr="00B9694C">
        <w:rPr>
          <w:rFonts w:ascii="Verdana" w:eastAsia="Times New Roman" w:hAnsi="Verdana"/>
          <w:bCs/>
          <w:sz w:val="20"/>
          <w:szCs w:val="20"/>
          <w:lang w:eastAsia="pl-PL"/>
        </w:rPr>
        <w:tab/>
        <w:t xml:space="preserve">Zarząd Giełdy określa w Szczegółowych Zasadach  Obrotu Giełdowego szczegółowy tryb określania kursów w trakcie notowań ciągłych oraz szczegółowe zasady realizacji zleceń maklerskich w tych notowaniach. </w:t>
      </w:r>
    </w:p>
    <w:p w14:paraId="70D027BE" w14:textId="37B3DD40"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244</w:t>
      </w:r>
    </w:p>
    <w:p w14:paraId="7C919C34"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Złożenie w trakcie notowań ciągłych zlecenia, którego realizacja skutkowałaby zawarciem transakcji po kursie wykraczającym poza dopuszczalne ograniczenia wahań kursów skutkuje: </w:t>
      </w:r>
    </w:p>
    <w:p w14:paraId="79228494"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rozpoczęciem równoważenia z jednoczesnym odrzuceniem niezrealizowanej części tego zlecenia, albo </w:t>
      </w:r>
    </w:p>
    <w:p w14:paraId="3C450E30"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lastRenderedPageBreak/>
        <w:t>2)</w:t>
      </w:r>
      <w:r w:rsidRPr="00B9694C">
        <w:rPr>
          <w:rFonts w:ascii="Verdana" w:eastAsia="Times New Roman" w:hAnsi="Verdana"/>
          <w:bCs/>
          <w:sz w:val="20"/>
          <w:szCs w:val="20"/>
          <w:lang w:eastAsia="pl-PL"/>
        </w:rPr>
        <w:tab/>
        <w:t xml:space="preserve">rozpoczęciem równoważenia z jednoczesnym przyjęciem niezrealizowanej części tego zlecenia, albo </w:t>
      </w:r>
    </w:p>
    <w:p w14:paraId="403E1AFC" w14:textId="77777777" w:rsidR="00F20DBE" w:rsidRPr="00B9694C" w:rsidRDefault="00F20DBE" w:rsidP="008F2C31">
      <w:pPr>
        <w:spacing w:after="120" w:line="360" w:lineRule="auto"/>
        <w:ind w:left="426" w:hanging="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 xml:space="preserve">brakiem równoważenia z jednoczesnym odrzuceniem niezrealizowanej części tego zlecenia </w:t>
      </w:r>
    </w:p>
    <w:p w14:paraId="299DFD54" w14:textId="77777777" w:rsidR="00F20DBE" w:rsidRPr="00B9694C" w:rsidRDefault="00F20DBE" w:rsidP="008F2C31">
      <w:pPr>
        <w:spacing w:after="120" w:line="360" w:lineRule="auto"/>
        <w:ind w:left="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xml:space="preserve">- w zależności od tego, które z tych rozwiązań jako właściwe dla danych instrumentów finansowych określi Zarząd Giełdy w Szczegółowych Zasadach  Obrotu Giełdowego. </w:t>
      </w:r>
    </w:p>
    <w:p w14:paraId="2D0C59CE"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Z chwilą rozpoczęcia równoważenia, o którym mowa w ust. 1, wstrzymywane jest zawieranie transakcji, przy czym zlecenia maklerskie mogą być składane, modyfikowane oraz anulowane. Wstrzymanie obrotu, o którym mowa w zdaniu pierwszym, nie może trwać dłużej niż przez okres 1 miesiąca. </w:t>
      </w:r>
    </w:p>
    <w:p w14:paraId="4DDE08F4" w14:textId="64ED216C"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Jeżeli w wyniku równoważenia możliwe jest określenie kursu zgodnie z zasadami zawartymi w § 239 ust. 2 i mieszczącego się w ograniczeniach wahań kursów, równoważenie ulega zakończeniu i ogłaszany jest kurs, po którym zostają zawarte transakcje na podstawie złożonych zleceń.</w:t>
      </w:r>
    </w:p>
    <w:p w14:paraId="5A0A5FAA"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 xml:space="preserve">Jeżeli w wyniku równoważenia nie jest możliwe określenie kursu zgodnie </w:t>
      </w:r>
    </w:p>
    <w:p w14:paraId="5B04F398" w14:textId="6F0A9AC8" w:rsidR="00F20DBE" w:rsidRPr="00B9694C" w:rsidRDefault="00F20DBE" w:rsidP="008F2C31">
      <w:pPr>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z zasadami zawartymi w § 239 ust. 2 i mieszczącego się w ograniczeniach wahań kursów, przewodniczący sesji może:</w:t>
      </w:r>
    </w:p>
    <w:p w14:paraId="6801EB34" w14:textId="77777777" w:rsidR="00F20DBE" w:rsidRPr="00B9694C" w:rsidRDefault="00F20DBE" w:rsidP="008F2C31">
      <w:pPr>
        <w:spacing w:after="120" w:line="360" w:lineRule="auto"/>
        <w:ind w:left="708" w:hanging="42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wznowić obrót i określić nowy kurs odniesienia równy odpowiednio górnemu albo dolnemu ograniczeniu wahań kursów - w zależności od tego, które z tych ograniczeń zostało przekroczone, albo </w:t>
      </w:r>
    </w:p>
    <w:p w14:paraId="2CA913B1" w14:textId="77777777" w:rsidR="00F20DBE" w:rsidRPr="00B9694C" w:rsidRDefault="00F20DBE" w:rsidP="008F2C31">
      <w:pPr>
        <w:spacing w:after="120" w:line="360" w:lineRule="auto"/>
        <w:ind w:left="708" w:hanging="424"/>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wznowić obrót i zmienić ograniczenia wahań kursów bez zmiany kursu odniesienia. </w:t>
      </w:r>
    </w:p>
    <w:p w14:paraId="6D65330E"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5.</w:t>
      </w:r>
      <w:r w:rsidRPr="00B9694C">
        <w:rPr>
          <w:rFonts w:ascii="Verdana" w:eastAsia="Times New Roman" w:hAnsi="Verdana"/>
          <w:bCs/>
          <w:sz w:val="20"/>
          <w:szCs w:val="20"/>
          <w:lang w:eastAsia="pl-PL"/>
        </w:rPr>
        <w:tab/>
        <w:t>Jeżeli w wyniku równoważenia powstanie rynek zleceń rozbieżnych  (najwyższy limit w zleceniu kupna jest niższy od najniższego limitu zlecenia sprzedaży lub występują wyłącznie zlecenia kupna lub wyłącznie zlecenia sprzedaży lub występuje brak zleceń) przewodniczący sesji może:</w:t>
      </w:r>
    </w:p>
    <w:p w14:paraId="5E64A468" w14:textId="77777777" w:rsidR="00F20DBE" w:rsidRPr="00B9694C" w:rsidRDefault="00F20DBE" w:rsidP="008F2C31">
      <w:pPr>
        <w:tabs>
          <w:tab w:val="left" w:pos="284"/>
          <w:tab w:val="left" w:pos="567"/>
        </w:tabs>
        <w:spacing w:after="120" w:line="360" w:lineRule="auto"/>
        <w:ind w:firstLine="14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 xml:space="preserve">przedłużyć równoważenie, </w:t>
      </w:r>
    </w:p>
    <w:p w14:paraId="56042197" w14:textId="77777777" w:rsidR="00F20DBE" w:rsidRPr="00B9694C" w:rsidRDefault="00F20DBE" w:rsidP="008F2C31">
      <w:pPr>
        <w:tabs>
          <w:tab w:val="left" w:pos="284"/>
          <w:tab w:val="left" w:pos="567"/>
        </w:tabs>
        <w:spacing w:after="120" w:line="360" w:lineRule="auto"/>
        <w:ind w:firstLine="142"/>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zakończyć równoważenie z jednoczesnym wznowieniem notowań ciągłych. </w:t>
      </w:r>
    </w:p>
    <w:p w14:paraId="778988B3"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6.</w:t>
      </w:r>
      <w:r w:rsidRPr="00B9694C">
        <w:rPr>
          <w:rFonts w:ascii="Verdana" w:eastAsia="Times New Roman" w:hAnsi="Verdana"/>
          <w:bCs/>
          <w:sz w:val="20"/>
          <w:szCs w:val="20"/>
          <w:lang w:eastAsia="pl-PL"/>
        </w:rPr>
        <w:tab/>
        <w:t xml:space="preserve">Zarząd Giełdy określi w Szczegółowych Zasadach  Obrotu Giełdowego szczegółowe zasady postępowania w przypadkach, o których mowa w ust. 1 pkt 1, 2 lub 3.  </w:t>
      </w:r>
    </w:p>
    <w:p w14:paraId="724E3BFA" w14:textId="2E3EA58C" w:rsidR="00F20DBE" w:rsidRPr="00B9694C" w:rsidRDefault="00F20DBE" w:rsidP="00385A76">
      <w:pPr>
        <w:tabs>
          <w:tab w:val="left" w:pos="284"/>
        </w:tabs>
        <w:spacing w:after="24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7.</w:t>
      </w:r>
      <w:r w:rsidRPr="00B9694C">
        <w:rPr>
          <w:rFonts w:ascii="Verdana" w:eastAsia="Times New Roman" w:hAnsi="Verdana"/>
          <w:bCs/>
          <w:sz w:val="20"/>
          <w:szCs w:val="20"/>
          <w:lang w:eastAsia="pl-PL"/>
        </w:rPr>
        <w:tab/>
        <w:t xml:space="preserve">W systemie animatora rynku zlecenie, którego realizacja w trakcie notowań ciągłych skutkowałaby zawarciem transakcji po kursie wykraczającym poza </w:t>
      </w:r>
      <w:r w:rsidRPr="00B9694C">
        <w:rPr>
          <w:rFonts w:ascii="Verdana" w:eastAsia="Times New Roman" w:hAnsi="Verdana"/>
          <w:bCs/>
          <w:sz w:val="20"/>
          <w:szCs w:val="20"/>
          <w:lang w:eastAsia="pl-PL"/>
        </w:rPr>
        <w:lastRenderedPageBreak/>
        <w:t xml:space="preserve">dopuszczalne ograniczenia wahań kursów zostaje zrealizowane częściowo </w:t>
      </w:r>
      <w:r w:rsidR="00A07044">
        <w:rPr>
          <w:rFonts w:ascii="Verdana" w:eastAsia="Times New Roman" w:hAnsi="Verdana"/>
          <w:bCs/>
          <w:sz w:val="20"/>
          <w:szCs w:val="20"/>
          <w:lang w:eastAsia="pl-PL"/>
        </w:rPr>
        <w:br/>
      </w:r>
      <w:r w:rsidRPr="00B9694C">
        <w:rPr>
          <w:rFonts w:ascii="Verdana" w:eastAsia="Times New Roman" w:hAnsi="Verdana"/>
          <w:bCs/>
          <w:sz w:val="20"/>
          <w:szCs w:val="20"/>
          <w:lang w:eastAsia="pl-PL"/>
        </w:rPr>
        <w:t xml:space="preserve">w granicach obowiązującego ograniczenia wahań kursów, a niezrealizowana część tego zlecenia pozostaje w arkuszu zleceń i jest uwzględniania przy określaniu teoretycznego kursu otwarcia w ramach równoważenia.       </w:t>
      </w:r>
    </w:p>
    <w:p w14:paraId="3E5FD6E3" w14:textId="6ACD4C4D"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245</w:t>
      </w:r>
    </w:p>
    <w:p w14:paraId="7DC3A00C" w14:textId="77777777" w:rsidR="00F20DBE" w:rsidRPr="00B9694C" w:rsidRDefault="00F20DBE" w:rsidP="008F2C31">
      <w:pPr>
        <w:tabs>
          <w:tab w:val="left" w:pos="284"/>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W systemie notowań ciągłych:</w:t>
      </w:r>
    </w:p>
    <w:p w14:paraId="2CC28AA7" w14:textId="31BDF2A1" w:rsidR="00F20DBE" w:rsidRPr="00B9694C" w:rsidRDefault="00F20DBE" w:rsidP="00385A76">
      <w:pPr>
        <w:spacing w:after="120" w:line="360" w:lineRule="auto"/>
        <w:ind w:left="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1)</w:t>
      </w:r>
      <w:r w:rsidRPr="00B9694C">
        <w:rPr>
          <w:rFonts w:ascii="Verdana" w:eastAsia="Times New Roman" w:hAnsi="Verdana"/>
          <w:bCs/>
          <w:sz w:val="20"/>
          <w:szCs w:val="20"/>
          <w:lang w:eastAsia="pl-PL"/>
        </w:rPr>
        <w:tab/>
        <w:t>w okresie pomiędzy rozpoczęciem przyjmowania zleceń maklerskich w danym dniu a początkiem notowań ciągłych,</w:t>
      </w:r>
    </w:p>
    <w:p w14:paraId="4D145CD4" w14:textId="5F11D6B0" w:rsidR="00F20DBE" w:rsidRPr="00B9694C" w:rsidRDefault="00F20DBE" w:rsidP="00385A76">
      <w:pPr>
        <w:spacing w:after="120" w:line="360" w:lineRule="auto"/>
        <w:ind w:left="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w okresie pomiędzy początkiem przyjmowania zleceń maklerskich na zamknięcie a określeniem kursu zamknięcia,</w:t>
      </w:r>
    </w:p>
    <w:p w14:paraId="213A028A" w14:textId="77777777" w:rsidR="00F20DBE" w:rsidRPr="00B9694C" w:rsidRDefault="00F20DBE" w:rsidP="008F2C31">
      <w:pPr>
        <w:spacing w:after="120" w:line="360" w:lineRule="auto"/>
        <w:ind w:firstLine="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w trakcie równoważenia</w:t>
      </w:r>
    </w:p>
    <w:p w14:paraId="5647D7F5" w14:textId="04662A8A" w:rsidR="00F20DBE" w:rsidRPr="00B9694C" w:rsidRDefault="00F20DBE" w:rsidP="00385A76">
      <w:pPr>
        <w:spacing w:after="120" w:line="360" w:lineRule="auto"/>
        <w:ind w:left="426"/>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 określane są na bieżąco, zgodnie z zasadami zawartymi w § 239 ust. 2,</w:t>
      </w:r>
      <w:r w:rsidR="00385A76" w:rsidRPr="00B9694C">
        <w:rPr>
          <w:rFonts w:ascii="Verdana" w:eastAsia="Times New Roman" w:hAnsi="Verdana"/>
          <w:bCs/>
          <w:sz w:val="20"/>
          <w:szCs w:val="20"/>
          <w:lang w:eastAsia="pl-PL"/>
        </w:rPr>
        <w:t xml:space="preserve"> </w:t>
      </w:r>
      <w:r w:rsidR="00385A76" w:rsidRPr="00B9694C">
        <w:rPr>
          <w:rFonts w:ascii="Verdana" w:eastAsia="Times New Roman" w:hAnsi="Verdana"/>
          <w:bCs/>
          <w:sz w:val="20"/>
          <w:szCs w:val="20"/>
          <w:lang w:eastAsia="pl-PL"/>
        </w:rPr>
        <w:br/>
      </w:r>
      <w:r w:rsidRPr="00B9694C">
        <w:rPr>
          <w:rFonts w:ascii="Verdana" w:eastAsia="Times New Roman" w:hAnsi="Verdana"/>
          <w:bCs/>
          <w:sz w:val="20"/>
          <w:szCs w:val="20"/>
          <w:lang w:eastAsia="pl-PL"/>
        </w:rPr>
        <w:t xml:space="preserve">i podawane do publicznej wiadomości teoretyczny kurs otwarcia oraz teoretyczny wolumen otwarcia. </w:t>
      </w:r>
    </w:p>
    <w:p w14:paraId="1D34C35F"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2.</w:t>
      </w:r>
      <w:r w:rsidRPr="00B9694C">
        <w:rPr>
          <w:rFonts w:ascii="Verdana" w:eastAsia="Times New Roman" w:hAnsi="Verdana"/>
          <w:bCs/>
          <w:sz w:val="20"/>
          <w:szCs w:val="20"/>
          <w:lang w:eastAsia="pl-PL"/>
        </w:rPr>
        <w:tab/>
        <w:t xml:space="preserve">Teoretyczny kurs otwarcia oraz teoretyczny wolumen otwarcia mogą być określane również w okresach zawieszenia obrotu z możliwością składania, modyfikowania i anulowania zleceń maklerskich, o ile przewidują to przepisy Szczegółowych Zasad Obrotu Giełdowego. </w:t>
      </w:r>
    </w:p>
    <w:p w14:paraId="0C37E689"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3.</w:t>
      </w:r>
      <w:r w:rsidRPr="00B9694C">
        <w:rPr>
          <w:rFonts w:ascii="Verdana" w:eastAsia="Times New Roman" w:hAnsi="Verdana"/>
          <w:bCs/>
          <w:sz w:val="20"/>
          <w:szCs w:val="20"/>
          <w:lang w:eastAsia="pl-PL"/>
        </w:rPr>
        <w:tab/>
        <w:t xml:space="preserve">Teoretyczny kurs otwarcia oraz teoretyczny wolumen otwarcia aktualizowane są na bieżąco przy każdej zmianie w arkuszu zleceń wynikającej z przyjęcia, modyfikacji lub anulowania zlecenia maklerskiego.  </w:t>
      </w:r>
    </w:p>
    <w:p w14:paraId="5793D322" w14:textId="77777777" w:rsidR="00F20DBE" w:rsidRPr="00B9694C" w:rsidRDefault="00F20DBE" w:rsidP="008F2C31">
      <w:pPr>
        <w:tabs>
          <w:tab w:val="left" w:pos="426"/>
        </w:tabs>
        <w:spacing w:after="120" w:line="360" w:lineRule="auto"/>
        <w:jc w:val="both"/>
        <w:rPr>
          <w:rFonts w:ascii="Verdana" w:eastAsia="Times New Roman" w:hAnsi="Verdana"/>
          <w:bCs/>
          <w:sz w:val="20"/>
          <w:szCs w:val="20"/>
          <w:lang w:eastAsia="pl-PL"/>
        </w:rPr>
      </w:pPr>
      <w:r w:rsidRPr="00B9694C">
        <w:rPr>
          <w:rFonts w:ascii="Verdana" w:eastAsia="Times New Roman" w:hAnsi="Verdana"/>
          <w:bCs/>
          <w:sz w:val="20"/>
          <w:szCs w:val="20"/>
          <w:lang w:eastAsia="pl-PL"/>
        </w:rPr>
        <w:t>4.</w:t>
      </w:r>
      <w:r w:rsidRPr="00B9694C">
        <w:rPr>
          <w:rFonts w:ascii="Verdana" w:eastAsia="Times New Roman" w:hAnsi="Verdana"/>
          <w:bCs/>
          <w:sz w:val="20"/>
          <w:szCs w:val="20"/>
          <w:lang w:eastAsia="pl-PL"/>
        </w:rPr>
        <w:tab/>
        <w:t xml:space="preserve">Zarząd Giełdy określa w Szczegółowych Zasadach  Obrotu Giełdowego szczegółowy tryb określania teoretycznego kursu otwarcia oraz teoretycznego wolumenu otwarcia, w tym rodzaje zleceń biorących udział w ich określaniu, jak również zasady postępowania w przypadku, gdy określenie tych wartości nie jest możliwe.   </w:t>
      </w:r>
    </w:p>
    <w:p w14:paraId="5D17B67C" w14:textId="3FA22DC9" w:rsidR="00F20DBE" w:rsidRPr="00B9694C" w:rsidRDefault="00F20DBE" w:rsidP="008F2C31">
      <w:pPr>
        <w:spacing w:after="120" w:line="360" w:lineRule="auto"/>
        <w:jc w:val="center"/>
        <w:rPr>
          <w:rFonts w:ascii="Verdana" w:eastAsia="Times New Roman" w:hAnsi="Verdana"/>
          <w:bCs/>
          <w:sz w:val="20"/>
          <w:szCs w:val="20"/>
          <w:lang w:eastAsia="pl-PL"/>
        </w:rPr>
      </w:pPr>
      <w:r w:rsidRPr="00B9694C">
        <w:rPr>
          <w:rFonts w:ascii="Verdana" w:eastAsia="Times New Roman" w:hAnsi="Verdana"/>
          <w:bCs/>
          <w:sz w:val="20"/>
          <w:szCs w:val="20"/>
          <w:lang w:eastAsia="pl-PL"/>
        </w:rPr>
        <w:t>§ 246</w:t>
      </w:r>
    </w:p>
    <w:p w14:paraId="71C0ABE7" w14:textId="5E7AA914" w:rsidR="00F20DBE" w:rsidRPr="00F20DBE" w:rsidRDefault="00F20DBE" w:rsidP="008F2C31">
      <w:pPr>
        <w:tabs>
          <w:tab w:val="left" w:pos="567"/>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 xml:space="preserve">Po zakończeniu fazy określania kursu zamknięcia mogą być składane dodatkowe zlecenia kupna i sprzedaży z limitem ceny równym obowiązującemu </w:t>
      </w:r>
      <w:r w:rsidR="00385A76">
        <w:rPr>
          <w:rFonts w:ascii="Verdana" w:eastAsia="Times New Roman" w:hAnsi="Verdana"/>
          <w:sz w:val="20"/>
          <w:szCs w:val="20"/>
          <w:lang w:eastAsia="pl-PL"/>
        </w:rPr>
        <w:br/>
      </w:r>
      <w:r w:rsidRPr="00F20DBE">
        <w:rPr>
          <w:rFonts w:ascii="Verdana" w:eastAsia="Times New Roman" w:hAnsi="Verdana"/>
          <w:sz w:val="20"/>
          <w:szCs w:val="20"/>
          <w:lang w:eastAsia="pl-PL"/>
        </w:rPr>
        <w:t xml:space="preserve">w tym czasie kursowi odniesienia dla dynamicznych ograniczeń wahań kursów (dogrywka). </w:t>
      </w:r>
    </w:p>
    <w:p w14:paraId="078FBC99" w14:textId="77777777" w:rsidR="00F20DBE" w:rsidRPr="00F20DBE" w:rsidRDefault="00F20DBE" w:rsidP="008F2C31">
      <w:pPr>
        <w:tabs>
          <w:tab w:val="left" w:pos="567"/>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 xml:space="preserve">W czasie dogrywki można anulować i modyfikować wcześniej złożone zlecenia maklerskie w celu ich realizacji po cenie równej kursowi, o którym mowa w ust. 1. </w:t>
      </w:r>
    </w:p>
    <w:p w14:paraId="304300D7" w14:textId="77777777" w:rsidR="00F20DBE" w:rsidRPr="00F20DBE" w:rsidRDefault="00F20DBE" w:rsidP="008F2C31">
      <w:pPr>
        <w:tabs>
          <w:tab w:val="left" w:pos="567"/>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lastRenderedPageBreak/>
        <w:t>3.</w:t>
      </w:r>
      <w:r w:rsidRPr="00F20DBE">
        <w:rPr>
          <w:rFonts w:ascii="Verdana" w:eastAsia="Times New Roman" w:hAnsi="Verdana"/>
          <w:sz w:val="20"/>
          <w:szCs w:val="20"/>
          <w:lang w:eastAsia="pl-PL"/>
        </w:rPr>
        <w:tab/>
        <w:t>Zarząd Giełdy określa w Szczegółowych Zasadach Obrotu Giełdowego instrumenty finansowe, dla których organizowana jest dogrywka, oraz  zasady i tryb jej przeprowadzania w systemie notowań ciągłych.</w:t>
      </w:r>
    </w:p>
    <w:p w14:paraId="158407FB" w14:textId="77777777" w:rsidR="00F20DBE" w:rsidRPr="00F20DBE" w:rsidRDefault="00F20DBE" w:rsidP="008F2C31">
      <w:pPr>
        <w:tabs>
          <w:tab w:val="left" w:pos="567"/>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4.</w:t>
      </w:r>
      <w:r w:rsidRPr="00F20DBE">
        <w:rPr>
          <w:rFonts w:ascii="Verdana" w:eastAsia="Times New Roman" w:hAnsi="Verdana"/>
          <w:sz w:val="20"/>
          <w:szCs w:val="20"/>
          <w:lang w:eastAsia="pl-PL"/>
        </w:rPr>
        <w:tab/>
        <w:t>Dogrywki nie organizuje się w systemie animatora rynku.</w:t>
      </w:r>
    </w:p>
    <w:p w14:paraId="0532F3CA" w14:textId="77777777" w:rsidR="00F20DBE" w:rsidRPr="00A07044" w:rsidRDefault="00F20DBE" w:rsidP="008F2C31">
      <w:pPr>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 xml:space="preserve"> </w:t>
      </w:r>
    </w:p>
    <w:p w14:paraId="0EBF4A6D" w14:textId="5A8D8454" w:rsidR="00F20DBE" w:rsidRPr="00A07044" w:rsidRDefault="00F20DBE" w:rsidP="008F2C31">
      <w:pPr>
        <w:keepNext/>
        <w:spacing w:after="120" w:line="360" w:lineRule="auto"/>
        <w:jc w:val="center"/>
        <w:outlineLvl w:val="1"/>
        <w:rPr>
          <w:rFonts w:ascii="Verdana" w:eastAsia="Times New Roman" w:hAnsi="Verdana"/>
          <w:iCs/>
          <w:sz w:val="20"/>
          <w:szCs w:val="24"/>
          <w:lang w:eastAsia="pl-PL"/>
        </w:rPr>
      </w:pPr>
      <w:bookmarkStart w:id="19" w:name="_Toc195182730"/>
      <w:r w:rsidRPr="00A07044">
        <w:rPr>
          <w:rFonts w:ascii="Verdana" w:eastAsia="Times New Roman" w:hAnsi="Verdana"/>
          <w:iCs/>
          <w:sz w:val="20"/>
          <w:szCs w:val="24"/>
          <w:lang w:eastAsia="pl-PL"/>
        </w:rPr>
        <w:t>Oddział 7</w:t>
      </w:r>
      <w:bookmarkEnd w:id="19"/>
    </w:p>
    <w:p w14:paraId="5B96FA5B" w14:textId="35455C25" w:rsidR="00F20DBE" w:rsidRPr="00A07044" w:rsidRDefault="00F20DBE" w:rsidP="008F2C31">
      <w:pPr>
        <w:keepNext/>
        <w:spacing w:after="120" w:line="360" w:lineRule="auto"/>
        <w:jc w:val="center"/>
        <w:outlineLvl w:val="1"/>
        <w:rPr>
          <w:rFonts w:ascii="Verdana" w:eastAsia="Times New Roman" w:hAnsi="Verdana"/>
          <w:iCs/>
          <w:sz w:val="20"/>
          <w:szCs w:val="24"/>
          <w:lang w:eastAsia="pl-PL"/>
        </w:rPr>
      </w:pPr>
      <w:bookmarkStart w:id="20" w:name="_Toc195182731"/>
      <w:r w:rsidRPr="00A07044">
        <w:rPr>
          <w:rFonts w:ascii="Verdana" w:eastAsia="Times New Roman" w:hAnsi="Verdana"/>
          <w:iCs/>
          <w:sz w:val="20"/>
          <w:szCs w:val="24"/>
          <w:lang w:eastAsia="pl-PL"/>
        </w:rPr>
        <w:t>Notowania w systemie kursu jednolitego (notowania jednolite)</w:t>
      </w:r>
      <w:bookmarkEnd w:id="20"/>
    </w:p>
    <w:p w14:paraId="4A0F6F31" w14:textId="77777777" w:rsidR="00F20DBE" w:rsidRPr="00A07044" w:rsidRDefault="00F20DBE" w:rsidP="008F2C31">
      <w:pPr>
        <w:spacing w:after="120" w:line="360" w:lineRule="auto"/>
        <w:jc w:val="both"/>
        <w:rPr>
          <w:rFonts w:ascii="Verdana" w:eastAsia="Times New Roman" w:hAnsi="Verdana"/>
          <w:sz w:val="20"/>
          <w:szCs w:val="20"/>
          <w:lang w:eastAsia="pl-PL"/>
        </w:rPr>
      </w:pPr>
    </w:p>
    <w:p w14:paraId="4D29877D" w14:textId="74E141B8" w:rsidR="00F20DBE" w:rsidRPr="00A07044" w:rsidRDefault="00F20DBE" w:rsidP="008F2C31">
      <w:pPr>
        <w:spacing w:after="120" w:line="360" w:lineRule="auto"/>
        <w:jc w:val="center"/>
        <w:rPr>
          <w:rFonts w:ascii="Verdana" w:eastAsia="Times New Roman" w:hAnsi="Verdana"/>
          <w:sz w:val="20"/>
          <w:szCs w:val="20"/>
          <w:lang w:eastAsia="pl-PL"/>
        </w:rPr>
      </w:pPr>
      <w:r w:rsidRPr="00A07044">
        <w:rPr>
          <w:rFonts w:ascii="Verdana" w:eastAsia="Times New Roman" w:hAnsi="Verdana"/>
          <w:sz w:val="20"/>
          <w:szCs w:val="20"/>
          <w:lang w:eastAsia="pl-PL"/>
        </w:rPr>
        <w:t>§ 247</w:t>
      </w:r>
    </w:p>
    <w:p w14:paraId="4D3F9456"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A07044">
        <w:rPr>
          <w:rFonts w:ascii="Verdana" w:eastAsia="Times New Roman" w:hAnsi="Verdana"/>
          <w:sz w:val="20"/>
          <w:szCs w:val="20"/>
          <w:lang w:eastAsia="pl-PL"/>
        </w:rPr>
        <w:t>1.</w:t>
      </w:r>
      <w:r w:rsidRPr="00A07044">
        <w:rPr>
          <w:rFonts w:ascii="Verdana" w:eastAsia="Times New Roman" w:hAnsi="Verdana"/>
          <w:sz w:val="20"/>
          <w:szCs w:val="20"/>
          <w:lang w:eastAsia="pl-PL"/>
        </w:rPr>
        <w:tab/>
        <w:t>Kurs  jednolity określany jest na podstawie</w:t>
      </w:r>
      <w:r w:rsidRPr="00F20DBE">
        <w:rPr>
          <w:rFonts w:ascii="Verdana" w:eastAsia="Times New Roman" w:hAnsi="Verdana"/>
          <w:sz w:val="20"/>
          <w:szCs w:val="20"/>
          <w:lang w:eastAsia="pl-PL"/>
        </w:rPr>
        <w:t xml:space="preserve"> następujących rodzajów zleceń maklerskich:    </w:t>
      </w:r>
    </w:p>
    <w:p w14:paraId="1B2A7D7D" w14:textId="77777777" w:rsidR="00F20DBE" w:rsidRPr="00F20DBE" w:rsidRDefault="00F20DBE" w:rsidP="008F2C31">
      <w:pPr>
        <w:spacing w:after="120" w:line="360" w:lineRule="auto"/>
        <w:ind w:left="708" w:hanging="282"/>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zleceń LIMIT,</w:t>
      </w:r>
    </w:p>
    <w:p w14:paraId="481CDA82" w14:textId="77777777" w:rsidR="00F20DBE" w:rsidRPr="00F20DBE" w:rsidRDefault="00F20DBE" w:rsidP="008F2C31">
      <w:pPr>
        <w:spacing w:after="120" w:line="360" w:lineRule="auto"/>
        <w:ind w:left="708" w:hanging="282"/>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zleceń PKC,</w:t>
      </w:r>
    </w:p>
    <w:p w14:paraId="15F78C9D" w14:textId="77777777" w:rsidR="00F20DBE" w:rsidRPr="00F20DBE" w:rsidRDefault="00F20DBE" w:rsidP="008F2C31">
      <w:pPr>
        <w:spacing w:after="120" w:line="360" w:lineRule="auto"/>
        <w:ind w:left="708" w:hanging="282"/>
        <w:jc w:val="both"/>
        <w:rPr>
          <w:rFonts w:ascii="Verdana" w:eastAsia="Times New Roman" w:hAnsi="Verdana"/>
          <w:sz w:val="20"/>
          <w:szCs w:val="20"/>
          <w:lang w:eastAsia="pl-PL"/>
        </w:rPr>
      </w:pPr>
      <w:r w:rsidRPr="00F20DBE">
        <w:rPr>
          <w:rFonts w:ascii="Verdana" w:eastAsia="Times New Roman" w:hAnsi="Verdana"/>
          <w:sz w:val="20"/>
          <w:szCs w:val="20"/>
          <w:lang w:eastAsia="pl-PL"/>
        </w:rPr>
        <w:t>3)</w:t>
      </w:r>
      <w:r w:rsidRPr="00F20DBE">
        <w:rPr>
          <w:rFonts w:ascii="Verdana" w:eastAsia="Times New Roman" w:hAnsi="Verdana"/>
          <w:sz w:val="20"/>
          <w:szCs w:val="20"/>
          <w:lang w:eastAsia="pl-PL"/>
        </w:rPr>
        <w:tab/>
        <w:t xml:space="preserve">zleceń PCR.  </w:t>
      </w:r>
    </w:p>
    <w:p w14:paraId="54DA1F47" w14:textId="12567342"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Z zastrzeżeniem § 249 ust. 2, kurs jednolity określany jest przy zastosowaniu kolejno następujących zasad:</w:t>
      </w:r>
    </w:p>
    <w:p w14:paraId="4EEEC221" w14:textId="77777777" w:rsidR="00F20DBE" w:rsidRPr="00F20DBE" w:rsidRDefault="00F20DBE" w:rsidP="008F2C31">
      <w:pPr>
        <w:spacing w:after="120" w:line="360" w:lineRule="auto"/>
        <w:ind w:left="708" w:hanging="282"/>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maksymalizacji wolumenu obrotu,</w:t>
      </w:r>
    </w:p>
    <w:p w14:paraId="389A55F0" w14:textId="77777777" w:rsidR="00F20DBE" w:rsidRPr="00F20DBE" w:rsidRDefault="00F20DBE" w:rsidP="008F2C31">
      <w:pPr>
        <w:spacing w:after="120" w:line="360" w:lineRule="auto"/>
        <w:ind w:left="708" w:hanging="282"/>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 xml:space="preserve">minimalizacji różnicy między liczbą instrumentów finansowych w zleceniach sprzedaży i zleceniach kupna możliwych do zrealizowania po określonym kursie, </w:t>
      </w:r>
    </w:p>
    <w:p w14:paraId="13DFABE3" w14:textId="77777777" w:rsidR="00F20DBE" w:rsidRPr="00F20DBE" w:rsidRDefault="00F20DBE" w:rsidP="00385A76">
      <w:pPr>
        <w:spacing w:after="240" w:line="360" w:lineRule="auto"/>
        <w:ind w:firstLine="426"/>
        <w:jc w:val="both"/>
        <w:rPr>
          <w:rFonts w:ascii="Verdana" w:eastAsia="Times New Roman" w:hAnsi="Verdana"/>
          <w:sz w:val="20"/>
          <w:szCs w:val="20"/>
          <w:lang w:eastAsia="pl-PL"/>
        </w:rPr>
      </w:pPr>
      <w:r w:rsidRPr="00F20DBE">
        <w:rPr>
          <w:rFonts w:ascii="Verdana" w:eastAsia="Times New Roman" w:hAnsi="Verdana"/>
          <w:sz w:val="20"/>
          <w:szCs w:val="20"/>
          <w:lang w:eastAsia="pl-PL"/>
        </w:rPr>
        <w:t>3)</w:t>
      </w:r>
      <w:r w:rsidRPr="00F20DBE">
        <w:rPr>
          <w:rFonts w:ascii="Verdana" w:eastAsia="Times New Roman" w:hAnsi="Verdana"/>
          <w:sz w:val="20"/>
          <w:szCs w:val="20"/>
          <w:lang w:eastAsia="pl-PL"/>
        </w:rPr>
        <w:tab/>
        <w:t>minimalizacji różnicy między kursem określanym a kursem odniesienia.</w:t>
      </w:r>
    </w:p>
    <w:p w14:paraId="06D1D2D3" w14:textId="02315459" w:rsidR="00F20DBE" w:rsidRPr="00F20DBE" w:rsidRDefault="00F20DBE" w:rsidP="008F2C31">
      <w:pPr>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t>§ 248</w:t>
      </w:r>
    </w:p>
    <w:p w14:paraId="3A919456" w14:textId="77777777" w:rsidR="00F20DBE" w:rsidRPr="00F20DBE" w:rsidRDefault="00F20DBE" w:rsidP="008F2C31">
      <w:pPr>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 xml:space="preserve">Zarząd Giełdy określa w Szczegółowych Zasadach Obrotu Giełdowego szczegółowy tryb określania kursu jednolitego, jak również zasady realizacji zleceń biorących udział w jego określaniu.   </w:t>
      </w:r>
    </w:p>
    <w:p w14:paraId="7DF47D1B" w14:textId="0ED8FEC5" w:rsidR="00F20DBE" w:rsidRPr="00F20DBE" w:rsidRDefault="00F20DBE" w:rsidP="008F2C31">
      <w:pPr>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t>§ 249</w:t>
      </w:r>
    </w:p>
    <w:p w14:paraId="27707B28"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 xml:space="preserve">Z chwilą ogłoszenia kursu jednolitego staje się on ceną, po której zawierane </w:t>
      </w:r>
    </w:p>
    <w:p w14:paraId="21317B3C"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są transakcje giełdowe.</w:t>
      </w:r>
    </w:p>
    <w:p w14:paraId="02516E23" w14:textId="77777777" w:rsidR="00F20DBE" w:rsidRPr="00F20DBE" w:rsidRDefault="00F20DBE" w:rsidP="00BE75AF">
      <w:pPr>
        <w:tabs>
          <w:tab w:val="left" w:pos="426"/>
        </w:tabs>
        <w:spacing w:after="24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 xml:space="preserve">W przypadku, gdy najwyższy limit ceny w zleceniu kupna jest niższy od najniższego limitu ceny w zleceniu sprzedaży lub gdy występują wyłącznie zlecenia </w:t>
      </w:r>
      <w:r w:rsidRPr="00F20DBE">
        <w:rPr>
          <w:rFonts w:ascii="Verdana" w:eastAsia="Times New Roman" w:hAnsi="Verdana"/>
          <w:sz w:val="20"/>
          <w:szCs w:val="20"/>
          <w:lang w:eastAsia="pl-PL"/>
        </w:rPr>
        <w:lastRenderedPageBreak/>
        <w:t>kupna lub wyłącznie zlecenia sprzedaży lub gdy występuje brak zleceń (rynek zleceń rozbieżnych) kurs jednolity nie jest określany.</w:t>
      </w:r>
    </w:p>
    <w:p w14:paraId="08FAF72E" w14:textId="74F89548" w:rsidR="00F20DBE" w:rsidRPr="00F20DBE" w:rsidRDefault="00F20DBE" w:rsidP="008F2C31">
      <w:pPr>
        <w:tabs>
          <w:tab w:val="left" w:pos="426"/>
        </w:tabs>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t>§ 250</w:t>
      </w:r>
    </w:p>
    <w:p w14:paraId="1EE9579D"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 xml:space="preserve">W systemie kursu jednolitego obowiązują wyłącznie statyczne ograniczenia wahań kursów. Statyczne ograniczenia wahań kursów obowiązują względem kursu odniesienia określanego zgodnie z ust. 2. </w:t>
      </w:r>
    </w:p>
    <w:p w14:paraId="78D2D978"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Kursem odniesienia dla kursu jednolitego jest ostatni kurs jednolity.</w:t>
      </w:r>
    </w:p>
    <w:p w14:paraId="4BEDD16F"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3.</w:t>
      </w:r>
      <w:r w:rsidRPr="00F20DBE">
        <w:rPr>
          <w:rFonts w:ascii="Verdana" w:eastAsia="Times New Roman" w:hAnsi="Verdana"/>
          <w:sz w:val="20"/>
          <w:szCs w:val="20"/>
          <w:lang w:eastAsia="pl-PL"/>
        </w:rPr>
        <w:tab/>
        <w:t>Zarząd Giełdy określa w Szczegółowych Zasadach Obrotu Giełdowego szczegółowe zasady określania kursu odniesienia oraz wysokość statycznych ograniczeń wahań kursów dla instrumentów finansowych notowanych w systemie kursu jednolitego, przy czym maksymalne dopuszczalne odchylenia od kursu odniesienia nie mogą przekraczać, z zastrzeżeniem ust. 4:</w:t>
      </w:r>
    </w:p>
    <w:p w14:paraId="7D8862B7" w14:textId="77777777" w:rsidR="00F20DBE" w:rsidRPr="00F20DBE" w:rsidRDefault="00F20DBE" w:rsidP="008F2C31">
      <w:pPr>
        <w:tabs>
          <w:tab w:val="left" w:pos="567"/>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 xml:space="preserve">dla akcji i praw do akcji (z zastrzeżeniem pkt 2):   </w:t>
      </w:r>
    </w:p>
    <w:p w14:paraId="74400D0C" w14:textId="77777777" w:rsidR="00F20DBE" w:rsidRPr="00F20DBE" w:rsidRDefault="00F20DBE" w:rsidP="008F2C31">
      <w:pPr>
        <w:spacing w:after="120" w:line="360" w:lineRule="auto"/>
        <w:ind w:left="993" w:hanging="426"/>
        <w:jc w:val="both"/>
        <w:rPr>
          <w:rFonts w:ascii="Verdana" w:eastAsia="Times New Roman" w:hAnsi="Verdana"/>
          <w:sz w:val="20"/>
          <w:szCs w:val="20"/>
          <w:lang w:eastAsia="pl-PL"/>
        </w:rPr>
      </w:pPr>
      <w:r w:rsidRPr="00F20DBE">
        <w:rPr>
          <w:rFonts w:ascii="Verdana" w:eastAsia="Times New Roman" w:hAnsi="Verdana"/>
          <w:sz w:val="20"/>
          <w:szCs w:val="20"/>
          <w:lang w:eastAsia="pl-PL"/>
        </w:rPr>
        <w:t>a)</w:t>
      </w:r>
      <w:r w:rsidRPr="00F20DBE">
        <w:rPr>
          <w:rFonts w:ascii="Verdana" w:eastAsia="Times New Roman" w:hAnsi="Verdana"/>
          <w:sz w:val="20"/>
          <w:szCs w:val="20"/>
          <w:lang w:eastAsia="pl-PL"/>
        </w:rPr>
        <w:tab/>
        <w:t xml:space="preserve">0,03 jednostki waluty notowania – przy kursie odniesienia poniżej 0,30 jednostki waluty notowania,  </w:t>
      </w:r>
    </w:p>
    <w:p w14:paraId="58418E41" w14:textId="77777777" w:rsidR="00F20DBE" w:rsidRPr="00F20DBE" w:rsidRDefault="00F20DBE" w:rsidP="008F2C31">
      <w:pPr>
        <w:spacing w:after="120" w:line="360" w:lineRule="auto"/>
        <w:ind w:left="993" w:hanging="426"/>
        <w:jc w:val="both"/>
        <w:rPr>
          <w:rFonts w:ascii="Verdana" w:eastAsia="Times New Roman" w:hAnsi="Verdana"/>
          <w:sz w:val="20"/>
          <w:szCs w:val="20"/>
          <w:lang w:eastAsia="pl-PL"/>
        </w:rPr>
      </w:pPr>
      <w:r w:rsidRPr="00F20DBE">
        <w:rPr>
          <w:rFonts w:ascii="Verdana" w:eastAsia="Times New Roman" w:hAnsi="Verdana"/>
          <w:sz w:val="20"/>
          <w:szCs w:val="20"/>
          <w:lang w:eastAsia="pl-PL"/>
        </w:rPr>
        <w:t>b)</w:t>
      </w:r>
      <w:r w:rsidRPr="00F20DBE">
        <w:rPr>
          <w:rFonts w:ascii="Verdana" w:eastAsia="Times New Roman" w:hAnsi="Verdana"/>
          <w:sz w:val="20"/>
          <w:szCs w:val="20"/>
          <w:lang w:eastAsia="pl-PL"/>
        </w:rPr>
        <w:tab/>
        <w:t>10% - w pozostałych przypadkach;</w:t>
      </w:r>
    </w:p>
    <w:p w14:paraId="65FB280E" w14:textId="77777777" w:rsidR="00F20DBE" w:rsidRPr="00F20DBE" w:rsidRDefault="00F20DBE" w:rsidP="008F2C31">
      <w:pPr>
        <w:spacing w:after="120" w:line="360" w:lineRule="auto"/>
        <w:ind w:left="567" w:hanging="567"/>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 xml:space="preserve">dla akcji i praw do akcji w dniu debiutu ich emitenta na giełdzie - 30%; </w:t>
      </w:r>
    </w:p>
    <w:p w14:paraId="6F3C961F" w14:textId="77777777" w:rsidR="00F20DBE" w:rsidRPr="00F20DBE" w:rsidRDefault="00F20DBE" w:rsidP="008F2C31">
      <w:pPr>
        <w:spacing w:after="120" w:line="360" w:lineRule="auto"/>
        <w:ind w:left="567" w:hanging="567"/>
        <w:jc w:val="both"/>
        <w:rPr>
          <w:rFonts w:ascii="Verdana" w:eastAsia="Times New Roman" w:hAnsi="Verdana"/>
          <w:sz w:val="20"/>
          <w:szCs w:val="20"/>
          <w:lang w:eastAsia="pl-PL"/>
        </w:rPr>
      </w:pPr>
      <w:r w:rsidRPr="00F20DBE">
        <w:rPr>
          <w:rFonts w:ascii="Verdana" w:eastAsia="Times New Roman" w:hAnsi="Verdana"/>
          <w:sz w:val="20"/>
          <w:szCs w:val="20"/>
          <w:lang w:eastAsia="pl-PL"/>
        </w:rPr>
        <w:t>3)</w:t>
      </w:r>
      <w:r w:rsidRPr="00F20DBE">
        <w:rPr>
          <w:rFonts w:ascii="Verdana" w:eastAsia="Times New Roman" w:hAnsi="Verdana"/>
          <w:sz w:val="20"/>
          <w:szCs w:val="20"/>
          <w:lang w:eastAsia="pl-PL"/>
        </w:rPr>
        <w:tab/>
        <w:t xml:space="preserve">dla praw poboru: </w:t>
      </w:r>
    </w:p>
    <w:p w14:paraId="025818D4" w14:textId="77777777" w:rsidR="00F20DBE" w:rsidRPr="00F20DBE" w:rsidRDefault="00F20DBE" w:rsidP="008F2C31">
      <w:pPr>
        <w:spacing w:after="120" w:line="360" w:lineRule="auto"/>
        <w:ind w:left="993" w:hanging="426"/>
        <w:jc w:val="both"/>
        <w:rPr>
          <w:rFonts w:ascii="Verdana" w:eastAsia="Times New Roman" w:hAnsi="Verdana"/>
          <w:sz w:val="20"/>
          <w:szCs w:val="20"/>
          <w:lang w:eastAsia="pl-PL"/>
        </w:rPr>
      </w:pPr>
      <w:r w:rsidRPr="00F20DBE">
        <w:rPr>
          <w:rFonts w:ascii="Verdana" w:eastAsia="Times New Roman" w:hAnsi="Verdana"/>
          <w:sz w:val="20"/>
          <w:szCs w:val="20"/>
          <w:lang w:eastAsia="pl-PL"/>
        </w:rPr>
        <w:t>a)</w:t>
      </w:r>
      <w:r w:rsidRPr="00F20DBE">
        <w:rPr>
          <w:rFonts w:ascii="Verdana" w:eastAsia="Times New Roman" w:hAnsi="Verdana"/>
          <w:sz w:val="20"/>
          <w:szCs w:val="20"/>
          <w:lang w:eastAsia="pl-PL"/>
        </w:rPr>
        <w:tab/>
        <w:t xml:space="preserve">0,03 jednostki waluty notowania – przy kursie odniesienia poniżej </w:t>
      </w:r>
    </w:p>
    <w:p w14:paraId="08BD3058" w14:textId="77777777" w:rsidR="00F20DBE" w:rsidRPr="00F20DBE" w:rsidRDefault="00F20DBE" w:rsidP="008F2C31">
      <w:pPr>
        <w:spacing w:after="120" w:line="360" w:lineRule="auto"/>
        <w:ind w:left="1416" w:hanging="849"/>
        <w:jc w:val="both"/>
        <w:rPr>
          <w:rFonts w:ascii="Verdana" w:eastAsia="Times New Roman" w:hAnsi="Verdana"/>
          <w:sz w:val="20"/>
          <w:szCs w:val="20"/>
          <w:lang w:eastAsia="pl-PL"/>
        </w:rPr>
      </w:pPr>
      <w:r w:rsidRPr="00F20DBE">
        <w:rPr>
          <w:rFonts w:ascii="Verdana" w:eastAsia="Times New Roman" w:hAnsi="Verdana"/>
          <w:sz w:val="20"/>
          <w:szCs w:val="20"/>
          <w:lang w:eastAsia="pl-PL"/>
        </w:rPr>
        <w:t xml:space="preserve">0,30 jednostki waluty notowania,  </w:t>
      </w:r>
    </w:p>
    <w:p w14:paraId="5CF463B4" w14:textId="77777777" w:rsidR="00F20DBE" w:rsidRPr="00F20DBE" w:rsidRDefault="00F20DBE" w:rsidP="008F2C31">
      <w:pPr>
        <w:spacing w:after="120" w:line="360" w:lineRule="auto"/>
        <w:ind w:left="993" w:hanging="426"/>
        <w:jc w:val="both"/>
        <w:rPr>
          <w:rFonts w:ascii="Verdana" w:eastAsia="Times New Roman" w:hAnsi="Verdana"/>
          <w:sz w:val="20"/>
          <w:szCs w:val="20"/>
          <w:lang w:eastAsia="pl-PL"/>
        </w:rPr>
      </w:pPr>
      <w:r w:rsidRPr="00F20DBE">
        <w:rPr>
          <w:rFonts w:ascii="Verdana" w:eastAsia="Times New Roman" w:hAnsi="Verdana"/>
          <w:sz w:val="20"/>
          <w:szCs w:val="20"/>
          <w:lang w:eastAsia="pl-PL"/>
        </w:rPr>
        <w:t>b)</w:t>
      </w:r>
      <w:r w:rsidRPr="00F20DBE">
        <w:rPr>
          <w:rFonts w:ascii="Verdana" w:eastAsia="Times New Roman" w:hAnsi="Verdana"/>
          <w:sz w:val="20"/>
          <w:szCs w:val="20"/>
          <w:lang w:eastAsia="pl-PL"/>
        </w:rPr>
        <w:tab/>
        <w:t>100% - w pozostałych przypadkach;</w:t>
      </w:r>
    </w:p>
    <w:p w14:paraId="26A1E905" w14:textId="77777777" w:rsidR="00F20DBE" w:rsidRPr="00F20DBE" w:rsidRDefault="00F20DBE" w:rsidP="008F2C31">
      <w:pPr>
        <w:tabs>
          <w:tab w:val="left" w:pos="567"/>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4)</w:t>
      </w:r>
      <w:r w:rsidRPr="00F20DBE">
        <w:rPr>
          <w:rFonts w:ascii="Verdana" w:eastAsia="Times New Roman" w:hAnsi="Verdana"/>
          <w:sz w:val="20"/>
          <w:szCs w:val="20"/>
          <w:lang w:eastAsia="pl-PL"/>
        </w:rPr>
        <w:tab/>
        <w:t xml:space="preserve">dla dłużnych instrumentów finansowych – 15 punktów procentowych;  </w:t>
      </w:r>
    </w:p>
    <w:p w14:paraId="2C7519F1" w14:textId="77777777" w:rsidR="00F20DBE" w:rsidRPr="00F20DBE" w:rsidRDefault="00F20DBE" w:rsidP="008F2C31">
      <w:pPr>
        <w:tabs>
          <w:tab w:val="left" w:pos="567"/>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5)</w:t>
      </w:r>
      <w:r w:rsidRPr="00F20DBE">
        <w:rPr>
          <w:rFonts w:ascii="Verdana" w:eastAsia="Times New Roman" w:hAnsi="Verdana"/>
          <w:sz w:val="20"/>
          <w:szCs w:val="20"/>
          <w:lang w:eastAsia="pl-PL"/>
        </w:rPr>
        <w:tab/>
        <w:t xml:space="preserve">dla pozostałych instrumentów finansowych – 100%, o ile Zarząd Giełdy </w:t>
      </w:r>
    </w:p>
    <w:p w14:paraId="23710413" w14:textId="77777777" w:rsidR="00F20DBE" w:rsidRPr="00F20DBE" w:rsidRDefault="00F20DBE" w:rsidP="008F2C31">
      <w:pPr>
        <w:tabs>
          <w:tab w:val="left" w:pos="567"/>
        </w:tabs>
        <w:spacing w:after="120" w:line="360" w:lineRule="auto"/>
        <w:ind w:firstLine="567"/>
        <w:jc w:val="both"/>
        <w:rPr>
          <w:rFonts w:ascii="Verdana" w:eastAsia="Times New Roman" w:hAnsi="Verdana"/>
          <w:sz w:val="20"/>
          <w:szCs w:val="20"/>
          <w:lang w:eastAsia="pl-PL"/>
        </w:rPr>
      </w:pPr>
      <w:r w:rsidRPr="00F20DBE">
        <w:rPr>
          <w:rFonts w:ascii="Verdana" w:eastAsia="Times New Roman" w:hAnsi="Verdana"/>
          <w:sz w:val="20"/>
          <w:szCs w:val="20"/>
          <w:lang w:eastAsia="pl-PL"/>
        </w:rPr>
        <w:t xml:space="preserve">nie określi niższej wartości.  </w:t>
      </w:r>
    </w:p>
    <w:p w14:paraId="41B6185B" w14:textId="77777777" w:rsidR="00F20DBE" w:rsidRPr="00F20DBE" w:rsidRDefault="00F20DBE" w:rsidP="00385A76">
      <w:pPr>
        <w:tabs>
          <w:tab w:val="left" w:pos="284"/>
        </w:tabs>
        <w:spacing w:after="24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4.</w:t>
      </w:r>
      <w:r w:rsidRPr="00F20DBE">
        <w:rPr>
          <w:rFonts w:ascii="Verdana" w:eastAsia="Times New Roman" w:hAnsi="Verdana"/>
          <w:sz w:val="20"/>
          <w:szCs w:val="20"/>
          <w:lang w:eastAsia="pl-PL"/>
        </w:rPr>
        <w:tab/>
        <w:t xml:space="preserve">Zarząd Giełdy może określić w Szczegółowych Zasadach Obrotu Giełdowego zasady wyznaczania kursu odniesienia lub ograniczeń wahań kursów, w szczególności </w:t>
      </w:r>
      <w:r w:rsidRPr="00F20DBE">
        <w:rPr>
          <w:rFonts w:ascii="Verdana" w:eastAsia="Times New Roman" w:hAnsi="Verdana"/>
          <w:sz w:val="20"/>
          <w:szCs w:val="20"/>
          <w:lang w:eastAsia="pl-PL"/>
        </w:rPr>
        <w:br/>
        <w:t xml:space="preserve">w przypadku  instrumentów finansowych, których obrót cechuje się niską płynnością oraz w związku realizacją praw z notowanych instrumentów lub instrumentów bazowych dla tych instrumentów, o ile nie zagraża to bezpieczeństwu obrotu giełdowego lub interesowi jego uczestników.  </w:t>
      </w:r>
    </w:p>
    <w:p w14:paraId="23FBCBF2" w14:textId="77777777" w:rsidR="00A07044" w:rsidRDefault="00A07044" w:rsidP="008F2C31">
      <w:pPr>
        <w:spacing w:after="120" w:line="360" w:lineRule="auto"/>
        <w:jc w:val="center"/>
        <w:rPr>
          <w:rFonts w:ascii="Verdana" w:eastAsia="Times New Roman" w:hAnsi="Verdana"/>
          <w:sz w:val="20"/>
          <w:szCs w:val="20"/>
          <w:lang w:eastAsia="pl-PL"/>
        </w:rPr>
      </w:pPr>
    </w:p>
    <w:p w14:paraId="01D13188" w14:textId="3461B8D0" w:rsidR="00F20DBE" w:rsidRPr="00F20DBE" w:rsidRDefault="00F20DBE" w:rsidP="008F2C31">
      <w:pPr>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lastRenderedPageBreak/>
        <w:t>§ 251</w:t>
      </w:r>
    </w:p>
    <w:p w14:paraId="5165D30C"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 xml:space="preserve">Po zakończeniu fazy określania kursu jednolitego mogą być składane dodatkowe  zlecenia kupna i sprzedaży z limitem ceny równym kursowi ostatniej transakcji (dogrywka).  </w:t>
      </w:r>
    </w:p>
    <w:p w14:paraId="4A5E4662"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 xml:space="preserve">W czasie dogrywki można anulować i modyfikować wcześniej złożone zlecenia maklerskie w celu ich realizacji po cenie równej kursowi, o którym mowa w ust. 1. </w:t>
      </w:r>
    </w:p>
    <w:p w14:paraId="1DBEF1F9" w14:textId="77777777" w:rsidR="00F20DBE" w:rsidRPr="00F20DBE" w:rsidRDefault="00F20DBE" w:rsidP="00385A76">
      <w:pPr>
        <w:tabs>
          <w:tab w:val="left" w:pos="426"/>
        </w:tabs>
        <w:spacing w:after="24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3.</w:t>
      </w:r>
      <w:r w:rsidRPr="00F20DBE">
        <w:rPr>
          <w:rFonts w:ascii="Verdana" w:eastAsia="Times New Roman" w:hAnsi="Verdana"/>
          <w:sz w:val="20"/>
          <w:szCs w:val="20"/>
          <w:lang w:eastAsia="pl-PL"/>
        </w:rPr>
        <w:tab/>
        <w:t xml:space="preserve">Zarząd Giełdy określa w Szczegółowych Zasadach  Obrotu Giełdowego instrumenty finansowe, dla których organizowana jest dogrywka, oraz zasady i tryb jej przeprowadzania w systemie kursu jednolitego. </w:t>
      </w:r>
    </w:p>
    <w:p w14:paraId="4155A52A" w14:textId="41A7142F" w:rsidR="00F20DBE" w:rsidRPr="00F20DBE" w:rsidRDefault="00F20DBE" w:rsidP="008F2C31">
      <w:pPr>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t>§ 252</w:t>
      </w:r>
    </w:p>
    <w:p w14:paraId="0DAE0F95"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 xml:space="preserve">W systemie kursu jednolitego: </w:t>
      </w:r>
    </w:p>
    <w:p w14:paraId="69987A01" w14:textId="77777777" w:rsidR="00F20DBE" w:rsidRPr="00F20DBE" w:rsidRDefault="00F20DBE" w:rsidP="008F2C31">
      <w:pPr>
        <w:spacing w:after="120" w:line="360" w:lineRule="auto"/>
        <w:ind w:left="708" w:hanging="282"/>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 xml:space="preserve">w okresie pomiędzy rozpoczęciem przyjmowania zleceń maklerskich w danym dniu a ogłoszeniem kursu jednolitego, </w:t>
      </w:r>
    </w:p>
    <w:p w14:paraId="5F82F072" w14:textId="5FA50EFE" w:rsidR="00F20DBE" w:rsidRPr="00F20DBE" w:rsidRDefault="00F20DBE" w:rsidP="00385A76">
      <w:pPr>
        <w:spacing w:after="120" w:line="360" w:lineRule="auto"/>
        <w:ind w:left="426"/>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 xml:space="preserve">w okresie zawieszenia obrotu z możliwością składania, modyfikowania </w:t>
      </w:r>
      <w:r w:rsidR="00385A76">
        <w:rPr>
          <w:rFonts w:ascii="Verdana" w:eastAsia="Times New Roman" w:hAnsi="Verdana"/>
          <w:sz w:val="20"/>
          <w:szCs w:val="20"/>
          <w:lang w:eastAsia="pl-PL"/>
        </w:rPr>
        <w:br/>
      </w:r>
      <w:r w:rsidRPr="00F20DBE">
        <w:rPr>
          <w:rFonts w:ascii="Verdana" w:eastAsia="Times New Roman" w:hAnsi="Verdana"/>
          <w:sz w:val="20"/>
          <w:szCs w:val="20"/>
          <w:lang w:eastAsia="pl-PL"/>
        </w:rPr>
        <w:t>i anulowania zleceń maklerskich</w:t>
      </w:r>
    </w:p>
    <w:p w14:paraId="22FE094A" w14:textId="18BB2C74" w:rsidR="00F20DBE" w:rsidRPr="00F20DBE" w:rsidRDefault="00F20DBE" w:rsidP="00385A76">
      <w:pPr>
        <w:spacing w:after="120" w:line="360" w:lineRule="auto"/>
        <w:ind w:left="426"/>
        <w:jc w:val="both"/>
        <w:rPr>
          <w:rFonts w:ascii="Verdana" w:eastAsia="Times New Roman" w:hAnsi="Verdana"/>
          <w:sz w:val="20"/>
          <w:szCs w:val="20"/>
          <w:lang w:eastAsia="pl-PL"/>
        </w:rPr>
      </w:pPr>
      <w:r w:rsidRPr="00F20DBE">
        <w:rPr>
          <w:rFonts w:ascii="Verdana" w:eastAsia="Times New Roman" w:hAnsi="Verdana"/>
          <w:sz w:val="20"/>
          <w:szCs w:val="20"/>
          <w:lang w:eastAsia="pl-PL"/>
        </w:rPr>
        <w:t xml:space="preserve">- określane są na bieżąco, zgodnie z zasadami zawartymi w § 247 ust. 2, </w:t>
      </w:r>
      <w:r w:rsidR="00385A76">
        <w:rPr>
          <w:rFonts w:ascii="Verdana" w:eastAsia="Times New Roman" w:hAnsi="Verdana"/>
          <w:sz w:val="20"/>
          <w:szCs w:val="20"/>
          <w:lang w:eastAsia="pl-PL"/>
        </w:rPr>
        <w:br/>
      </w:r>
      <w:r w:rsidRPr="00F20DBE">
        <w:rPr>
          <w:rFonts w:ascii="Verdana" w:eastAsia="Times New Roman" w:hAnsi="Verdana"/>
          <w:sz w:val="20"/>
          <w:szCs w:val="20"/>
          <w:lang w:eastAsia="pl-PL"/>
        </w:rPr>
        <w:t xml:space="preserve">i podawane do publicznej wiadomości teoretyczny kurs otwarcia oraz teoretyczny wolumen otwarcia. </w:t>
      </w:r>
    </w:p>
    <w:p w14:paraId="06B73341"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 xml:space="preserve">Teoretyczny kurs otwarcia oraz teoretyczny wolumen otwarcia aktualizowane są na bieżąco przy każdej zmianie w arkuszu zleceń wynikającej z przyjęcia, modyfikacji lub anulowania zlecenia maklerskiego. </w:t>
      </w:r>
    </w:p>
    <w:p w14:paraId="3D35F026" w14:textId="77777777" w:rsidR="00F20DBE" w:rsidRPr="00A07044"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3.</w:t>
      </w:r>
      <w:r w:rsidRPr="00F20DBE">
        <w:rPr>
          <w:rFonts w:ascii="Verdana" w:eastAsia="Times New Roman" w:hAnsi="Verdana"/>
          <w:sz w:val="20"/>
          <w:szCs w:val="20"/>
          <w:lang w:eastAsia="pl-PL"/>
        </w:rPr>
        <w:tab/>
        <w:t xml:space="preserve">Zarząd Giełdy określa w Szczegółowych Zasadach  Obrotu Giełdowego szczegółowy tryb określania teoretycznego kursu otwarcia oraz teoretycznego wolumenu otwarcia, w tym rodzaje zleceń biorących udział w ich określaniu, jak również zasady postępowania w przypadku, gdy określenie tych wartości nie jest możliwe.    </w:t>
      </w:r>
    </w:p>
    <w:p w14:paraId="205E7986" w14:textId="2A5A213B" w:rsidR="00F20DBE" w:rsidRPr="00A07044" w:rsidRDefault="00F20DBE" w:rsidP="008F2C31">
      <w:pPr>
        <w:keepNext/>
        <w:spacing w:after="120" w:line="360" w:lineRule="auto"/>
        <w:jc w:val="center"/>
        <w:outlineLvl w:val="1"/>
        <w:rPr>
          <w:rFonts w:ascii="Verdana" w:eastAsia="Times New Roman" w:hAnsi="Verdana"/>
          <w:iCs/>
          <w:sz w:val="20"/>
          <w:szCs w:val="24"/>
          <w:lang w:eastAsia="pl-PL"/>
        </w:rPr>
      </w:pPr>
      <w:bookmarkStart w:id="21" w:name="_Toc195182732"/>
      <w:r w:rsidRPr="00A07044">
        <w:rPr>
          <w:rFonts w:ascii="Verdana" w:eastAsia="Times New Roman" w:hAnsi="Verdana"/>
          <w:iCs/>
          <w:sz w:val="20"/>
          <w:szCs w:val="24"/>
          <w:lang w:eastAsia="pl-PL"/>
        </w:rPr>
        <w:t>Oddział 8</w:t>
      </w:r>
      <w:bookmarkEnd w:id="21"/>
    </w:p>
    <w:p w14:paraId="6368D68E" w14:textId="3B69E7BD" w:rsidR="00F20DBE" w:rsidRPr="00A07044" w:rsidRDefault="00F20DBE" w:rsidP="00A07044">
      <w:pPr>
        <w:keepNext/>
        <w:spacing w:after="240" w:line="360" w:lineRule="auto"/>
        <w:jc w:val="center"/>
        <w:outlineLvl w:val="1"/>
        <w:rPr>
          <w:rFonts w:ascii="Verdana" w:eastAsia="Times New Roman" w:hAnsi="Verdana"/>
          <w:iCs/>
          <w:sz w:val="20"/>
          <w:szCs w:val="24"/>
          <w:lang w:eastAsia="pl-PL"/>
        </w:rPr>
      </w:pPr>
      <w:bookmarkStart w:id="22" w:name="_Toc195182733"/>
      <w:r w:rsidRPr="00A07044">
        <w:rPr>
          <w:rFonts w:ascii="Verdana" w:eastAsia="Times New Roman" w:hAnsi="Verdana"/>
          <w:iCs/>
          <w:sz w:val="20"/>
          <w:szCs w:val="24"/>
          <w:lang w:eastAsia="pl-PL"/>
        </w:rPr>
        <w:t>Transakcje pakietowe</w:t>
      </w:r>
      <w:bookmarkEnd w:id="22"/>
    </w:p>
    <w:p w14:paraId="26CDD237" w14:textId="0AD99946" w:rsidR="00F20DBE" w:rsidRPr="00F20DBE" w:rsidRDefault="00F20DBE" w:rsidP="008F2C31">
      <w:pPr>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t>§ 253</w:t>
      </w:r>
    </w:p>
    <w:p w14:paraId="4106621F"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Transakcje pakietowe zawierane są poza systemem notowań ciągłych oraz kursu jednolitego.</w:t>
      </w:r>
    </w:p>
    <w:p w14:paraId="2CEF0672"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lastRenderedPageBreak/>
        <w:t>2.</w:t>
      </w:r>
      <w:r w:rsidRPr="00F20DBE">
        <w:rPr>
          <w:rFonts w:ascii="Verdana" w:eastAsia="Times New Roman" w:hAnsi="Verdana"/>
          <w:sz w:val="20"/>
          <w:szCs w:val="20"/>
          <w:lang w:eastAsia="pl-PL"/>
        </w:rPr>
        <w:tab/>
        <w:t>Transakcje pakietowe mogą być zawierane wyłącznie w dniach, w których odbywają się sesje giełdowe pod warunkiem, że obrót danymi instrumentami finansowymi nie jest zawieszony.</w:t>
      </w:r>
    </w:p>
    <w:p w14:paraId="68D70C51"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3.</w:t>
      </w:r>
      <w:r w:rsidRPr="00F20DBE">
        <w:rPr>
          <w:rFonts w:ascii="Verdana" w:eastAsia="Times New Roman" w:hAnsi="Verdana"/>
          <w:sz w:val="20"/>
          <w:szCs w:val="20"/>
          <w:lang w:eastAsia="pl-PL"/>
        </w:rPr>
        <w:tab/>
        <w:t>Przedmiotem transakcji pakietowych mogą być instrumenty finansowe dopuszczone do obrotu giełdowego określone przez Zarząd Giełdy w Szczegółowych Zasadach  Obrotu Giełdowego, z zastrzeżeniem, że przedmiotem tych transakcji nie mogą być instrumenty finansowe notowane w systemie animatora rynku.</w:t>
      </w:r>
    </w:p>
    <w:p w14:paraId="1D007584" w14:textId="77777777" w:rsidR="00F20DBE" w:rsidRPr="00F20DBE" w:rsidRDefault="00F20DBE" w:rsidP="00884AC7">
      <w:pPr>
        <w:tabs>
          <w:tab w:val="left" w:pos="426"/>
        </w:tabs>
        <w:spacing w:after="24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4.</w:t>
      </w:r>
      <w:r w:rsidRPr="00F20DBE">
        <w:rPr>
          <w:rFonts w:ascii="Verdana" w:eastAsia="Times New Roman" w:hAnsi="Verdana"/>
          <w:sz w:val="20"/>
          <w:szCs w:val="20"/>
          <w:lang w:eastAsia="pl-PL"/>
        </w:rPr>
        <w:tab/>
        <w:t xml:space="preserve">Zlecenia na instrumenty finansowe będące przedmiotem transakcji pakietowej nie mogą być łączone w jedno zlecenie maklerskie z wyjątkiem zleceń wystawianych przez członka giełdy w ramach zarządzania cudzym pakietem akcji. </w:t>
      </w:r>
    </w:p>
    <w:p w14:paraId="35A9069F" w14:textId="66C7EC8F" w:rsidR="00F20DBE" w:rsidRPr="00F20DBE" w:rsidRDefault="00F20DBE" w:rsidP="008F2C31">
      <w:pPr>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t>§ 254</w:t>
      </w:r>
    </w:p>
    <w:p w14:paraId="306FC80C"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 xml:space="preserve">Transakcja pakietowa może być zawarta, jeżeli co najmniej jeden członek giełdy przekaże zlecenie kupna oraz zlecenie sprzedaży takiej samej liczby instrumentów finansowych, po takiej samej cenie i z taką samą datą rozliczenia. </w:t>
      </w:r>
    </w:p>
    <w:p w14:paraId="4B5A365F"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Transakcja pakietowa zawierana w trakcie trwania sesji giełdowej, której przedmiotem są akcje, prawa do akcji, prawa poboru lub ETF-y notowane na giełdzie, może być zawarta jeżeli:</w:t>
      </w:r>
    </w:p>
    <w:p w14:paraId="070D10B1" w14:textId="4F93953C" w:rsidR="00F20DBE" w:rsidRPr="00F20DBE" w:rsidRDefault="00F20DBE" w:rsidP="008F2C31">
      <w:pPr>
        <w:spacing w:after="120" w:line="360" w:lineRule="auto"/>
        <w:ind w:left="426" w:hanging="142"/>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 xml:space="preserve">przedmiotem transakcji jest pakiet danych instrumentów finansowych </w:t>
      </w:r>
      <w:r w:rsidR="00884AC7">
        <w:rPr>
          <w:rFonts w:ascii="Verdana" w:eastAsia="Times New Roman" w:hAnsi="Verdana"/>
          <w:sz w:val="20"/>
          <w:szCs w:val="20"/>
          <w:lang w:eastAsia="pl-PL"/>
        </w:rPr>
        <w:br/>
      </w:r>
      <w:r w:rsidRPr="00F20DBE">
        <w:rPr>
          <w:rFonts w:ascii="Verdana" w:eastAsia="Times New Roman" w:hAnsi="Verdana"/>
          <w:sz w:val="20"/>
          <w:szCs w:val="20"/>
          <w:lang w:eastAsia="pl-PL"/>
        </w:rPr>
        <w:t xml:space="preserve">o wartości nie mniejszej niż minimalna wartość transakcji pakietowej określona przez Zarząd Giełdy lub upoważnionego przez Zarząd Giełdy pracownika Giełdy, zgodnie z zasadami określonymi w Szczegółowych Zasadach Obrotu Giełdowego, przy czym ta wartość minimalna nie może być mniejsza niż minimalna wielkość zlecenia na dużą skalę w porównaniu ze standardową wielkością rynkową ustaloną w odniesieniu do danych instrumentów finansowych zgodnie </w:t>
      </w:r>
      <w:r w:rsidR="00884AC7">
        <w:rPr>
          <w:rFonts w:ascii="Verdana" w:eastAsia="Times New Roman" w:hAnsi="Verdana"/>
          <w:sz w:val="20"/>
          <w:szCs w:val="20"/>
          <w:lang w:eastAsia="pl-PL"/>
        </w:rPr>
        <w:br/>
      </w:r>
      <w:r w:rsidRPr="00F20DBE">
        <w:rPr>
          <w:rFonts w:ascii="Verdana" w:eastAsia="Times New Roman" w:hAnsi="Verdana"/>
          <w:sz w:val="20"/>
          <w:szCs w:val="20"/>
          <w:lang w:eastAsia="pl-PL"/>
        </w:rPr>
        <w:t xml:space="preserve">z przepisami art. 7 i 19 Rozporządzenia delegowanego Komisji (UE) 2017/587 oraz Tabelą 1 w Załączniku II do tego Rozporządzenia, </w:t>
      </w:r>
    </w:p>
    <w:p w14:paraId="1B45FA1E" w14:textId="77777777" w:rsidR="00F20DBE" w:rsidRPr="00F20DBE" w:rsidRDefault="00F20DBE" w:rsidP="008F2C31">
      <w:pPr>
        <w:spacing w:after="120" w:line="360" w:lineRule="auto"/>
        <w:ind w:left="426" w:hanging="142"/>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maksymalna różnica pomiędzy ceną danych instrumentów finansowych określoną w zleceniu a ostatnim kursem tych instrumentów z sesji giełdowej nie jest wyższa niż 10%.</w:t>
      </w:r>
    </w:p>
    <w:p w14:paraId="669923FE" w14:textId="77777777" w:rsidR="00F20DBE" w:rsidRPr="00F20DBE" w:rsidRDefault="00F20DBE" w:rsidP="008F2C31">
      <w:pPr>
        <w:tabs>
          <w:tab w:val="left" w:pos="284"/>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3.</w:t>
      </w:r>
      <w:r w:rsidRPr="00F20DBE">
        <w:rPr>
          <w:rFonts w:ascii="Verdana" w:eastAsia="Times New Roman" w:hAnsi="Verdana"/>
          <w:sz w:val="20"/>
          <w:szCs w:val="20"/>
          <w:lang w:eastAsia="pl-PL"/>
        </w:rPr>
        <w:tab/>
        <w:t xml:space="preserve">W przypadku transakcji pakietowych instrumentami finansowymi, o których mowa w ust. 2, zawieranych poza godzinami sesji giełdowej, transakcja może być zawarta również wtedy, gdy spełnione są warunki określone w ust. 2 pkt 1), a różnica pomiędzy ceną danych instrumentów finansowych w zleceniu a kursem odniesienia nie jest wyższa niż 40%. Kurs odniesienia określany jest jako średnia arytmetyczna </w:t>
      </w:r>
      <w:r w:rsidRPr="00F20DBE">
        <w:rPr>
          <w:rFonts w:ascii="Verdana" w:eastAsia="Times New Roman" w:hAnsi="Verdana"/>
          <w:sz w:val="20"/>
          <w:szCs w:val="20"/>
          <w:lang w:eastAsia="pl-PL"/>
        </w:rPr>
        <w:lastRenderedPageBreak/>
        <w:t>kursów wszystkich transakcji danymi instrumentami finansowymi z sesji giełdowej w dniu, w którym transakcja pakietowa ma zostać zawarta, ważona obrotami. W przypadku gdy na sesji giełdowej w tym dniu nie zawarto danymi instrumentami finansowymi żadnej transakcji, za kurs odniesienia przyjmuje się odpowiednio ostatni kurs zamknięcia albo ostatni kurs jednolity tych instrumentów.</w:t>
      </w:r>
    </w:p>
    <w:p w14:paraId="1C06B1F9"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4.</w:t>
      </w:r>
      <w:r w:rsidRPr="00F20DBE">
        <w:rPr>
          <w:rFonts w:ascii="Verdana" w:eastAsia="Times New Roman" w:hAnsi="Verdana"/>
          <w:sz w:val="20"/>
          <w:szCs w:val="20"/>
          <w:lang w:eastAsia="pl-PL"/>
        </w:rPr>
        <w:tab/>
        <w:t xml:space="preserve">Transakcja pakietowa zawierana w trakcie trwania sesji giełdowej, której przedmiotem są dłużne instrumenty finansowe lub instrumenty typu ETC i ETN notowane na giełdzie, może być zawarta, jeżeli:  </w:t>
      </w:r>
    </w:p>
    <w:p w14:paraId="47E66A1C" w14:textId="77777777" w:rsidR="00F20DBE" w:rsidRPr="00F20DBE" w:rsidRDefault="00F20DBE" w:rsidP="008F2C31">
      <w:pPr>
        <w:spacing w:after="120" w:line="360" w:lineRule="auto"/>
        <w:ind w:left="708" w:hanging="282"/>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 xml:space="preserve">przedmiotem transakcji jest pakiet danych instrumentów finansowych o wartości nie mniejszej niż minimalna wartość transakcji pakietowej określona przez Zarząd Giełdy lub upoważnionego przez Zarząd Giełdy pracownika Giełdy, zgodnie z zasadami określonymi w Szczegółowych Zasadach Obrotu Giełdowego, przy czym ta wartość minimalna nie może być mniejsza niż minimalna wielkość zlecenia na dużą skalę w porównaniu ze standardową wielkością rynkową ustaloną w odniesieniu do danych instrumentów finansowych zgodnie z przepisami art. 3, 13 i 18 Rozporządzenia delegowanego Komisji (UE) 2017/583 oraz Załącznika III do tego Rozporządzenia, z zastrzeżeniem, że dla dłużnych instrumentów finansowych lub instrumentów typu ETC i ETN, dla których nie ma płynnego rynku określonego zgodnie z Rozporządzeniem delegowanym Komisji (UE) 2017/583, Zarząd Giełdy może ustanowić mniejszą minimalną wartość transakcji pakietowej,    </w:t>
      </w:r>
    </w:p>
    <w:p w14:paraId="6D81870A" w14:textId="77777777" w:rsidR="00F20DBE" w:rsidRPr="00F20DBE" w:rsidRDefault="00F20DBE" w:rsidP="008F2C31">
      <w:pPr>
        <w:spacing w:after="120" w:line="360" w:lineRule="auto"/>
        <w:ind w:left="708" w:hanging="282"/>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 xml:space="preserve">maksymalna różnica pomiędzy ceną danych instrumentów finansowych określoną w zleceniu a ostatnim kursem tych instrumentów z sesji giełdowej nie jest wyższa niż  10%.  </w:t>
      </w:r>
    </w:p>
    <w:p w14:paraId="1D2686CB" w14:textId="4DF02138"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5.</w:t>
      </w:r>
      <w:r w:rsidRPr="00F20DBE">
        <w:rPr>
          <w:rFonts w:ascii="Verdana" w:eastAsia="Times New Roman" w:hAnsi="Verdana"/>
          <w:sz w:val="20"/>
          <w:szCs w:val="20"/>
          <w:lang w:eastAsia="pl-PL"/>
        </w:rPr>
        <w:tab/>
        <w:t xml:space="preserve">W przypadku transakcji pakietowych instrumentami finansowymi, o których mowa w ust. 4, zawieranych poza godzinami sesji giełdowej, transakcja może być zawarta również wtedy, gdy spełnione są warunki określone w ust. 4 pkt 1), a różnica pomiędzy ceną danych instrumentów finansowych w zleceniu a kursem odniesienia nie jest wyższa niż 10%. Kurs odniesienia określany jest jako średnia arytmetyczna kursów wszystkich transakcji danymi instrumentami finansowymi z sesji giełdowej </w:t>
      </w:r>
      <w:r w:rsidR="00884AC7">
        <w:rPr>
          <w:rFonts w:ascii="Verdana" w:eastAsia="Times New Roman" w:hAnsi="Verdana"/>
          <w:sz w:val="20"/>
          <w:szCs w:val="20"/>
          <w:lang w:eastAsia="pl-PL"/>
        </w:rPr>
        <w:br/>
      </w:r>
      <w:r w:rsidRPr="00F20DBE">
        <w:rPr>
          <w:rFonts w:ascii="Verdana" w:eastAsia="Times New Roman" w:hAnsi="Verdana"/>
          <w:sz w:val="20"/>
          <w:szCs w:val="20"/>
          <w:lang w:eastAsia="pl-PL"/>
        </w:rPr>
        <w:t xml:space="preserve">w dniu, w którym transakcja pakietowa ma zostać zawarta, ważona obrotami. </w:t>
      </w:r>
      <w:r w:rsidR="00884AC7">
        <w:rPr>
          <w:rFonts w:ascii="Verdana" w:eastAsia="Times New Roman" w:hAnsi="Verdana"/>
          <w:sz w:val="20"/>
          <w:szCs w:val="20"/>
          <w:lang w:eastAsia="pl-PL"/>
        </w:rPr>
        <w:br/>
      </w:r>
      <w:r w:rsidRPr="00F20DBE">
        <w:rPr>
          <w:rFonts w:ascii="Verdana" w:eastAsia="Times New Roman" w:hAnsi="Verdana"/>
          <w:sz w:val="20"/>
          <w:szCs w:val="20"/>
          <w:lang w:eastAsia="pl-PL"/>
        </w:rPr>
        <w:t>W przypadku gdy na sesji giełdowej w tym dniu nie zawarto danymi instrumentami finansowymi żadnej transakcji, za kurs odniesienia przyjmuje się odpowiednio ostatni kurs zamknięcia albo ostatni kurs jednolity tych instrumentów.</w:t>
      </w:r>
    </w:p>
    <w:p w14:paraId="6A0DCC78" w14:textId="4D609C14"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lastRenderedPageBreak/>
        <w:t>6.</w:t>
      </w:r>
      <w:r w:rsidRPr="00F20DBE">
        <w:rPr>
          <w:rFonts w:ascii="Verdana" w:eastAsia="Times New Roman" w:hAnsi="Verdana"/>
          <w:sz w:val="20"/>
          <w:szCs w:val="20"/>
          <w:lang w:eastAsia="pl-PL"/>
        </w:rPr>
        <w:tab/>
        <w:t xml:space="preserve">Zarząd Giełdy może określić maksymalną różnicę pomiędzy ceną danego instrumentu finansowego w zleceniu a kursem, o którym mowa odpowiednio w ust. 2 pkt 2), ust. 3, ust. 4 pkt 2) oraz ust. 5, na poziomie niższym niż określona w tych przepisach.  </w:t>
      </w:r>
    </w:p>
    <w:p w14:paraId="2E6A16AC" w14:textId="77777777" w:rsidR="00F20DBE" w:rsidRPr="00F20DBE" w:rsidRDefault="00F20DBE" w:rsidP="008F2C31">
      <w:pPr>
        <w:tabs>
          <w:tab w:val="left" w:pos="284"/>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7.</w:t>
      </w:r>
      <w:r w:rsidRPr="00F20DBE">
        <w:rPr>
          <w:rFonts w:ascii="Verdana" w:eastAsia="Times New Roman" w:hAnsi="Verdana"/>
          <w:sz w:val="20"/>
          <w:szCs w:val="20"/>
          <w:lang w:eastAsia="pl-PL"/>
        </w:rPr>
        <w:tab/>
        <w:t xml:space="preserve">Zarząd Giełdy lub upoważniony przez Zarząd Giełdy pracownik Giełdy, zgodnie z zasadami określonymi w Szczegółowych Zasadach Obrotu Giełdowego, określa minimalną wartość transakcji pakietowej dla danych instrumentów pochodnych określając minimalną liczbę instrumentów pochodnych będących przedmiotem transakcji (wolumen transakcji). Zarząd Giełdy lub upoważniony przez Zarząd Giełdy pracownik Giełdy określa minimalną liczbę instrumentów pochodnych w transakcji pakietowej, tak aby wartość transakcji pakietowej dla danych instrumentów pochodnych nie była mniejsza niż minimalna wielkość zlecenia na dużą skalę w porównaniu ze standardową wielkością rynkową określoną na podstawie Rozporządzenia delegowanego Komisji (UE) 2017/583. </w:t>
      </w:r>
    </w:p>
    <w:p w14:paraId="36F4A0B9" w14:textId="77777777" w:rsidR="00F20DBE" w:rsidRPr="00F20DBE" w:rsidRDefault="00F20DBE" w:rsidP="00BE75AF">
      <w:pPr>
        <w:tabs>
          <w:tab w:val="left" w:pos="284"/>
        </w:tabs>
        <w:spacing w:after="24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8.</w:t>
      </w:r>
      <w:r w:rsidRPr="00F20DBE">
        <w:rPr>
          <w:rFonts w:ascii="Verdana" w:eastAsia="Times New Roman" w:hAnsi="Verdana"/>
          <w:sz w:val="20"/>
          <w:szCs w:val="20"/>
          <w:lang w:eastAsia="pl-PL"/>
        </w:rPr>
        <w:tab/>
        <w:t>Minimalną wartość transakcji pakietowej określa się w złotych, a dla instrumentów finansowych notowanych w walucie obcej – w tej walucie.</w:t>
      </w:r>
    </w:p>
    <w:p w14:paraId="61C6A3AF" w14:textId="1037308C" w:rsidR="00F20DBE" w:rsidRPr="00F20DBE" w:rsidRDefault="00F20DBE" w:rsidP="008F2C31">
      <w:pPr>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t>§ 255</w:t>
      </w:r>
    </w:p>
    <w:p w14:paraId="1C825F8C"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Zarząd Giełdy może określić w Szczegółowych Zasadach Obrotu Giełdowego szczegółowy tryb zawierania transakcji pakietowych.</w:t>
      </w:r>
    </w:p>
    <w:p w14:paraId="509831B6" w14:textId="1EEA91BD"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Z zastrzeżeniem § 253 ust. 3, Zarząd Giełdy może określić tryb i warunki zawierania transakcji pakietowych dotyczących instrumentów finansowych innych niż określone w § 254, przy czym w przypadku instrumentów finansowych objętych przepisami Rozporządzenia delegowanego Komisji (UE) 2017/587 lub Rozporządzenia delegowanego Komisji (UE) 2017/583 wartość minimalna transakcji pakietowej nie może być mniejsza niż minimalna wielkość zlecenia na dużą skalę w porównaniu ze standardową wielkością rynkową ustalona w odniesieniu do danych instrumentów zgodnie z tymi przepisami.</w:t>
      </w:r>
    </w:p>
    <w:p w14:paraId="79B7E144" w14:textId="77777777" w:rsidR="00F20DBE" w:rsidRPr="00A07044" w:rsidRDefault="00F20DBE" w:rsidP="008F2C31">
      <w:pPr>
        <w:spacing w:after="120" w:line="360" w:lineRule="auto"/>
        <w:jc w:val="both"/>
        <w:rPr>
          <w:rFonts w:ascii="Verdana" w:eastAsia="Times New Roman" w:hAnsi="Verdana"/>
          <w:sz w:val="20"/>
          <w:szCs w:val="20"/>
          <w:lang w:eastAsia="pl-PL"/>
        </w:rPr>
      </w:pPr>
    </w:p>
    <w:p w14:paraId="1E49D8DA" w14:textId="273FE0DD" w:rsidR="00F20DBE" w:rsidRPr="00A07044" w:rsidRDefault="00F20DBE" w:rsidP="008F2C31">
      <w:pPr>
        <w:keepNext/>
        <w:spacing w:after="120" w:line="360" w:lineRule="auto"/>
        <w:jc w:val="center"/>
        <w:outlineLvl w:val="1"/>
        <w:rPr>
          <w:rFonts w:ascii="Verdana" w:eastAsia="Times New Roman" w:hAnsi="Verdana"/>
          <w:iCs/>
          <w:sz w:val="20"/>
          <w:szCs w:val="24"/>
          <w:lang w:eastAsia="pl-PL"/>
        </w:rPr>
      </w:pPr>
      <w:bookmarkStart w:id="23" w:name="_Toc195182734"/>
      <w:r w:rsidRPr="00A07044">
        <w:rPr>
          <w:rFonts w:ascii="Verdana" w:eastAsia="Times New Roman" w:hAnsi="Verdana"/>
          <w:iCs/>
          <w:sz w:val="20"/>
          <w:szCs w:val="24"/>
          <w:lang w:eastAsia="pl-PL"/>
        </w:rPr>
        <w:t>Oddział 9</w:t>
      </w:r>
      <w:bookmarkEnd w:id="23"/>
    </w:p>
    <w:p w14:paraId="1210F372" w14:textId="71D23421" w:rsidR="00F20DBE" w:rsidRPr="00A07044" w:rsidRDefault="00F20DBE" w:rsidP="00A07044">
      <w:pPr>
        <w:keepNext/>
        <w:spacing w:after="240" w:line="360" w:lineRule="auto"/>
        <w:jc w:val="center"/>
        <w:outlineLvl w:val="1"/>
        <w:rPr>
          <w:rFonts w:ascii="Verdana" w:eastAsia="Times New Roman" w:hAnsi="Verdana"/>
          <w:iCs/>
          <w:sz w:val="20"/>
          <w:szCs w:val="24"/>
          <w:lang w:eastAsia="pl-PL"/>
        </w:rPr>
      </w:pPr>
      <w:bookmarkStart w:id="24" w:name="_Toc195182735"/>
      <w:r w:rsidRPr="00A07044">
        <w:rPr>
          <w:rFonts w:ascii="Verdana" w:eastAsia="Times New Roman" w:hAnsi="Verdana"/>
          <w:iCs/>
          <w:sz w:val="20"/>
          <w:szCs w:val="24"/>
          <w:lang w:eastAsia="pl-PL"/>
        </w:rPr>
        <w:t>Transakcje dotyczące nabywania znacznych pakietów akcji</w:t>
      </w:r>
      <w:bookmarkEnd w:id="24"/>
    </w:p>
    <w:p w14:paraId="637CEBEF" w14:textId="4AA210F1" w:rsidR="00F20DBE" w:rsidRPr="00F20DBE" w:rsidRDefault="00F20DBE" w:rsidP="008F2C31">
      <w:pPr>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t>§ 256</w:t>
      </w:r>
    </w:p>
    <w:p w14:paraId="4A741AD2"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Zlecenia maklerskie na akcje notowane na giełdzie będące przedmiotem wezwania wystawia członek giełdy i mogą one obejmować więcej niż jedno zlecenie klienta.</w:t>
      </w:r>
    </w:p>
    <w:p w14:paraId="6335D2D0"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lastRenderedPageBreak/>
        <w:t>2.</w:t>
      </w:r>
      <w:r w:rsidRPr="00F20DBE">
        <w:rPr>
          <w:rFonts w:ascii="Verdana" w:eastAsia="Times New Roman" w:hAnsi="Verdana"/>
          <w:sz w:val="20"/>
          <w:szCs w:val="20"/>
          <w:lang w:eastAsia="pl-PL"/>
        </w:rPr>
        <w:tab/>
        <w:t xml:space="preserve">Transakcje na podstawie zleceń, o których mowa w ust. 1, zawierane są poza systemem notowań ciągłych oraz kursu jednolitego. </w:t>
      </w:r>
    </w:p>
    <w:p w14:paraId="22E55E50" w14:textId="7B0361D2" w:rsidR="00F20DBE" w:rsidRPr="00F20DBE" w:rsidRDefault="00F20DBE" w:rsidP="008F2C31">
      <w:pPr>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t>§ 257</w:t>
      </w:r>
    </w:p>
    <w:p w14:paraId="545FFA5A" w14:textId="77777777" w:rsidR="00F20DBE" w:rsidRPr="00F20DBE" w:rsidRDefault="00F20DBE" w:rsidP="008F2C31">
      <w:pPr>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 xml:space="preserve">Zarząd Giełdy określa w Szczegółowych Zasadach Obrotu Giełdowego szczegółowy tryb postępowania przy realizacji i ogłaszaniu wezwania. </w:t>
      </w:r>
    </w:p>
    <w:p w14:paraId="01143FFE" w14:textId="77777777" w:rsidR="00F20DBE" w:rsidRPr="00F20DBE" w:rsidRDefault="00F20DBE" w:rsidP="008F2C31">
      <w:pPr>
        <w:spacing w:after="120" w:line="360" w:lineRule="auto"/>
        <w:jc w:val="both"/>
        <w:rPr>
          <w:rFonts w:ascii="Verdana" w:eastAsia="Times New Roman" w:hAnsi="Verdana"/>
          <w:sz w:val="20"/>
          <w:szCs w:val="20"/>
          <w:lang w:eastAsia="pl-PL"/>
        </w:rPr>
      </w:pPr>
    </w:p>
    <w:p w14:paraId="00E798F7" w14:textId="6D9F2A91" w:rsidR="00F20DBE" w:rsidRPr="00A07044" w:rsidRDefault="00F20DBE" w:rsidP="008F2C31">
      <w:pPr>
        <w:keepNext/>
        <w:spacing w:after="120" w:line="360" w:lineRule="auto"/>
        <w:jc w:val="center"/>
        <w:outlineLvl w:val="1"/>
        <w:rPr>
          <w:rFonts w:ascii="Verdana" w:eastAsia="Times New Roman" w:hAnsi="Verdana"/>
          <w:iCs/>
          <w:sz w:val="20"/>
          <w:szCs w:val="24"/>
          <w:lang w:eastAsia="pl-PL"/>
        </w:rPr>
      </w:pPr>
      <w:bookmarkStart w:id="25" w:name="_Toc195182736"/>
      <w:r w:rsidRPr="00A07044">
        <w:rPr>
          <w:rFonts w:ascii="Verdana" w:eastAsia="Times New Roman" w:hAnsi="Verdana"/>
          <w:iCs/>
          <w:sz w:val="20"/>
          <w:szCs w:val="24"/>
          <w:lang w:eastAsia="pl-PL"/>
        </w:rPr>
        <w:t>Oddział 10</w:t>
      </w:r>
      <w:bookmarkEnd w:id="25"/>
    </w:p>
    <w:p w14:paraId="4FE3FD38" w14:textId="4E6412AC" w:rsidR="00F20DBE" w:rsidRPr="00A07044" w:rsidRDefault="00F20DBE" w:rsidP="00A07044">
      <w:pPr>
        <w:keepNext/>
        <w:spacing w:after="240" w:line="360" w:lineRule="auto"/>
        <w:jc w:val="center"/>
        <w:outlineLvl w:val="1"/>
        <w:rPr>
          <w:rFonts w:ascii="Verdana" w:eastAsia="Times New Roman" w:hAnsi="Verdana"/>
          <w:iCs/>
          <w:sz w:val="20"/>
          <w:szCs w:val="24"/>
          <w:lang w:eastAsia="pl-PL"/>
        </w:rPr>
      </w:pPr>
      <w:bookmarkStart w:id="26" w:name="_Toc195182737"/>
      <w:r w:rsidRPr="00A07044">
        <w:rPr>
          <w:rFonts w:ascii="Verdana" w:eastAsia="Times New Roman" w:hAnsi="Verdana"/>
          <w:iCs/>
          <w:sz w:val="20"/>
          <w:szCs w:val="24"/>
          <w:lang w:eastAsia="pl-PL"/>
        </w:rPr>
        <w:t>Transakcje skupu akcji</w:t>
      </w:r>
      <w:bookmarkEnd w:id="26"/>
      <w:r w:rsidRPr="00A07044">
        <w:rPr>
          <w:rFonts w:ascii="Verdana" w:eastAsia="Times New Roman" w:hAnsi="Verdana"/>
          <w:iCs/>
          <w:sz w:val="20"/>
          <w:szCs w:val="24"/>
          <w:lang w:eastAsia="pl-PL"/>
        </w:rPr>
        <w:t xml:space="preserve"> </w:t>
      </w:r>
    </w:p>
    <w:p w14:paraId="6818FD39" w14:textId="77BF4B97" w:rsidR="00F20DBE" w:rsidRPr="00F20DBE" w:rsidRDefault="00F20DBE" w:rsidP="008F2C31">
      <w:pPr>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t>§ 258</w:t>
      </w:r>
    </w:p>
    <w:p w14:paraId="21B75B7C"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Zlecenia maklerskie na akcje notowane na giełdzie będące przedmiotem nabycia przez emitenta tych akcji, nabywane na podstawie zaproszenia do składania ofert sprzedaży akcji lub podobnego w skutkach ogłoszenia niebędącego wezwaniem, wystawia członek giełdy i mogą one obejmować więcej niż jedno zlecenie klienta.</w:t>
      </w:r>
    </w:p>
    <w:p w14:paraId="123D6D7B"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 xml:space="preserve">Transakcje na podstawie zleceń, o których mowa w ust. 1, zawierane są poza systemem notowań ciągłych oraz kursu jednolitego. </w:t>
      </w:r>
    </w:p>
    <w:p w14:paraId="599DBB75"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3.</w:t>
      </w:r>
      <w:r w:rsidRPr="00F20DBE">
        <w:rPr>
          <w:rFonts w:ascii="Verdana" w:eastAsia="Times New Roman" w:hAnsi="Verdana"/>
          <w:sz w:val="20"/>
          <w:szCs w:val="20"/>
          <w:lang w:eastAsia="pl-PL"/>
        </w:rPr>
        <w:tab/>
        <w:t>Zarząd Giełdy określa w Szczegółowych Zasadach Obrotu Giełdowego szczegółowy tryb postępowania przy realizacji na giełdzie transakcji na podstawie zleceń, o których mowa w ust. 1.</w:t>
      </w:r>
    </w:p>
    <w:p w14:paraId="132D650D" w14:textId="4FE2EE79" w:rsidR="00F20DBE" w:rsidRPr="00F20DBE" w:rsidRDefault="00F20DBE" w:rsidP="008F2C31">
      <w:pPr>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t>§ 259</w:t>
      </w:r>
    </w:p>
    <w:p w14:paraId="4F8A6CA1"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Zlecenia maklerskie na akcje notowane na giełdzie będące przedmiotem nabycia przez podmiot inny niż emitent tych akcji, nabywane na podstawie zaproszenia do składania ofert sprzedaży akcji lub podobnego w skutkach ogłoszenia niebędącego wezwaniem, wystawia członek giełdy i mogą one obejmować więcej niż jedno zlecenie klienta.</w:t>
      </w:r>
    </w:p>
    <w:p w14:paraId="0C762C37"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 xml:space="preserve">Transakcje na podstawie zleceń, o których mowa w  ust. 1, zawierane są poza systemem notowań ciągłych oraz kursu jednolitego. </w:t>
      </w:r>
    </w:p>
    <w:p w14:paraId="2C8AF7A6" w14:textId="77777777" w:rsidR="00F20DBE" w:rsidRPr="00F20DBE" w:rsidRDefault="00F20DBE" w:rsidP="00884AC7">
      <w:pPr>
        <w:tabs>
          <w:tab w:val="left" w:pos="426"/>
        </w:tabs>
        <w:spacing w:after="24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3.</w:t>
      </w:r>
      <w:r w:rsidRPr="00F20DBE">
        <w:rPr>
          <w:rFonts w:ascii="Verdana" w:eastAsia="Times New Roman" w:hAnsi="Verdana"/>
          <w:sz w:val="20"/>
          <w:szCs w:val="20"/>
          <w:lang w:eastAsia="pl-PL"/>
        </w:rPr>
        <w:tab/>
        <w:t>Zarząd Giełdy określa w Szczegółowych Zasadach Obrotu Giełdowego szczegółowy tryb postępowania przy realizacji na giełdzie transakcji na podstawie zleceń, o których mowa w ust. 1.</w:t>
      </w:r>
    </w:p>
    <w:p w14:paraId="68EB9FDD" w14:textId="57047BD0" w:rsidR="00F20DBE" w:rsidRPr="00A07044" w:rsidRDefault="00F20DBE" w:rsidP="008F2C31">
      <w:pPr>
        <w:keepNext/>
        <w:spacing w:after="120" w:line="360" w:lineRule="auto"/>
        <w:jc w:val="center"/>
        <w:outlineLvl w:val="1"/>
        <w:rPr>
          <w:rFonts w:ascii="Verdana" w:eastAsia="Times New Roman" w:hAnsi="Verdana"/>
          <w:iCs/>
          <w:sz w:val="20"/>
          <w:szCs w:val="24"/>
          <w:lang w:eastAsia="pl-PL"/>
        </w:rPr>
      </w:pPr>
      <w:bookmarkStart w:id="27" w:name="_Toc195182738"/>
      <w:r w:rsidRPr="00A07044">
        <w:rPr>
          <w:rFonts w:ascii="Verdana" w:eastAsia="Times New Roman" w:hAnsi="Verdana"/>
          <w:iCs/>
          <w:sz w:val="20"/>
          <w:szCs w:val="24"/>
          <w:lang w:eastAsia="pl-PL"/>
        </w:rPr>
        <w:lastRenderedPageBreak/>
        <w:t>Oddział 11</w:t>
      </w:r>
      <w:bookmarkEnd w:id="27"/>
    </w:p>
    <w:p w14:paraId="3260E276" w14:textId="2374FF95" w:rsidR="00F20DBE" w:rsidRPr="00A07044" w:rsidRDefault="00F20DBE" w:rsidP="00A07044">
      <w:pPr>
        <w:keepNext/>
        <w:spacing w:after="240" w:line="360" w:lineRule="auto"/>
        <w:jc w:val="center"/>
        <w:outlineLvl w:val="1"/>
        <w:rPr>
          <w:rFonts w:ascii="Verdana" w:eastAsia="Times New Roman" w:hAnsi="Verdana"/>
          <w:iCs/>
          <w:sz w:val="20"/>
          <w:szCs w:val="24"/>
          <w:lang w:eastAsia="pl-PL"/>
        </w:rPr>
      </w:pPr>
      <w:bookmarkStart w:id="28" w:name="_Toc195182739"/>
      <w:r w:rsidRPr="00A07044">
        <w:rPr>
          <w:rFonts w:ascii="Verdana" w:eastAsia="Times New Roman" w:hAnsi="Verdana"/>
          <w:iCs/>
          <w:sz w:val="20"/>
          <w:szCs w:val="24"/>
          <w:lang w:eastAsia="pl-PL"/>
        </w:rPr>
        <w:t>Transakcje odkupu lub odsprzedaży</w:t>
      </w:r>
      <w:bookmarkEnd w:id="28"/>
    </w:p>
    <w:p w14:paraId="31354199" w14:textId="6827BCC5" w:rsidR="00F20DBE" w:rsidRPr="00F20DBE" w:rsidRDefault="00F20DBE" w:rsidP="00A07044">
      <w:pPr>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t>§ 260</w:t>
      </w:r>
    </w:p>
    <w:p w14:paraId="63225DAD"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W celu prawidłowego rozliczenia transakcji giełdowych mogą być zawarte transakcje odkupu lub odsprzedaży instrumentów finansowych.</w:t>
      </w:r>
    </w:p>
    <w:p w14:paraId="3870A08C"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Transakcje, o których mowa w ust. 1, mogą być zawarte w przypadkach:</w:t>
      </w:r>
    </w:p>
    <w:p w14:paraId="53CBE783" w14:textId="77777777" w:rsidR="00F20DBE" w:rsidRPr="00F20DBE" w:rsidRDefault="00F20DBE" w:rsidP="008F2C31">
      <w:pPr>
        <w:tabs>
          <w:tab w:val="left" w:pos="426"/>
        </w:tabs>
        <w:spacing w:after="120" w:line="360" w:lineRule="auto"/>
        <w:ind w:left="708" w:hanging="282"/>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braku odpowiedniej do rozliczenia transakcji liczby papierów wartościowych na rachunku klienta lub na rachunku własnym członka giełdy,</w:t>
      </w:r>
    </w:p>
    <w:p w14:paraId="507D5F76" w14:textId="77777777" w:rsidR="00F20DBE" w:rsidRPr="00F20DBE" w:rsidRDefault="00F20DBE" w:rsidP="008F2C31">
      <w:pPr>
        <w:tabs>
          <w:tab w:val="left" w:pos="426"/>
        </w:tabs>
        <w:spacing w:after="120" w:line="360" w:lineRule="auto"/>
        <w:ind w:left="708" w:hanging="282"/>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konieczności odkupu papierów wartościowych sprzedanych przez członka giełdy niezgodnie ze zleceniem klienta,</w:t>
      </w:r>
    </w:p>
    <w:p w14:paraId="74C407A8" w14:textId="77777777" w:rsidR="00F20DBE" w:rsidRPr="00F20DBE" w:rsidRDefault="00F20DBE" w:rsidP="008F2C31">
      <w:pPr>
        <w:tabs>
          <w:tab w:val="left" w:pos="426"/>
        </w:tabs>
        <w:spacing w:after="120" w:line="360" w:lineRule="auto"/>
        <w:ind w:left="708" w:hanging="282"/>
        <w:jc w:val="both"/>
        <w:rPr>
          <w:rFonts w:ascii="Verdana" w:eastAsia="Times New Roman" w:hAnsi="Verdana"/>
          <w:sz w:val="20"/>
          <w:szCs w:val="20"/>
          <w:lang w:eastAsia="pl-PL"/>
        </w:rPr>
      </w:pPr>
      <w:r w:rsidRPr="00F20DBE">
        <w:rPr>
          <w:rFonts w:ascii="Verdana" w:eastAsia="Times New Roman" w:hAnsi="Verdana"/>
          <w:sz w:val="20"/>
          <w:szCs w:val="20"/>
          <w:lang w:eastAsia="pl-PL"/>
        </w:rPr>
        <w:t>3)</w:t>
      </w:r>
      <w:r w:rsidRPr="00F20DBE">
        <w:rPr>
          <w:rFonts w:ascii="Verdana" w:eastAsia="Times New Roman" w:hAnsi="Verdana"/>
          <w:sz w:val="20"/>
          <w:szCs w:val="20"/>
          <w:lang w:eastAsia="pl-PL"/>
        </w:rPr>
        <w:tab/>
        <w:t xml:space="preserve">konieczności zamknięcia pozycji na instrumentach pochodnych otwartych niezgodnie ze zleceniem klienta, </w:t>
      </w:r>
    </w:p>
    <w:p w14:paraId="1F66B769" w14:textId="77777777" w:rsidR="00F20DBE" w:rsidRPr="00F20DBE" w:rsidRDefault="00F20DBE" w:rsidP="008F2C31">
      <w:pPr>
        <w:tabs>
          <w:tab w:val="left" w:pos="426"/>
        </w:tabs>
        <w:spacing w:after="120" w:line="360" w:lineRule="auto"/>
        <w:ind w:left="708" w:hanging="282"/>
        <w:jc w:val="both"/>
        <w:rPr>
          <w:rFonts w:ascii="Verdana" w:eastAsia="Times New Roman" w:hAnsi="Verdana"/>
          <w:sz w:val="20"/>
          <w:szCs w:val="20"/>
          <w:lang w:eastAsia="pl-PL"/>
        </w:rPr>
      </w:pPr>
      <w:r w:rsidRPr="00F20DBE">
        <w:rPr>
          <w:rFonts w:ascii="Verdana" w:eastAsia="Times New Roman" w:hAnsi="Verdana"/>
          <w:sz w:val="20"/>
          <w:szCs w:val="20"/>
          <w:lang w:eastAsia="pl-PL"/>
        </w:rPr>
        <w:t>4)</w:t>
      </w:r>
      <w:r w:rsidRPr="00F20DBE">
        <w:rPr>
          <w:rFonts w:ascii="Verdana" w:eastAsia="Times New Roman" w:hAnsi="Verdana"/>
          <w:sz w:val="20"/>
          <w:szCs w:val="20"/>
          <w:lang w:eastAsia="pl-PL"/>
        </w:rPr>
        <w:tab/>
        <w:t>braku potwierdzenia zawartej transakcji, o którym mowa w art. 121 ust. 1 Ustawy o obrocie.</w:t>
      </w:r>
    </w:p>
    <w:p w14:paraId="429708E4"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3.</w:t>
      </w:r>
      <w:r w:rsidRPr="00F20DBE">
        <w:rPr>
          <w:rFonts w:ascii="Verdana" w:eastAsia="Times New Roman" w:hAnsi="Verdana"/>
          <w:sz w:val="20"/>
          <w:szCs w:val="20"/>
          <w:lang w:eastAsia="pl-PL"/>
        </w:rPr>
        <w:tab/>
        <w:t>Warunkiem zawarcia transakcji odkupu lub odsprzedaży instrumentów finansowych jest:</w:t>
      </w:r>
    </w:p>
    <w:p w14:paraId="373CF330" w14:textId="012DB8DC" w:rsidR="00F20DBE" w:rsidRPr="00F20DBE" w:rsidRDefault="00F20DBE" w:rsidP="008F2C31">
      <w:pPr>
        <w:spacing w:after="120" w:line="360" w:lineRule="auto"/>
        <w:ind w:left="708" w:hanging="282"/>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 xml:space="preserve">w przypadkach, o których mowa w ust. 2 pkt 1) i 2) złożenie przez członka giełdy propozycji nabycia papierów wartościowych w imieniu własnym i na rachunek własny, a w przypadku, o którym mowa w ust. 2 pkt 4) złożenie przez członka giełdy propozycji nabycia instrumentów finansowych w imieniu własnym i na rachunek klienta lub na rachunek własny, z zastrzeżeniem </w:t>
      </w:r>
      <w:r w:rsidR="00773B30">
        <w:rPr>
          <w:rFonts w:ascii="Verdana" w:eastAsia="Times New Roman" w:hAnsi="Verdana"/>
          <w:sz w:val="20"/>
          <w:szCs w:val="20"/>
          <w:lang w:eastAsia="pl-PL"/>
        </w:rPr>
        <w:br/>
      </w:r>
      <w:r w:rsidRPr="00F20DBE">
        <w:rPr>
          <w:rFonts w:ascii="Verdana" w:eastAsia="Times New Roman" w:hAnsi="Verdana"/>
          <w:sz w:val="20"/>
          <w:szCs w:val="20"/>
          <w:lang w:eastAsia="pl-PL"/>
        </w:rPr>
        <w:t xml:space="preserve">pkt 3), </w:t>
      </w:r>
    </w:p>
    <w:p w14:paraId="384A428B" w14:textId="77777777" w:rsidR="00F20DBE" w:rsidRPr="00F20DBE" w:rsidRDefault="00F20DBE" w:rsidP="008F2C31">
      <w:pPr>
        <w:spacing w:after="120" w:line="360" w:lineRule="auto"/>
        <w:ind w:left="708" w:hanging="282"/>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 xml:space="preserve">w przypadkach, o których mowa w ust. 2 pkt 3) złożenie przez członka giełdy propozycji zamknięcia pozycji w imieniu własnym i na rachunek klienta lub na rachunek własny, z zastrzeżeniem pkt 3), </w:t>
      </w:r>
    </w:p>
    <w:p w14:paraId="13E79AA0" w14:textId="7CF84731" w:rsidR="00F20DBE" w:rsidRPr="00F20DBE" w:rsidRDefault="00F20DBE" w:rsidP="008F2C31">
      <w:pPr>
        <w:spacing w:after="120" w:line="360" w:lineRule="auto"/>
        <w:ind w:left="708" w:hanging="282"/>
        <w:jc w:val="both"/>
        <w:rPr>
          <w:rFonts w:ascii="Verdana" w:eastAsia="Times New Roman" w:hAnsi="Verdana"/>
          <w:sz w:val="20"/>
          <w:szCs w:val="20"/>
          <w:lang w:eastAsia="pl-PL"/>
        </w:rPr>
      </w:pPr>
      <w:r w:rsidRPr="00F20DBE">
        <w:rPr>
          <w:rFonts w:ascii="Verdana" w:eastAsia="Times New Roman" w:hAnsi="Verdana"/>
          <w:sz w:val="20"/>
          <w:szCs w:val="20"/>
          <w:lang w:eastAsia="pl-PL"/>
        </w:rPr>
        <w:t>3)</w:t>
      </w:r>
      <w:r w:rsidRPr="00F20DBE">
        <w:rPr>
          <w:rFonts w:ascii="Verdana" w:eastAsia="Times New Roman" w:hAnsi="Verdana"/>
          <w:sz w:val="20"/>
          <w:szCs w:val="20"/>
          <w:lang w:eastAsia="pl-PL"/>
        </w:rPr>
        <w:tab/>
        <w:t>złożenie przez Krajowy Depozyt propozycji nabycia lub zbycia papierów wartościowych lub w przypadku instrumentów pochodnych  propozycji zamknięcia pozycji, zgodnie z § 200 ust. 2.</w:t>
      </w:r>
    </w:p>
    <w:p w14:paraId="3723B495"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4.</w:t>
      </w:r>
      <w:r w:rsidRPr="00F20DBE">
        <w:rPr>
          <w:rFonts w:ascii="Verdana" w:eastAsia="Times New Roman" w:hAnsi="Verdana"/>
          <w:sz w:val="20"/>
          <w:szCs w:val="20"/>
          <w:lang w:eastAsia="pl-PL"/>
        </w:rPr>
        <w:tab/>
        <w:t>W odpowiedzi na propozycje nabycia lub zbycia papierów wartościowych lub zamknięcia pozycji dla instrumentów pochodnych członkowie giełdy przekazują odpowiednio zlecenia sprzedaży lub kupna danych papierów wartościowych albo zlecenia otwarcia lub zamknięcia pozycji na danych instrumentach pochodnych.</w:t>
      </w:r>
    </w:p>
    <w:p w14:paraId="01B010ED" w14:textId="77777777" w:rsidR="00BE75AF" w:rsidRDefault="00BE75AF" w:rsidP="008F2C31">
      <w:pPr>
        <w:spacing w:after="120" w:line="360" w:lineRule="auto"/>
        <w:jc w:val="center"/>
        <w:rPr>
          <w:rFonts w:ascii="Verdana" w:eastAsia="Times New Roman" w:hAnsi="Verdana"/>
          <w:sz w:val="20"/>
          <w:szCs w:val="20"/>
          <w:lang w:eastAsia="pl-PL"/>
        </w:rPr>
      </w:pPr>
    </w:p>
    <w:p w14:paraId="208B602D" w14:textId="0E5C3027" w:rsidR="00F20DBE" w:rsidRPr="00F20DBE" w:rsidRDefault="00F20DBE" w:rsidP="008F2C31">
      <w:pPr>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lastRenderedPageBreak/>
        <w:t>§ 261</w:t>
      </w:r>
    </w:p>
    <w:p w14:paraId="1DF56276" w14:textId="1A0BA818" w:rsidR="00F20DBE" w:rsidRPr="00F20DBE" w:rsidRDefault="00F20DBE" w:rsidP="008F2C31">
      <w:pPr>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Na zasadach określonych przez Krajowy Depozyt lub w przepisach prawa, członek giełdy składający propozycję, o której mowa w § 260 ust. 3 pkt 1) lub 2), jest zobowiązany do przekazywania Krajowemu Depozytowi informacji o transakcjach zawartych na tej podstawie.</w:t>
      </w:r>
    </w:p>
    <w:p w14:paraId="45576645" w14:textId="04A08CFD" w:rsidR="00F20DBE" w:rsidRPr="00F20DBE" w:rsidRDefault="00F20DBE" w:rsidP="008F2C31">
      <w:pPr>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t>§ 262</w:t>
      </w:r>
    </w:p>
    <w:p w14:paraId="44FB39BC" w14:textId="5D78D846"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1.</w:t>
      </w:r>
      <w:r w:rsidRPr="00F20DBE">
        <w:rPr>
          <w:rFonts w:ascii="Verdana" w:eastAsia="Times New Roman" w:hAnsi="Verdana"/>
          <w:sz w:val="20"/>
          <w:szCs w:val="20"/>
          <w:lang w:eastAsia="pl-PL"/>
        </w:rPr>
        <w:tab/>
        <w:t>Przedmiotem transakcji, o których mowa w § 260, mogą być instrumenty finansowe notowane na giełdzie, z wyjątkiem instrumentów notowanych w systemie animatora rynku, o ile Zarząd Giełdy nie postanowi inaczej.</w:t>
      </w:r>
    </w:p>
    <w:p w14:paraId="74E2C4E0"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2.</w:t>
      </w:r>
      <w:r w:rsidRPr="00F20DBE">
        <w:rPr>
          <w:rFonts w:ascii="Verdana" w:eastAsia="Times New Roman" w:hAnsi="Verdana"/>
          <w:sz w:val="20"/>
          <w:szCs w:val="20"/>
          <w:lang w:eastAsia="pl-PL"/>
        </w:rPr>
        <w:tab/>
        <w:t>Transakcje, o których mowa w ust. 1, zawierane są poza systemem notowań ciągłych oraz kursu jednolitego.</w:t>
      </w:r>
    </w:p>
    <w:p w14:paraId="4DE11824" w14:textId="0F179FA8"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3.</w:t>
      </w:r>
      <w:r w:rsidRPr="00F20DBE">
        <w:rPr>
          <w:rFonts w:ascii="Verdana" w:eastAsia="Times New Roman" w:hAnsi="Verdana"/>
          <w:sz w:val="20"/>
          <w:szCs w:val="20"/>
          <w:lang w:eastAsia="pl-PL"/>
        </w:rPr>
        <w:tab/>
        <w:t>Transakcje, o których mowa w ust. 1, mogą być zawierane również wtedy, gdy obrót danymi instrumentami finansowymi jest zawieszony, o ile co innego nie wynika z decyzji o zawieszeniu.</w:t>
      </w:r>
    </w:p>
    <w:p w14:paraId="4F67F5A5" w14:textId="77777777" w:rsidR="00F20DBE" w:rsidRPr="00F20DBE" w:rsidRDefault="00F20DBE" w:rsidP="008F2C31">
      <w:pPr>
        <w:tabs>
          <w:tab w:val="left" w:pos="426"/>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4.</w:t>
      </w:r>
      <w:r w:rsidRPr="00F20DBE">
        <w:rPr>
          <w:rFonts w:ascii="Verdana" w:eastAsia="Times New Roman" w:hAnsi="Verdana"/>
          <w:sz w:val="20"/>
          <w:szCs w:val="20"/>
          <w:lang w:eastAsia="pl-PL"/>
        </w:rPr>
        <w:tab/>
        <w:t>Zarząd Giełdy określi w Szczegółowych Zasadach Obrotu Giełdowego szczegółowe zasady zawierania transakcji, o których mowa w ust. 1.</w:t>
      </w:r>
    </w:p>
    <w:p w14:paraId="6247893D" w14:textId="77777777" w:rsidR="00F20DBE" w:rsidRPr="00F20DBE" w:rsidRDefault="00F20DBE" w:rsidP="008F2C31">
      <w:pPr>
        <w:spacing w:after="120" w:line="360" w:lineRule="auto"/>
        <w:jc w:val="both"/>
        <w:rPr>
          <w:rFonts w:ascii="Verdana" w:eastAsia="Times New Roman" w:hAnsi="Verdana"/>
          <w:sz w:val="20"/>
          <w:szCs w:val="20"/>
          <w:lang w:eastAsia="pl-PL"/>
        </w:rPr>
      </w:pPr>
    </w:p>
    <w:p w14:paraId="6D68E23E" w14:textId="7FB5947A" w:rsidR="00F20DBE" w:rsidRPr="00A07044" w:rsidRDefault="00F20DBE" w:rsidP="008F2C31">
      <w:pPr>
        <w:keepNext/>
        <w:spacing w:after="120" w:line="360" w:lineRule="auto"/>
        <w:jc w:val="center"/>
        <w:outlineLvl w:val="1"/>
        <w:rPr>
          <w:rFonts w:ascii="Verdana" w:eastAsia="Times New Roman" w:hAnsi="Verdana"/>
          <w:iCs/>
          <w:sz w:val="20"/>
          <w:szCs w:val="24"/>
          <w:lang w:eastAsia="pl-PL"/>
        </w:rPr>
      </w:pPr>
      <w:bookmarkStart w:id="29" w:name="_Toc195182740"/>
      <w:r w:rsidRPr="00A07044">
        <w:rPr>
          <w:rFonts w:ascii="Verdana" w:eastAsia="Times New Roman" w:hAnsi="Verdana"/>
          <w:iCs/>
          <w:sz w:val="20"/>
          <w:szCs w:val="24"/>
          <w:lang w:eastAsia="pl-PL"/>
        </w:rPr>
        <w:t>Oddział 12</w:t>
      </w:r>
      <w:bookmarkEnd w:id="29"/>
    </w:p>
    <w:p w14:paraId="6BBC52BE" w14:textId="0124DF29" w:rsidR="00F20DBE" w:rsidRPr="00A07044" w:rsidRDefault="00F20DBE" w:rsidP="00A07044">
      <w:pPr>
        <w:keepNext/>
        <w:spacing w:after="240" w:line="360" w:lineRule="auto"/>
        <w:jc w:val="center"/>
        <w:outlineLvl w:val="1"/>
        <w:rPr>
          <w:rFonts w:ascii="Verdana" w:eastAsia="Times New Roman" w:hAnsi="Verdana"/>
          <w:iCs/>
          <w:sz w:val="20"/>
          <w:szCs w:val="24"/>
          <w:lang w:eastAsia="pl-PL"/>
        </w:rPr>
      </w:pPr>
      <w:bookmarkStart w:id="30" w:name="_Toc181692408"/>
      <w:bookmarkStart w:id="31" w:name="_Toc195182741"/>
      <w:r w:rsidRPr="00A07044">
        <w:rPr>
          <w:rFonts w:ascii="Verdana" w:eastAsia="Times New Roman" w:hAnsi="Verdana"/>
          <w:iCs/>
          <w:sz w:val="20"/>
          <w:szCs w:val="24"/>
          <w:lang w:eastAsia="pl-PL"/>
        </w:rPr>
        <w:t>Ewidencja transakcji giełdowych</w:t>
      </w:r>
      <w:bookmarkEnd w:id="30"/>
      <w:bookmarkEnd w:id="31"/>
    </w:p>
    <w:p w14:paraId="69E28F19" w14:textId="591522E6" w:rsidR="00F20DBE" w:rsidRPr="00F20DBE" w:rsidRDefault="00F20DBE" w:rsidP="008F2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t>§ 263</w:t>
      </w:r>
    </w:p>
    <w:p w14:paraId="33989C55" w14:textId="77777777" w:rsidR="00F20DBE" w:rsidRPr="00F20DBE" w:rsidRDefault="00F20DBE" w:rsidP="008F2C31">
      <w:pPr>
        <w:numPr>
          <w:ilvl w:val="0"/>
          <w:numId w:val="9"/>
        </w:numPr>
        <w:tabs>
          <w:tab w:val="left" w:pos="720"/>
        </w:tabs>
        <w:spacing w:after="120" w:line="360" w:lineRule="auto"/>
        <w:jc w:val="both"/>
        <w:rPr>
          <w:rFonts w:ascii="Verdana" w:hAnsi="Verdana"/>
          <w:sz w:val="20"/>
        </w:rPr>
      </w:pPr>
      <w:r w:rsidRPr="00F20DBE">
        <w:rPr>
          <w:rFonts w:ascii="Verdana" w:eastAsia="Times New Roman" w:hAnsi="Verdana"/>
          <w:sz w:val="20"/>
          <w:szCs w:val="20"/>
          <w:lang w:eastAsia="pl-PL"/>
        </w:rPr>
        <w:t xml:space="preserve">Niezwłocznie po zawarciu transakcji są wystawiane i przekazywane członkom giełdy oraz do Krajowego Depozytu karty umów będące dowodem zawarcia transakcji giełdowych.  </w:t>
      </w:r>
    </w:p>
    <w:p w14:paraId="00B23217" w14:textId="0F3949C7" w:rsidR="00F20DBE" w:rsidRPr="00F20DBE" w:rsidRDefault="00F20DBE" w:rsidP="008F2C31">
      <w:pPr>
        <w:numPr>
          <w:ilvl w:val="0"/>
          <w:numId w:val="9"/>
        </w:numPr>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 xml:space="preserve">Karty umów przekazywane są w formie przekazu elektronicznego. </w:t>
      </w:r>
      <w:r w:rsidR="00884AC7">
        <w:rPr>
          <w:rFonts w:ascii="Verdana" w:eastAsia="Times New Roman" w:hAnsi="Verdana"/>
          <w:sz w:val="20"/>
          <w:szCs w:val="20"/>
          <w:lang w:eastAsia="pl-PL"/>
        </w:rPr>
        <w:br/>
      </w:r>
      <w:r w:rsidRPr="00F20DBE">
        <w:rPr>
          <w:rFonts w:ascii="Verdana" w:eastAsia="Times New Roman" w:hAnsi="Verdana"/>
          <w:sz w:val="20"/>
          <w:szCs w:val="20"/>
          <w:lang w:eastAsia="pl-PL"/>
        </w:rPr>
        <w:t xml:space="preserve">W sytuacjach nadzwyczajnych karty umów mogą być przekazywane w formie i w sposób określony przez Zarząd Giełdy. </w:t>
      </w:r>
    </w:p>
    <w:p w14:paraId="4F383B3A" w14:textId="77777777" w:rsidR="00F20DBE" w:rsidRPr="00F20DBE" w:rsidRDefault="00F20DBE" w:rsidP="008F2C31">
      <w:pPr>
        <w:numPr>
          <w:ilvl w:val="0"/>
          <w:numId w:val="9"/>
        </w:numPr>
        <w:tabs>
          <w:tab w:val="left" w:pos="720"/>
        </w:tabs>
        <w:spacing w:after="120" w:line="360" w:lineRule="auto"/>
        <w:jc w:val="both"/>
        <w:rPr>
          <w:rFonts w:ascii="Verdana" w:hAnsi="Verdana"/>
          <w:sz w:val="20"/>
        </w:rPr>
      </w:pPr>
      <w:r w:rsidRPr="00F20DBE">
        <w:rPr>
          <w:rFonts w:ascii="Verdana" w:eastAsia="Times New Roman" w:hAnsi="Verdana"/>
          <w:sz w:val="20"/>
          <w:szCs w:val="20"/>
          <w:lang w:eastAsia="pl-PL"/>
        </w:rPr>
        <w:t>W terminie określonym przez Zarząd Giełdy w Szczegółowych Zasadach Obrotu Giełdowego strony transakcji mogą zgłosić przewodniczącemu sesji sprzeciw co do zgodności kart umów  z przyjętymi przez giełdę zleceniami. Niezgłoszenie sprzeciwu oznacza ich potwierdzenie.</w:t>
      </w:r>
    </w:p>
    <w:p w14:paraId="3B44F39E" w14:textId="77777777" w:rsidR="00F20DBE" w:rsidRPr="00F20DBE" w:rsidRDefault="00F20DBE" w:rsidP="008F2C31">
      <w:pPr>
        <w:tabs>
          <w:tab w:val="left" w:pos="720"/>
        </w:tabs>
        <w:spacing w:after="120" w:line="360" w:lineRule="auto"/>
        <w:ind w:left="360" w:hanging="360"/>
        <w:jc w:val="both"/>
        <w:rPr>
          <w:rFonts w:ascii="Verdana" w:eastAsia="Times New Roman" w:hAnsi="Verdana"/>
          <w:sz w:val="20"/>
          <w:szCs w:val="20"/>
          <w:lang w:eastAsia="pl-PL"/>
        </w:rPr>
      </w:pPr>
      <w:r w:rsidRPr="00F20DBE">
        <w:rPr>
          <w:rFonts w:ascii="Verdana" w:eastAsia="Times New Roman" w:hAnsi="Verdana"/>
          <w:sz w:val="20"/>
          <w:szCs w:val="20"/>
          <w:lang w:eastAsia="pl-PL"/>
        </w:rPr>
        <w:t>3a.</w:t>
      </w:r>
      <w:r w:rsidRPr="00F20DBE">
        <w:rPr>
          <w:rFonts w:ascii="Verdana" w:eastAsia="Times New Roman" w:hAnsi="Verdana"/>
          <w:sz w:val="20"/>
          <w:szCs w:val="20"/>
          <w:lang w:eastAsia="pl-PL"/>
        </w:rPr>
        <w:tab/>
        <w:t>Przepisów ust. 3 nie stosuje się do transakcji pakietowych z dniem rozliczenia ustalonym na dzień zawarcia transakcji oraz transakcji pakietowych zawieranych poza godzinami sesji giełdowych.</w:t>
      </w:r>
    </w:p>
    <w:p w14:paraId="5F42C7A4" w14:textId="77777777" w:rsidR="00F20DBE" w:rsidRPr="00F20DBE" w:rsidRDefault="00F20DBE" w:rsidP="00884AC7">
      <w:pPr>
        <w:numPr>
          <w:ilvl w:val="0"/>
          <w:numId w:val="9"/>
        </w:numPr>
        <w:tabs>
          <w:tab w:val="left" w:pos="720"/>
        </w:tabs>
        <w:spacing w:after="240" w:line="360" w:lineRule="auto"/>
        <w:jc w:val="both"/>
        <w:rPr>
          <w:rFonts w:ascii="Verdana" w:hAnsi="Verdana"/>
          <w:sz w:val="20"/>
        </w:rPr>
      </w:pPr>
      <w:r w:rsidRPr="00F20DBE">
        <w:rPr>
          <w:rFonts w:ascii="Verdana" w:eastAsia="Times New Roman" w:hAnsi="Verdana"/>
          <w:sz w:val="20"/>
          <w:szCs w:val="20"/>
          <w:lang w:eastAsia="pl-PL"/>
        </w:rPr>
        <w:lastRenderedPageBreak/>
        <w:t>W przypadku zgłoszenia przez członka giełdy sprzeciwu dalszy tok postępowania określa przewodniczący sesji.</w:t>
      </w:r>
    </w:p>
    <w:p w14:paraId="1FF1D737" w14:textId="7C5FF15D" w:rsidR="00F20DBE" w:rsidRPr="00F20DBE" w:rsidRDefault="00F20DBE" w:rsidP="008F2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t>§ 264</w:t>
      </w:r>
    </w:p>
    <w:p w14:paraId="1BDA1D64" w14:textId="7DF6DF10" w:rsidR="00F20DBE" w:rsidRPr="00F20DBE" w:rsidRDefault="00F20DBE" w:rsidP="008F2C31">
      <w:pPr>
        <w:tabs>
          <w:tab w:val="left" w:pos="720"/>
        </w:tabs>
        <w:spacing w:after="120" w:line="360" w:lineRule="auto"/>
        <w:jc w:val="both"/>
        <w:rPr>
          <w:rFonts w:ascii="Verdana" w:hAnsi="Verdana"/>
          <w:sz w:val="20"/>
        </w:rPr>
      </w:pPr>
      <w:r w:rsidRPr="00F20DBE">
        <w:rPr>
          <w:rFonts w:ascii="Verdana" w:eastAsia="Times New Roman" w:hAnsi="Verdana"/>
          <w:sz w:val="20"/>
          <w:szCs w:val="20"/>
          <w:lang w:eastAsia="pl-PL"/>
        </w:rPr>
        <w:t xml:space="preserve">Karty umów i informacje o anulowaniu transakcji, przekazywane są do Krajowego Depozytu w trybie i na zasadach określonych w umowie, o której mowa w § 266 </w:t>
      </w:r>
      <w:r w:rsidRPr="00F20DBE">
        <w:rPr>
          <w:rFonts w:ascii="Verdana" w:eastAsia="Times New Roman" w:hAnsi="Verdana"/>
          <w:sz w:val="20"/>
          <w:szCs w:val="20"/>
          <w:lang w:eastAsia="pl-PL"/>
        </w:rPr>
        <w:br/>
        <w:t xml:space="preserve">ust. 2. </w:t>
      </w:r>
    </w:p>
    <w:p w14:paraId="19A658F3" w14:textId="5EA1716C" w:rsidR="00F20DBE" w:rsidRPr="00F20DBE" w:rsidRDefault="00F20DBE" w:rsidP="00884A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t>§ 265</w:t>
      </w:r>
    </w:p>
    <w:p w14:paraId="1DAF3108" w14:textId="77777777" w:rsidR="00F20DBE" w:rsidRPr="00F20DBE" w:rsidRDefault="00F20DBE" w:rsidP="00884A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 xml:space="preserve">Zarząd Giełdy może określić w Szczegółowych Zasadach Obrotu Giełdowego szczegółowy sposób wystawiania kart umów, udostępniania ich członkom giełdy oraz ich przekazywania do Krajowego Depozytu.  </w:t>
      </w:r>
    </w:p>
    <w:p w14:paraId="64F8AFB5" w14:textId="1BBF3787" w:rsidR="00F20DBE" w:rsidRPr="00F20DBE" w:rsidRDefault="00F20DBE" w:rsidP="008F2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t>§ 266</w:t>
      </w:r>
    </w:p>
    <w:p w14:paraId="3379AE9D" w14:textId="77777777" w:rsidR="00F20DBE" w:rsidRPr="00F20DBE" w:rsidRDefault="00F20DBE" w:rsidP="008F2C31">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 xml:space="preserve">Uczestnicząc w rozliczaniu transakcji giełdowych członkowie giełdy obowiązani </w:t>
      </w:r>
      <w:r w:rsidRPr="00F20DBE">
        <w:rPr>
          <w:rFonts w:ascii="Verdana" w:eastAsia="Times New Roman" w:hAnsi="Verdana"/>
          <w:sz w:val="20"/>
          <w:szCs w:val="20"/>
          <w:lang w:eastAsia="pl-PL"/>
        </w:rPr>
        <w:br/>
        <w:t xml:space="preserve">są przestrzegać odpowiednich przepisów Krajowego Depozytu. </w:t>
      </w:r>
    </w:p>
    <w:p w14:paraId="5E2C7A2D" w14:textId="14A71475" w:rsidR="00F20DBE" w:rsidRPr="00F20DBE" w:rsidRDefault="00F20DBE" w:rsidP="008F2C31">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 xml:space="preserve">W celu zapewnienia bezpiecznego i sprawnego przebiegu rozliczeń transakcji giełdowych, </w:t>
      </w:r>
      <w:r w:rsidRPr="00F20DBE">
        <w:rPr>
          <w:rFonts w:ascii="Verdana" w:eastAsia="Times New Roman" w:hAnsi="Verdana"/>
          <w:bCs/>
          <w:sz w:val="20"/>
          <w:szCs w:val="20"/>
          <w:lang w:eastAsia="pl-PL"/>
        </w:rPr>
        <w:t xml:space="preserve">w tym realizacji wymogów, o którym mowa w art. 2 ust. 1 Rozporządzenia delegowanego Komisji (UE) 2017/582, </w:t>
      </w:r>
      <w:r w:rsidRPr="00F20DBE">
        <w:rPr>
          <w:rFonts w:ascii="Verdana" w:eastAsia="Times New Roman" w:hAnsi="Verdana"/>
          <w:sz w:val="20"/>
          <w:szCs w:val="20"/>
          <w:lang w:eastAsia="pl-PL"/>
        </w:rPr>
        <w:t xml:space="preserve">Giełda współdziała </w:t>
      </w:r>
      <w:r w:rsidR="00884AC7">
        <w:rPr>
          <w:rFonts w:ascii="Verdana" w:eastAsia="Times New Roman" w:hAnsi="Verdana"/>
          <w:sz w:val="20"/>
          <w:szCs w:val="20"/>
          <w:lang w:eastAsia="pl-PL"/>
        </w:rPr>
        <w:br/>
      </w:r>
      <w:r w:rsidRPr="00F20DBE">
        <w:rPr>
          <w:rFonts w:ascii="Verdana" w:eastAsia="Times New Roman" w:hAnsi="Verdana"/>
          <w:sz w:val="20"/>
          <w:szCs w:val="20"/>
          <w:lang w:eastAsia="pl-PL"/>
        </w:rPr>
        <w:t>z Krajowym Depozytem i KDPW_CCP S.A., określając w drodze  umowy zasady współpracy w tym zakresie.</w:t>
      </w:r>
    </w:p>
    <w:p w14:paraId="6B57F294" w14:textId="68C89ACD" w:rsidR="00F20DBE" w:rsidRPr="00F20DBE" w:rsidRDefault="00F20DBE" w:rsidP="008F2C31">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Verdana" w:eastAsia="Times New Roman" w:hAnsi="Verdana"/>
          <w:sz w:val="20"/>
          <w:szCs w:val="20"/>
          <w:lang w:eastAsia="pl-PL"/>
        </w:rPr>
      </w:pPr>
      <w:r w:rsidRPr="00F20DBE">
        <w:rPr>
          <w:rFonts w:ascii="Verdana" w:eastAsia="Times New Roman" w:hAnsi="Verdana"/>
          <w:bCs/>
          <w:sz w:val="20"/>
          <w:szCs w:val="20"/>
          <w:lang w:eastAsia="pl-PL"/>
        </w:rPr>
        <w:t xml:space="preserve">Do rozliczania transakcji zawieranych na giełdzie ma zastosowanie nowacja rozliczeniowa, o której mowa w art. 45h ust. 2 Ustawy o obrocie, w zakresie </w:t>
      </w:r>
      <w:r w:rsidR="00884AC7">
        <w:rPr>
          <w:rFonts w:ascii="Verdana" w:eastAsia="Times New Roman" w:hAnsi="Verdana"/>
          <w:bCs/>
          <w:sz w:val="20"/>
          <w:szCs w:val="20"/>
          <w:lang w:eastAsia="pl-PL"/>
        </w:rPr>
        <w:br/>
      </w:r>
      <w:r w:rsidRPr="00F20DBE">
        <w:rPr>
          <w:rFonts w:ascii="Verdana" w:eastAsia="Times New Roman" w:hAnsi="Verdana"/>
          <w:bCs/>
          <w:sz w:val="20"/>
          <w:szCs w:val="20"/>
          <w:lang w:eastAsia="pl-PL"/>
        </w:rPr>
        <w:t xml:space="preserve">i na zasadach określonych w Ustawie o obrocie oraz regulacjach Krajowego Depozytu. </w:t>
      </w:r>
    </w:p>
    <w:p w14:paraId="2801F6A0" w14:textId="397B5531" w:rsidR="00F20DBE" w:rsidRPr="00F20DBE" w:rsidRDefault="00F20DBE" w:rsidP="008F2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center"/>
        <w:rPr>
          <w:rFonts w:ascii="Verdana" w:eastAsia="Times New Roman" w:hAnsi="Verdana"/>
          <w:sz w:val="20"/>
          <w:szCs w:val="20"/>
          <w:lang w:eastAsia="pl-PL"/>
        </w:rPr>
      </w:pPr>
      <w:r w:rsidRPr="00F20DBE">
        <w:rPr>
          <w:rFonts w:ascii="Verdana" w:eastAsia="Times New Roman" w:hAnsi="Verdana"/>
          <w:sz w:val="20"/>
          <w:szCs w:val="20"/>
          <w:lang w:eastAsia="pl-PL"/>
        </w:rPr>
        <w:t>§ 267</w:t>
      </w:r>
    </w:p>
    <w:p w14:paraId="6E5F3077" w14:textId="77777777" w:rsidR="00F20DBE" w:rsidRPr="00F20DBE" w:rsidRDefault="00F20DBE" w:rsidP="00884AC7">
      <w:pPr>
        <w:numPr>
          <w:ilvl w:val="0"/>
          <w:numId w:val="11"/>
        </w:numPr>
        <w:tabs>
          <w:tab w:val="clear"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Verdana" w:eastAsia="Times New Roman" w:hAnsi="Verdana"/>
          <w:sz w:val="20"/>
          <w:szCs w:val="20"/>
          <w:lang w:eastAsia="pl-PL"/>
        </w:rPr>
      </w:pPr>
      <w:r w:rsidRPr="00F20DBE">
        <w:rPr>
          <w:rFonts w:ascii="Verdana" w:eastAsia="Times New Roman" w:hAnsi="Verdana"/>
          <w:sz w:val="20"/>
          <w:szCs w:val="20"/>
          <w:lang w:eastAsia="pl-PL"/>
        </w:rPr>
        <w:t>Karta umowy powinna określać w szczególności:</w:t>
      </w:r>
    </w:p>
    <w:p w14:paraId="54D324FD" w14:textId="71AE07CD" w:rsidR="00F20DBE" w:rsidRDefault="00F20DBE" w:rsidP="00884AC7">
      <w:pPr>
        <w:pStyle w:val="Akapitzlist"/>
        <w:numPr>
          <w:ilvl w:val="1"/>
          <w:numId w:val="7"/>
        </w:numPr>
        <w:tabs>
          <w:tab w:val="clear" w:pos="1288"/>
          <w:tab w:val="num" w:pos="1134"/>
        </w:tabs>
        <w:spacing w:after="120" w:line="360" w:lineRule="auto"/>
        <w:ind w:hanging="579"/>
        <w:rPr>
          <w:rFonts w:ascii="Verdana" w:hAnsi="Verdana"/>
          <w:sz w:val="20"/>
          <w:szCs w:val="20"/>
        </w:rPr>
      </w:pPr>
      <w:r w:rsidRPr="003A0404">
        <w:rPr>
          <w:rFonts w:ascii="Verdana" w:hAnsi="Verdana"/>
          <w:sz w:val="20"/>
          <w:szCs w:val="20"/>
        </w:rPr>
        <w:t>numer własny (numer operacji rozliczeniowej),</w:t>
      </w:r>
    </w:p>
    <w:p w14:paraId="61B21EE2" w14:textId="77777777" w:rsidR="003A0404" w:rsidRDefault="00F20DBE" w:rsidP="00884AC7">
      <w:pPr>
        <w:pStyle w:val="Akapitzlist"/>
        <w:numPr>
          <w:ilvl w:val="1"/>
          <w:numId w:val="7"/>
        </w:numPr>
        <w:tabs>
          <w:tab w:val="clear" w:pos="1288"/>
          <w:tab w:val="num" w:pos="1134"/>
        </w:tabs>
        <w:spacing w:after="120" w:line="360" w:lineRule="auto"/>
        <w:ind w:hanging="579"/>
        <w:rPr>
          <w:rFonts w:ascii="Verdana" w:hAnsi="Verdana"/>
          <w:sz w:val="20"/>
          <w:szCs w:val="20"/>
        </w:rPr>
      </w:pPr>
      <w:r w:rsidRPr="003A0404">
        <w:rPr>
          <w:rFonts w:ascii="Verdana" w:hAnsi="Verdana"/>
          <w:sz w:val="20"/>
          <w:szCs w:val="20"/>
        </w:rPr>
        <w:t>datę zawarcia transakcji,</w:t>
      </w:r>
    </w:p>
    <w:p w14:paraId="34C89FB9" w14:textId="77777777" w:rsidR="003A0404" w:rsidRDefault="00F20DBE" w:rsidP="00884AC7">
      <w:pPr>
        <w:pStyle w:val="Akapitzlist"/>
        <w:numPr>
          <w:ilvl w:val="1"/>
          <w:numId w:val="7"/>
        </w:numPr>
        <w:tabs>
          <w:tab w:val="clear" w:pos="1288"/>
          <w:tab w:val="num" w:pos="1134"/>
        </w:tabs>
        <w:spacing w:after="120" w:line="360" w:lineRule="auto"/>
        <w:ind w:hanging="579"/>
        <w:rPr>
          <w:rFonts w:ascii="Verdana" w:hAnsi="Verdana"/>
          <w:sz w:val="20"/>
          <w:szCs w:val="20"/>
        </w:rPr>
      </w:pPr>
      <w:r w:rsidRPr="003A0404">
        <w:rPr>
          <w:rFonts w:ascii="Verdana" w:hAnsi="Verdana"/>
          <w:sz w:val="20"/>
          <w:szCs w:val="20"/>
        </w:rPr>
        <w:t>kod instrumentów finansowych będących przedmiotem transakcji,</w:t>
      </w:r>
    </w:p>
    <w:p w14:paraId="43827AC0" w14:textId="0B8C683E" w:rsidR="00F20DBE" w:rsidRDefault="00F20DBE" w:rsidP="00884AC7">
      <w:pPr>
        <w:pStyle w:val="Akapitzlist"/>
        <w:numPr>
          <w:ilvl w:val="1"/>
          <w:numId w:val="7"/>
        </w:numPr>
        <w:tabs>
          <w:tab w:val="clear" w:pos="1288"/>
          <w:tab w:val="num" w:pos="1134"/>
        </w:tabs>
        <w:spacing w:after="120" w:line="360" w:lineRule="auto"/>
        <w:ind w:hanging="579"/>
        <w:rPr>
          <w:rFonts w:ascii="Verdana" w:hAnsi="Verdana"/>
          <w:sz w:val="20"/>
          <w:szCs w:val="20"/>
        </w:rPr>
      </w:pPr>
      <w:r w:rsidRPr="003A0404">
        <w:rPr>
          <w:rFonts w:ascii="Verdana" w:hAnsi="Verdana"/>
          <w:sz w:val="20"/>
          <w:szCs w:val="20"/>
        </w:rPr>
        <w:t>liczbę instrumentów finansowych będących przedmiotem  transakcji,</w:t>
      </w:r>
    </w:p>
    <w:p w14:paraId="152E892E" w14:textId="77777777" w:rsidR="003A0404" w:rsidRDefault="00F20DBE" w:rsidP="00884AC7">
      <w:pPr>
        <w:pStyle w:val="Akapitzlist"/>
        <w:numPr>
          <w:ilvl w:val="1"/>
          <w:numId w:val="7"/>
        </w:numPr>
        <w:tabs>
          <w:tab w:val="clear" w:pos="1288"/>
          <w:tab w:val="num" w:pos="1134"/>
        </w:tabs>
        <w:spacing w:after="120" w:line="360" w:lineRule="auto"/>
        <w:ind w:hanging="579"/>
        <w:rPr>
          <w:rFonts w:ascii="Verdana" w:hAnsi="Verdana"/>
          <w:sz w:val="20"/>
          <w:szCs w:val="20"/>
        </w:rPr>
      </w:pPr>
      <w:r w:rsidRPr="003A0404">
        <w:rPr>
          <w:rFonts w:ascii="Verdana" w:hAnsi="Verdana"/>
          <w:sz w:val="20"/>
          <w:szCs w:val="20"/>
        </w:rPr>
        <w:t xml:space="preserve">kurs transakcji, </w:t>
      </w:r>
    </w:p>
    <w:p w14:paraId="5EB75A58" w14:textId="77777777" w:rsidR="003A0404" w:rsidRDefault="00F20DBE" w:rsidP="00884AC7">
      <w:pPr>
        <w:pStyle w:val="Akapitzlist"/>
        <w:numPr>
          <w:ilvl w:val="1"/>
          <w:numId w:val="7"/>
        </w:numPr>
        <w:tabs>
          <w:tab w:val="clear" w:pos="1288"/>
          <w:tab w:val="num" w:pos="1134"/>
        </w:tabs>
        <w:spacing w:after="120" w:line="360" w:lineRule="auto"/>
        <w:ind w:hanging="579"/>
        <w:rPr>
          <w:rFonts w:ascii="Verdana" w:hAnsi="Verdana"/>
          <w:sz w:val="20"/>
          <w:szCs w:val="20"/>
        </w:rPr>
      </w:pPr>
      <w:r w:rsidRPr="003A0404">
        <w:rPr>
          <w:rFonts w:ascii="Verdana" w:hAnsi="Verdana"/>
          <w:sz w:val="20"/>
          <w:szCs w:val="20"/>
        </w:rPr>
        <w:t>rodzaj transakcji (kupno/sprzedaż),</w:t>
      </w:r>
    </w:p>
    <w:p w14:paraId="2A33AD1B" w14:textId="77777777" w:rsidR="003A0404" w:rsidRDefault="00F20DBE" w:rsidP="00884AC7">
      <w:pPr>
        <w:pStyle w:val="Akapitzlist"/>
        <w:numPr>
          <w:ilvl w:val="1"/>
          <w:numId w:val="7"/>
        </w:numPr>
        <w:tabs>
          <w:tab w:val="clear" w:pos="1288"/>
          <w:tab w:val="num" w:pos="1134"/>
        </w:tabs>
        <w:spacing w:after="120" w:line="360" w:lineRule="auto"/>
        <w:ind w:hanging="579"/>
        <w:rPr>
          <w:rFonts w:ascii="Verdana" w:hAnsi="Verdana"/>
          <w:sz w:val="20"/>
          <w:szCs w:val="20"/>
        </w:rPr>
      </w:pPr>
      <w:r w:rsidRPr="003A0404">
        <w:rPr>
          <w:rFonts w:ascii="Verdana" w:hAnsi="Verdana"/>
          <w:sz w:val="20"/>
          <w:szCs w:val="20"/>
        </w:rPr>
        <w:t>indywidualny kod członka giełdy zawierającego transakcję,</w:t>
      </w:r>
    </w:p>
    <w:p w14:paraId="1F6C2872" w14:textId="77777777" w:rsidR="003A0404" w:rsidRDefault="00F20DBE" w:rsidP="00884AC7">
      <w:pPr>
        <w:pStyle w:val="Akapitzlist"/>
        <w:numPr>
          <w:ilvl w:val="1"/>
          <w:numId w:val="7"/>
        </w:numPr>
        <w:tabs>
          <w:tab w:val="clear" w:pos="1288"/>
          <w:tab w:val="num" w:pos="1134"/>
        </w:tabs>
        <w:spacing w:after="120" w:line="360" w:lineRule="auto"/>
        <w:ind w:hanging="579"/>
        <w:rPr>
          <w:rFonts w:ascii="Verdana" w:hAnsi="Verdana"/>
          <w:sz w:val="20"/>
          <w:szCs w:val="20"/>
        </w:rPr>
      </w:pPr>
      <w:r w:rsidRPr="003A0404">
        <w:rPr>
          <w:rFonts w:ascii="Verdana" w:hAnsi="Verdana"/>
          <w:sz w:val="20"/>
          <w:szCs w:val="20"/>
        </w:rPr>
        <w:lastRenderedPageBreak/>
        <w:t>numer i datę złożenia zlecenia maklerskiego,</w:t>
      </w:r>
    </w:p>
    <w:p w14:paraId="6D5B2C82" w14:textId="5FA6DCA9" w:rsidR="00F20DBE" w:rsidRPr="003A0404" w:rsidRDefault="00F20DBE" w:rsidP="00884AC7">
      <w:pPr>
        <w:pStyle w:val="Akapitzlist"/>
        <w:numPr>
          <w:ilvl w:val="1"/>
          <w:numId w:val="7"/>
        </w:numPr>
        <w:tabs>
          <w:tab w:val="clear" w:pos="1288"/>
          <w:tab w:val="num" w:pos="1134"/>
        </w:tabs>
        <w:spacing w:after="120" w:line="360" w:lineRule="auto"/>
        <w:ind w:hanging="579"/>
        <w:rPr>
          <w:rFonts w:ascii="Verdana" w:hAnsi="Verdana"/>
          <w:sz w:val="20"/>
          <w:szCs w:val="20"/>
        </w:rPr>
      </w:pPr>
      <w:r w:rsidRPr="003A0404">
        <w:rPr>
          <w:rFonts w:ascii="Verdana" w:hAnsi="Verdana"/>
          <w:sz w:val="20"/>
          <w:szCs w:val="20"/>
        </w:rPr>
        <w:t xml:space="preserve">wskaźnik typu działania. </w:t>
      </w:r>
    </w:p>
    <w:p w14:paraId="5DC765D2" w14:textId="2C330D49" w:rsidR="00F20DBE" w:rsidRPr="00F20DBE" w:rsidRDefault="00F20DBE" w:rsidP="00A07044">
      <w:pPr>
        <w:numPr>
          <w:ilvl w:val="0"/>
          <w:numId w:val="11"/>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line="360" w:lineRule="auto"/>
        <w:ind w:left="426" w:hanging="426"/>
        <w:jc w:val="both"/>
        <w:rPr>
          <w:rFonts w:ascii="Verdana" w:eastAsia="Times New Roman" w:hAnsi="Verdana"/>
          <w:sz w:val="20"/>
          <w:szCs w:val="20"/>
          <w:lang w:eastAsia="pl-PL"/>
        </w:rPr>
      </w:pPr>
      <w:r w:rsidRPr="00F20DBE">
        <w:rPr>
          <w:rFonts w:ascii="Verdana" w:eastAsia="Times New Roman" w:hAnsi="Verdana"/>
          <w:sz w:val="20"/>
          <w:szCs w:val="20"/>
          <w:lang w:eastAsia="pl-PL"/>
        </w:rPr>
        <w:t>Zarząd Giełdy</w:t>
      </w:r>
      <w:r w:rsidRPr="00F20DBE">
        <w:rPr>
          <w:rFonts w:ascii="Verdana" w:eastAsia="Times New Roman" w:hAnsi="Verdana"/>
          <w:b/>
          <w:sz w:val="20"/>
          <w:szCs w:val="20"/>
          <w:lang w:eastAsia="pl-PL"/>
        </w:rPr>
        <w:t xml:space="preserve"> </w:t>
      </w:r>
      <w:r w:rsidRPr="00F20DBE">
        <w:rPr>
          <w:rFonts w:ascii="Verdana" w:eastAsia="Times New Roman" w:hAnsi="Verdana"/>
          <w:sz w:val="20"/>
          <w:szCs w:val="20"/>
          <w:lang w:eastAsia="pl-PL"/>
        </w:rPr>
        <w:t>może określić</w:t>
      </w:r>
      <w:r w:rsidRPr="00F20DBE">
        <w:rPr>
          <w:rFonts w:ascii="Verdana" w:eastAsia="Times New Roman" w:hAnsi="Verdana"/>
          <w:b/>
          <w:sz w:val="20"/>
          <w:szCs w:val="20"/>
          <w:lang w:eastAsia="pl-PL"/>
        </w:rPr>
        <w:t xml:space="preserve"> </w:t>
      </w:r>
      <w:r w:rsidRPr="00F20DBE">
        <w:rPr>
          <w:rFonts w:ascii="Verdana" w:eastAsia="Times New Roman" w:hAnsi="Verdana"/>
          <w:sz w:val="20"/>
          <w:szCs w:val="20"/>
          <w:lang w:eastAsia="pl-PL"/>
        </w:rPr>
        <w:t>w Szczegółowych Zasadach Obrotu Giełdowego dodatkowe informacje, które powinny być zawarte w karcie umowy.</w:t>
      </w:r>
      <w:r w:rsidR="00773B30">
        <w:rPr>
          <w:rFonts w:ascii="Verdana" w:eastAsia="Times New Roman" w:hAnsi="Verdana"/>
          <w:sz w:val="20"/>
          <w:szCs w:val="20"/>
          <w:lang w:eastAsia="pl-PL"/>
        </w:rPr>
        <w:t>”.</w:t>
      </w:r>
      <w:r w:rsidRPr="00F20DBE">
        <w:rPr>
          <w:rFonts w:ascii="Verdana" w:eastAsia="Times New Roman" w:hAnsi="Verdana"/>
          <w:sz w:val="20"/>
          <w:szCs w:val="20"/>
          <w:lang w:eastAsia="pl-PL"/>
        </w:rPr>
        <w:t xml:space="preserve"> </w:t>
      </w:r>
    </w:p>
    <w:p w14:paraId="0D212E3C" w14:textId="77777777" w:rsidR="0027253F" w:rsidRPr="00BE75AF" w:rsidRDefault="0027253F" w:rsidP="008F2C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20" w:line="360" w:lineRule="auto"/>
        <w:jc w:val="center"/>
        <w:rPr>
          <w:rFonts w:ascii="Verdana" w:hAnsi="Verdana"/>
          <w:sz w:val="20"/>
        </w:rPr>
      </w:pPr>
      <w:r w:rsidRPr="00BE75AF">
        <w:rPr>
          <w:rFonts w:ascii="Verdana" w:hAnsi="Verdana"/>
          <w:sz w:val="20"/>
        </w:rPr>
        <w:t>§ 2</w:t>
      </w:r>
    </w:p>
    <w:p w14:paraId="4CF77A01" w14:textId="77777777" w:rsidR="0027253F" w:rsidRPr="0027253F" w:rsidRDefault="0027253F" w:rsidP="008F2C31">
      <w:pPr>
        <w:pStyle w:val="Zwykytekst"/>
        <w:numPr>
          <w:ilvl w:val="0"/>
          <w:numId w:val="22"/>
        </w:numPr>
        <w:spacing w:after="120" w:line="360" w:lineRule="auto"/>
        <w:jc w:val="both"/>
        <w:rPr>
          <w:rFonts w:ascii="Verdana" w:hAnsi="Verdana"/>
          <w:spacing w:val="-3"/>
          <w:sz w:val="20"/>
          <w:szCs w:val="20"/>
        </w:rPr>
      </w:pPr>
      <w:r w:rsidRPr="0027253F">
        <w:rPr>
          <w:rFonts w:ascii="Verdana" w:hAnsi="Verdana"/>
          <w:sz w:val="20"/>
          <w:szCs w:val="20"/>
        </w:rPr>
        <w:t xml:space="preserve">Uchwała niniejsza wchodzi w życie z dniem podjęcia, z zastrzeżeniem </w:t>
      </w:r>
      <w:r w:rsidRPr="0027253F">
        <w:rPr>
          <w:rFonts w:ascii="Verdana" w:hAnsi="Verdana"/>
          <w:sz w:val="20"/>
          <w:szCs w:val="20"/>
        </w:rPr>
        <w:br/>
        <w:t xml:space="preserve">ust. 2-4. </w:t>
      </w:r>
    </w:p>
    <w:p w14:paraId="4D1059C5" w14:textId="77777777" w:rsidR="0027253F" w:rsidRPr="0027253F" w:rsidRDefault="0027253F" w:rsidP="008F2C31">
      <w:pPr>
        <w:pStyle w:val="Zwykytekst"/>
        <w:numPr>
          <w:ilvl w:val="0"/>
          <w:numId w:val="22"/>
        </w:numPr>
        <w:spacing w:after="120" w:line="360" w:lineRule="auto"/>
        <w:jc w:val="both"/>
        <w:rPr>
          <w:rFonts w:ascii="Verdana" w:hAnsi="Verdana"/>
          <w:spacing w:val="-3"/>
          <w:sz w:val="20"/>
          <w:szCs w:val="20"/>
        </w:rPr>
      </w:pPr>
      <w:r w:rsidRPr="0027253F">
        <w:rPr>
          <w:rFonts w:ascii="Verdana" w:hAnsi="Verdana"/>
          <w:sz w:val="20"/>
          <w:szCs w:val="20"/>
        </w:rPr>
        <w:t xml:space="preserve">Zmiany w Regulaminie Giełdy, o których mowa w § 1 niniejszej uchwały,  wchodzą </w:t>
      </w:r>
      <w:r w:rsidRPr="0027253F">
        <w:rPr>
          <w:rFonts w:ascii="Verdana" w:hAnsi="Verdana"/>
          <w:sz w:val="20"/>
          <w:szCs w:val="20"/>
        </w:rPr>
        <w:br/>
        <w:t>w życie z dniem wdrożenia przez GPW nowego systemu transakcyjnego (systemu GPW WATS), określonym przez Zarząd Giełdy w odrębnej uchwale, pod warunkiem udzielenia zgody na dokonanie tych zmian przez Komisję Nadzoru Finansowego, jednak nie wcześniej niż po upływie 1 miesiąca od dnia udzielenia tej zgody i podania treści tych zmian do wiadomości uczestników obrotu.</w:t>
      </w:r>
    </w:p>
    <w:p w14:paraId="0750B981" w14:textId="1E80EECE" w:rsidR="0027253F" w:rsidRPr="0027253F" w:rsidRDefault="0027253F" w:rsidP="008F2C31">
      <w:pPr>
        <w:pStyle w:val="Zwykytekst"/>
        <w:numPr>
          <w:ilvl w:val="0"/>
          <w:numId w:val="22"/>
        </w:numPr>
        <w:spacing w:after="120" w:line="360" w:lineRule="auto"/>
        <w:jc w:val="both"/>
        <w:rPr>
          <w:rFonts w:ascii="Verdana" w:hAnsi="Verdana"/>
          <w:sz w:val="20"/>
          <w:szCs w:val="20"/>
        </w:rPr>
      </w:pPr>
      <w:r w:rsidRPr="0027253F">
        <w:rPr>
          <w:rFonts w:ascii="Verdana" w:hAnsi="Verdana"/>
          <w:sz w:val="20"/>
          <w:szCs w:val="20"/>
        </w:rPr>
        <w:t xml:space="preserve">W przypadku, gdy przed dniem określonym przez Zarząd Giełdy, o którym mowa </w:t>
      </w:r>
      <w:r w:rsidRPr="0027253F">
        <w:rPr>
          <w:rFonts w:ascii="Verdana" w:hAnsi="Verdana"/>
          <w:sz w:val="20"/>
          <w:szCs w:val="20"/>
        </w:rPr>
        <w:br/>
        <w:t xml:space="preserve">w ust. 2, w ocenie Zarządu Giełdy wdrożenie przez GPW nowego systemu transakcyjnego (systemu GPW WATS) okaże się niemożliwe albo z innych przyczyn niecelowe, Zarząd Giełdy może zdecydować o przesunięciu terminu wdrożenia tego  systemu. Uchwała Zarządu Giełdy w tej sprawie powinna zostać niezwłocznie podana do wiadomości uczestników obrotu, Komisji Nadzoru Finansowego, Krajowego Depozytu oraz  KDPW_CCP S.A. </w:t>
      </w:r>
    </w:p>
    <w:p w14:paraId="3EE942A9" w14:textId="53561B58" w:rsidR="0027253F" w:rsidRPr="0027253F" w:rsidRDefault="0027253F" w:rsidP="008F2C31">
      <w:pPr>
        <w:pStyle w:val="Tekstpodstawowy"/>
        <w:numPr>
          <w:ilvl w:val="0"/>
          <w:numId w:val="22"/>
        </w:numPr>
        <w:spacing w:after="240" w:line="360" w:lineRule="auto"/>
        <w:jc w:val="both"/>
        <w:rPr>
          <w:rFonts w:ascii="Verdana" w:hAnsi="Verdana"/>
          <w:sz w:val="20"/>
        </w:rPr>
      </w:pPr>
      <w:r w:rsidRPr="0027253F">
        <w:rPr>
          <w:rFonts w:ascii="Verdana" w:hAnsi="Verdana"/>
          <w:sz w:val="20"/>
        </w:rPr>
        <w:t xml:space="preserve">Jeżeli okoliczności, o których mowa w ust. 3, zostaną ujawnione w dniu wdrożenia przez GPW nowego systemu transakcyjnego (systemu GPW WATS) Zarząd Giełdy może w drodze uchwały zdecydować o zaniechaniu dokonywania w tym dniu wdrożenia tego systemu. W takim przypadku do upływu okresu potrzebnego do ustąpienia tych okoliczności, wskazanego w uchwale Zarządu Giełdy, stosować się będą przepisy Regulaminu Giełdy w brzmieniu dotychczasowym oraz przepisy Szczegółowych Zasad Obrotu Giełdowego w systemie UTP. Uchwała Zarządu Giełdy podjęta w tej sprawie powinna zostać niezwłocznie podana do wiadomości uczestników, Komisji Nadzoru Finansowego, Krajowego Depozytu oraz  KDPW_CCP S.A. </w:t>
      </w:r>
    </w:p>
    <w:p w14:paraId="15AF1B19" w14:textId="1A85DCA7" w:rsidR="0027253F" w:rsidRPr="00BE75AF" w:rsidRDefault="0027253F" w:rsidP="008F2C31">
      <w:pPr>
        <w:pStyle w:val="Tekstkomentarza"/>
        <w:spacing w:after="120" w:line="360" w:lineRule="auto"/>
        <w:jc w:val="center"/>
        <w:rPr>
          <w:rFonts w:ascii="Verdana" w:hAnsi="Verdana"/>
        </w:rPr>
      </w:pPr>
      <w:r w:rsidRPr="00BE75AF">
        <w:rPr>
          <w:rFonts w:ascii="Verdana" w:hAnsi="Verdana"/>
        </w:rPr>
        <w:t>§ 3</w:t>
      </w:r>
    </w:p>
    <w:p w14:paraId="79AF4F6B" w14:textId="7959F7C7" w:rsidR="0027253F" w:rsidRPr="0027253F" w:rsidRDefault="0027253F" w:rsidP="008F2C31">
      <w:pPr>
        <w:pStyle w:val="Tekstpodstawowy"/>
        <w:numPr>
          <w:ilvl w:val="0"/>
          <w:numId w:val="24"/>
        </w:numPr>
        <w:spacing w:line="360" w:lineRule="auto"/>
        <w:jc w:val="both"/>
        <w:rPr>
          <w:rFonts w:ascii="Verdana" w:hAnsi="Verdana"/>
          <w:sz w:val="20"/>
        </w:rPr>
      </w:pPr>
      <w:r w:rsidRPr="0027253F">
        <w:rPr>
          <w:rFonts w:ascii="Verdana" w:hAnsi="Verdana"/>
          <w:sz w:val="20"/>
        </w:rPr>
        <w:t>Z zastrzeżeniem ust. 3</w:t>
      </w:r>
      <w:r w:rsidR="00E263E5">
        <w:rPr>
          <w:rFonts w:ascii="Verdana" w:hAnsi="Verdana"/>
          <w:sz w:val="20"/>
        </w:rPr>
        <w:t xml:space="preserve"> i 4</w:t>
      </w:r>
      <w:r w:rsidRPr="0027253F">
        <w:rPr>
          <w:rFonts w:ascii="Verdana" w:hAnsi="Verdana"/>
          <w:sz w:val="20"/>
        </w:rPr>
        <w:t xml:space="preserve">, do obrotu instrumentami finansowymi w nowym systemie transakcyjnym (systemie GPW WATS) stosuje się przepisy Rozdziałów I-XIX Regulaminu Giełdy, z uwzględnieniem zmian określonych w § 1 niniejszej </w:t>
      </w:r>
      <w:r w:rsidRPr="0027253F">
        <w:rPr>
          <w:rFonts w:ascii="Verdana" w:hAnsi="Verdana"/>
          <w:sz w:val="20"/>
        </w:rPr>
        <w:lastRenderedPageBreak/>
        <w:t>uchwały, a także przepisy uchwalonych na ich podstawie Szczegółowych Zasad Obrotu Giełdowego.</w:t>
      </w:r>
    </w:p>
    <w:p w14:paraId="5586A4B2" w14:textId="6555AA9D" w:rsidR="0027253F" w:rsidRPr="0027253F" w:rsidRDefault="0027253F" w:rsidP="008F2C31">
      <w:pPr>
        <w:pStyle w:val="Tekstpodstawowy"/>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Verdana" w:hAnsi="Verdana"/>
          <w:sz w:val="20"/>
        </w:rPr>
      </w:pPr>
      <w:r w:rsidRPr="0027253F">
        <w:rPr>
          <w:rFonts w:ascii="Verdana" w:hAnsi="Verdana"/>
          <w:sz w:val="20"/>
        </w:rPr>
        <w:t xml:space="preserve">Z zastrzeżeniem ust. 3 i 4, jeżeli po dniu wdrożenia nowego systemu transakcyjnego (systemu GPW WATS) wystąpią okoliczności, które w ocenie Zarządu Giełdy skutkować będą koniecznością czasowego powrotu do notowań </w:t>
      </w:r>
      <w:r w:rsidR="00E263E5">
        <w:rPr>
          <w:rFonts w:ascii="Verdana" w:hAnsi="Verdana"/>
          <w:sz w:val="20"/>
        </w:rPr>
        <w:br/>
      </w:r>
      <w:r w:rsidRPr="0027253F">
        <w:rPr>
          <w:rFonts w:ascii="Verdana" w:hAnsi="Verdana"/>
          <w:sz w:val="20"/>
        </w:rPr>
        <w:t xml:space="preserve">w obecnym systemie transakcyjnym (systemie UTP) do obrotu instrumentami finansowymi stosować się będzie przepisy Rozdziału XX Regulaminu Giełdy oraz odpowiednio </w:t>
      </w:r>
      <w:r w:rsidRPr="0027253F">
        <w:rPr>
          <w:rFonts w:ascii="Verdana" w:hAnsi="Verdana" w:cs="Arial"/>
          <w:sz w:val="20"/>
        </w:rPr>
        <w:t xml:space="preserve">pozostałe przepisy Regulaminu Giełdy (z wyłączeniem przepisów Rozdziałów  IX – XIV), </w:t>
      </w:r>
      <w:r w:rsidRPr="0027253F">
        <w:rPr>
          <w:rFonts w:ascii="Verdana" w:hAnsi="Verdana"/>
          <w:sz w:val="20"/>
        </w:rPr>
        <w:t>z uwzględnieniem zmian określonych w § 1 niniejszej uchwały,</w:t>
      </w:r>
      <w:r w:rsidRPr="0027253F">
        <w:rPr>
          <w:rFonts w:ascii="Verdana" w:hAnsi="Verdana" w:cs="Arial"/>
          <w:sz w:val="20"/>
        </w:rPr>
        <w:t xml:space="preserve"> </w:t>
      </w:r>
      <w:r w:rsidR="00E263E5">
        <w:rPr>
          <w:rFonts w:ascii="Verdana" w:hAnsi="Verdana" w:cs="Arial"/>
          <w:sz w:val="20"/>
        </w:rPr>
        <w:t xml:space="preserve">oraz </w:t>
      </w:r>
      <w:r w:rsidRPr="0027253F">
        <w:rPr>
          <w:rFonts w:ascii="Verdana" w:hAnsi="Verdana"/>
          <w:sz w:val="20"/>
        </w:rPr>
        <w:t xml:space="preserve">przepisy Szczegółowych Zasad Obrotu Giełdowego w systemie UTP. </w:t>
      </w:r>
    </w:p>
    <w:p w14:paraId="29691F00" w14:textId="77BDA95F" w:rsidR="0027253F" w:rsidRPr="0027253F" w:rsidRDefault="0027253F" w:rsidP="008F2C31">
      <w:pPr>
        <w:pStyle w:val="Tekstpodstawowy"/>
        <w:numPr>
          <w:ilvl w:val="0"/>
          <w:numId w:val="24"/>
        </w:numPr>
        <w:spacing w:line="360" w:lineRule="auto"/>
        <w:jc w:val="both"/>
        <w:rPr>
          <w:rFonts w:ascii="Verdana" w:hAnsi="Verdana"/>
          <w:sz w:val="20"/>
        </w:rPr>
      </w:pPr>
      <w:r w:rsidRPr="0027253F">
        <w:rPr>
          <w:rFonts w:ascii="Verdana" w:hAnsi="Verdana"/>
          <w:sz w:val="20"/>
        </w:rPr>
        <w:t xml:space="preserve">Zarząd Giełdy może postanowić o czasowym niestosowaniu wybranych przepisów Regulaminu Giełdy lub Szczegółowych Zasad Obrotu Giełdowego, </w:t>
      </w:r>
      <w:r w:rsidRPr="0027253F">
        <w:rPr>
          <w:rFonts w:ascii="Verdana" w:hAnsi="Verdana"/>
          <w:sz w:val="20"/>
        </w:rPr>
        <w:br/>
        <w:t xml:space="preserve">o których mowa w ust. 1 </w:t>
      </w:r>
      <w:r w:rsidR="00E263E5">
        <w:rPr>
          <w:rFonts w:ascii="Verdana" w:hAnsi="Verdana"/>
          <w:sz w:val="20"/>
        </w:rPr>
        <w:t>lub</w:t>
      </w:r>
      <w:r w:rsidRPr="0027253F">
        <w:rPr>
          <w:rFonts w:ascii="Verdana" w:hAnsi="Verdana"/>
          <w:sz w:val="20"/>
        </w:rPr>
        <w:t xml:space="preserve"> 2, jeżeli w ocenie Zarządu Giełdy jest to niezbędne dla zapewnienia bezpieczeństwa lub prawidłowego przebiegu obrotu instrumentami finansowymi w danym systemie notowań.  </w:t>
      </w:r>
    </w:p>
    <w:p w14:paraId="40D710C7" w14:textId="77777777" w:rsidR="0027253F" w:rsidRPr="0027253F" w:rsidRDefault="0027253F" w:rsidP="008F2C31">
      <w:pPr>
        <w:pStyle w:val="Tekstpodstawowy"/>
        <w:numPr>
          <w:ilvl w:val="0"/>
          <w:numId w:val="24"/>
        </w:numPr>
        <w:spacing w:line="360" w:lineRule="auto"/>
        <w:jc w:val="both"/>
        <w:rPr>
          <w:rFonts w:ascii="Verdana" w:hAnsi="Verdana"/>
          <w:sz w:val="20"/>
        </w:rPr>
      </w:pPr>
      <w:r w:rsidRPr="0027253F">
        <w:rPr>
          <w:rFonts w:ascii="Verdana" w:hAnsi="Verdana"/>
          <w:sz w:val="20"/>
        </w:rPr>
        <w:t xml:space="preserve">Uchwała Zarządu Giełdy w zakresie określonym w ust. 2 lub 3 nie może być podjęta po upływie 30 dni od dnia wdrożenia nowego systemu transakcyjnego (systemu GPW WATS).   </w:t>
      </w:r>
    </w:p>
    <w:p w14:paraId="15AB6A9A" w14:textId="7C54B0A3" w:rsidR="0027253F" w:rsidRPr="00BE75AF" w:rsidRDefault="0027253F" w:rsidP="008F2C31">
      <w:pPr>
        <w:pStyle w:val="Tekstpodstawowy"/>
        <w:spacing w:line="360" w:lineRule="auto"/>
        <w:jc w:val="center"/>
        <w:rPr>
          <w:rFonts w:ascii="Verdana" w:hAnsi="Verdana"/>
          <w:sz w:val="20"/>
        </w:rPr>
      </w:pPr>
      <w:r w:rsidRPr="00BE75AF">
        <w:rPr>
          <w:rFonts w:ascii="Verdana" w:hAnsi="Verdana"/>
          <w:sz w:val="20"/>
        </w:rPr>
        <w:t>§ 4</w:t>
      </w:r>
    </w:p>
    <w:p w14:paraId="6C255449" w14:textId="378DF60C" w:rsidR="0027253F" w:rsidRPr="0027253F" w:rsidRDefault="0027253F" w:rsidP="008F2C31">
      <w:pPr>
        <w:pStyle w:val="Tekstpodstawowy"/>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Verdana" w:hAnsi="Verdana"/>
          <w:sz w:val="20"/>
        </w:rPr>
      </w:pPr>
      <w:r w:rsidRPr="0027253F">
        <w:rPr>
          <w:rFonts w:ascii="Verdana" w:hAnsi="Verdana"/>
          <w:sz w:val="20"/>
        </w:rPr>
        <w:t>Zarząd Giełdy określi</w:t>
      </w:r>
      <w:r w:rsidRPr="0027253F">
        <w:rPr>
          <w:rFonts w:ascii="Verdana" w:hAnsi="Verdana" w:cs="Arial"/>
          <w:sz w:val="20"/>
        </w:rPr>
        <w:t xml:space="preserve"> </w:t>
      </w:r>
      <w:r w:rsidRPr="0027253F">
        <w:rPr>
          <w:rFonts w:ascii="Verdana" w:hAnsi="Verdana"/>
          <w:sz w:val="20"/>
        </w:rPr>
        <w:t xml:space="preserve">w </w:t>
      </w:r>
      <w:r w:rsidR="00E263E5">
        <w:rPr>
          <w:rFonts w:ascii="Verdana" w:hAnsi="Verdana"/>
          <w:sz w:val="20"/>
        </w:rPr>
        <w:t xml:space="preserve">odrębnym dokumencie - </w:t>
      </w:r>
      <w:r w:rsidR="00E263E5" w:rsidRPr="0027253F">
        <w:rPr>
          <w:rFonts w:ascii="Verdana" w:hAnsi="Verdana"/>
          <w:sz w:val="20"/>
        </w:rPr>
        <w:t>Zasad</w:t>
      </w:r>
      <w:r w:rsidR="00E263E5">
        <w:rPr>
          <w:rFonts w:ascii="Verdana" w:hAnsi="Verdana"/>
          <w:sz w:val="20"/>
        </w:rPr>
        <w:t xml:space="preserve">y </w:t>
      </w:r>
      <w:r w:rsidR="00E263E5" w:rsidRPr="0027253F">
        <w:rPr>
          <w:rFonts w:ascii="Verdana" w:hAnsi="Verdana"/>
          <w:sz w:val="20"/>
        </w:rPr>
        <w:t>Ciągłości Działania Systemu GPW WATS</w:t>
      </w:r>
      <w:r w:rsidR="00E263E5">
        <w:rPr>
          <w:rFonts w:ascii="Verdana" w:hAnsi="Verdana"/>
          <w:sz w:val="20"/>
        </w:rPr>
        <w:t xml:space="preserve"> - </w:t>
      </w:r>
      <w:r w:rsidRPr="0027253F">
        <w:rPr>
          <w:rFonts w:ascii="Verdana" w:hAnsi="Verdana"/>
          <w:sz w:val="20"/>
        </w:rPr>
        <w:t>szczegółowe zasady przejścia z notowa</w:t>
      </w:r>
      <w:r w:rsidR="00E263E5">
        <w:rPr>
          <w:rFonts w:ascii="Verdana" w:hAnsi="Verdana"/>
          <w:sz w:val="20"/>
        </w:rPr>
        <w:t>ń</w:t>
      </w:r>
      <w:r w:rsidRPr="0027253F">
        <w:rPr>
          <w:rFonts w:ascii="Verdana" w:hAnsi="Verdana"/>
          <w:sz w:val="20"/>
        </w:rPr>
        <w:t xml:space="preserve"> instrumentów finansowych w obecnym systemie transakcyjnym (systemie UTP) do notowań </w:t>
      </w:r>
      <w:r w:rsidR="00DE7ADC">
        <w:rPr>
          <w:rFonts w:ascii="Verdana" w:hAnsi="Verdana"/>
          <w:sz w:val="20"/>
        </w:rPr>
        <w:br/>
      </w:r>
      <w:r w:rsidRPr="0027253F">
        <w:rPr>
          <w:rFonts w:ascii="Verdana" w:hAnsi="Verdana"/>
          <w:sz w:val="20"/>
        </w:rPr>
        <w:t xml:space="preserve">w nowym systemie transakcyjnym (systemie GPW WATS).   </w:t>
      </w:r>
    </w:p>
    <w:p w14:paraId="6F1F5327" w14:textId="2A23283C" w:rsidR="0027253F" w:rsidRPr="0027253F" w:rsidRDefault="0027253F" w:rsidP="008F2C31">
      <w:pPr>
        <w:pStyle w:val="Tekstpodstawowy"/>
        <w:numPr>
          <w:ilvl w:val="0"/>
          <w:numId w:val="23"/>
        </w:numPr>
        <w:spacing w:line="360" w:lineRule="auto"/>
        <w:jc w:val="both"/>
        <w:rPr>
          <w:rFonts w:ascii="Verdana" w:hAnsi="Verdana"/>
          <w:sz w:val="20"/>
        </w:rPr>
      </w:pPr>
      <w:r w:rsidRPr="0027253F">
        <w:rPr>
          <w:rFonts w:ascii="Verdana" w:hAnsi="Verdana"/>
          <w:sz w:val="20"/>
        </w:rPr>
        <w:t xml:space="preserve">Zarząd Giełdy określi w Zasadach Ciągłości Działania Systemu GPW WATS szczegółowe zasady czasowego powrotu do notowań instrumentów finansowych w obecnym systemie transakcyjnym (systemie UTP), w przypadku wystąpienia okoliczności, o których mowa w § 3 ust. 2.  </w:t>
      </w:r>
    </w:p>
    <w:p w14:paraId="0270BF95" w14:textId="551A8D8D" w:rsidR="00E263E5" w:rsidRDefault="0027253F" w:rsidP="00282F80">
      <w:pPr>
        <w:pStyle w:val="Tekstpodstawowy"/>
        <w:numPr>
          <w:ilvl w:val="0"/>
          <w:numId w:val="23"/>
        </w:numPr>
        <w:spacing w:after="240" w:line="360" w:lineRule="auto"/>
        <w:jc w:val="both"/>
      </w:pPr>
      <w:r w:rsidRPr="00AB1739">
        <w:rPr>
          <w:rFonts w:ascii="Verdana" w:hAnsi="Verdana"/>
          <w:sz w:val="20"/>
        </w:rPr>
        <w:t xml:space="preserve">Zarząd Giełdy określi w Zasadach Ciągłości Działania Systemu GPW WATS szczegółowe zasady powrotu do notowań instrumentów finansowych w nowym systemie transakcyjnym (systemie GPW WATS) po ustąpieniu okoliczności, </w:t>
      </w:r>
      <w:r w:rsidRPr="00AB1739">
        <w:rPr>
          <w:rFonts w:ascii="Verdana" w:hAnsi="Verdana"/>
          <w:sz w:val="20"/>
        </w:rPr>
        <w:br/>
        <w:t xml:space="preserve">o których mowa w § 3 ust. 2.  </w:t>
      </w:r>
      <w:r w:rsidRPr="00AB1739">
        <w:rPr>
          <w:rFonts w:ascii="Verdana" w:hAnsi="Verdana"/>
          <w:spacing w:val="-3"/>
          <w:sz w:val="20"/>
        </w:rPr>
        <w:tab/>
      </w:r>
    </w:p>
    <w:sectPr w:rsidR="00E263E5" w:rsidSect="00B9694C">
      <w:footerReference w:type="default" r:id="rId9"/>
      <w:headerReference w:type="first" r:id="rId10"/>
      <w:footerReference w:type="first" r:id="rId11"/>
      <w:type w:val="continuous"/>
      <w:pgSz w:w="11906" w:h="16838" w:code="9"/>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88B5" w14:textId="77777777" w:rsidR="003B776B" w:rsidRDefault="003B776B" w:rsidP="0086331F">
      <w:pPr>
        <w:spacing w:after="0" w:line="240" w:lineRule="auto"/>
      </w:pPr>
      <w:r>
        <w:separator/>
      </w:r>
    </w:p>
  </w:endnote>
  <w:endnote w:type="continuationSeparator" w:id="0">
    <w:p w14:paraId="4B119E05" w14:textId="77777777" w:rsidR="003B776B" w:rsidRDefault="003B776B" w:rsidP="0086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Franklin Gothic Demi">
    <w:panose1 w:val="020B07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077014"/>
      <w:docPartObj>
        <w:docPartGallery w:val="Page Numbers (Bottom of Page)"/>
        <w:docPartUnique/>
      </w:docPartObj>
    </w:sdtPr>
    <w:sdtEndPr>
      <w:rPr>
        <w:sz w:val="18"/>
        <w:szCs w:val="18"/>
      </w:rPr>
    </w:sdtEndPr>
    <w:sdtContent>
      <w:p w14:paraId="119D8A58" w14:textId="13D73B84" w:rsidR="00536391" w:rsidRPr="00D43CA7" w:rsidRDefault="00732944" w:rsidP="00732944">
        <w:pPr>
          <w:pStyle w:val="Stopka"/>
          <w:ind w:firstLine="708"/>
          <w:jc w:val="right"/>
          <w:rPr>
            <w:sz w:val="18"/>
            <w:szCs w:val="18"/>
          </w:rPr>
        </w:pPr>
        <w:r>
          <w:t>-</w:t>
        </w:r>
        <w:r w:rsidR="00536391" w:rsidRPr="00D43CA7">
          <w:rPr>
            <w:sz w:val="18"/>
            <w:szCs w:val="18"/>
          </w:rPr>
          <w:fldChar w:fldCharType="begin"/>
        </w:r>
        <w:r w:rsidR="00536391" w:rsidRPr="00D43CA7">
          <w:rPr>
            <w:sz w:val="18"/>
            <w:szCs w:val="18"/>
          </w:rPr>
          <w:instrText>PAGE   \* MERGEFORMAT</w:instrText>
        </w:r>
        <w:r w:rsidR="00536391" w:rsidRPr="00D43CA7">
          <w:rPr>
            <w:sz w:val="18"/>
            <w:szCs w:val="18"/>
          </w:rPr>
          <w:fldChar w:fldCharType="separate"/>
        </w:r>
        <w:r w:rsidR="00536391" w:rsidRPr="00D43CA7">
          <w:rPr>
            <w:sz w:val="18"/>
            <w:szCs w:val="18"/>
          </w:rPr>
          <w:t>2</w:t>
        </w:r>
        <w:r w:rsidR="00536391" w:rsidRPr="00D43CA7">
          <w:rPr>
            <w:sz w:val="18"/>
            <w:szCs w:val="18"/>
          </w:rPr>
          <w:fldChar w:fldCharType="end"/>
        </w:r>
        <w:r>
          <w:rPr>
            <w:sz w:val="18"/>
            <w:szCs w:val="18"/>
          </w:rPr>
          <w:t>-</w:t>
        </w:r>
      </w:p>
    </w:sdtContent>
  </w:sdt>
  <w:p w14:paraId="17BE5A33" w14:textId="216DF004" w:rsidR="00726330" w:rsidRDefault="00726330" w:rsidP="00384753">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FFAF" w14:textId="77777777" w:rsidR="00726330" w:rsidRDefault="00414720">
    <w:pPr>
      <w:pStyle w:val="Stopka"/>
    </w:pPr>
    <w:r>
      <w:rPr>
        <w:noProof/>
        <w:lang w:eastAsia="pl-PL"/>
      </w:rPr>
      <w:drawing>
        <wp:anchor distT="0" distB="0" distL="114300" distR="114300" simplePos="0" relativeHeight="251657728" behindDoc="1" locked="0" layoutInCell="1" allowOverlap="1" wp14:anchorId="079B06D0" wp14:editId="6160FF06">
          <wp:simplePos x="0" y="0"/>
          <wp:positionH relativeFrom="column">
            <wp:posOffset>-826770</wp:posOffset>
          </wp:positionH>
          <wp:positionV relativeFrom="paragraph">
            <wp:posOffset>-459740</wp:posOffset>
          </wp:positionV>
          <wp:extent cx="7564755" cy="1068705"/>
          <wp:effectExtent l="0" t="0" r="0" b="0"/>
          <wp:wrapNone/>
          <wp:docPr id="12" name="Obraz 12" descr="papier firmowy nowe logo ogoln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pier firmowy nowe logo ogoln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68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3BBA" w14:textId="77777777" w:rsidR="003B776B" w:rsidRDefault="003B776B" w:rsidP="0086331F">
      <w:pPr>
        <w:spacing w:after="0" w:line="240" w:lineRule="auto"/>
      </w:pPr>
      <w:r>
        <w:separator/>
      </w:r>
    </w:p>
  </w:footnote>
  <w:footnote w:type="continuationSeparator" w:id="0">
    <w:p w14:paraId="0ABFC1CA" w14:textId="77777777" w:rsidR="003B776B" w:rsidRDefault="003B776B" w:rsidP="00863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94EB" w14:textId="77777777" w:rsidR="00726330" w:rsidRPr="00D070CB" w:rsidRDefault="00414720">
    <w:pPr>
      <w:pStyle w:val="Nagwek"/>
    </w:pPr>
    <w:r>
      <w:rPr>
        <w:noProof/>
        <w:lang w:eastAsia="pl-PL"/>
      </w:rPr>
      <w:drawing>
        <wp:anchor distT="0" distB="0" distL="114300" distR="114300" simplePos="0" relativeHeight="251656704" behindDoc="1" locked="0" layoutInCell="1" allowOverlap="1" wp14:anchorId="1E0C4730" wp14:editId="5813B887">
          <wp:simplePos x="0" y="0"/>
          <wp:positionH relativeFrom="column">
            <wp:posOffset>-835025</wp:posOffset>
          </wp:positionH>
          <wp:positionV relativeFrom="paragraph">
            <wp:posOffset>-447040</wp:posOffset>
          </wp:positionV>
          <wp:extent cx="7564755" cy="1068705"/>
          <wp:effectExtent l="0" t="0" r="0" b="0"/>
          <wp:wrapNone/>
          <wp:docPr id="11" name="Obraz 11" descr="papier firmowy nowe logo ogoln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ier firmowy nowe logo ogoln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68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369"/>
    <w:multiLevelType w:val="singleLevel"/>
    <w:tmpl w:val="4F84C984"/>
    <w:lvl w:ilvl="0">
      <w:start w:val="1"/>
      <w:numFmt w:val="decimal"/>
      <w:lvlText w:val="%1."/>
      <w:lvlJc w:val="left"/>
      <w:pPr>
        <w:tabs>
          <w:tab w:val="num" w:pos="360"/>
        </w:tabs>
        <w:ind w:left="360" w:hanging="360"/>
      </w:pPr>
      <w:rPr>
        <w:rFonts w:ascii="Arial" w:eastAsia="Times New Roman" w:hAnsi="Arial" w:cs="Arial"/>
        <w:b w:val="0"/>
      </w:rPr>
    </w:lvl>
  </w:abstractNum>
  <w:abstractNum w:abstractNumId="1" w15:restartNumberingAfterBreak="0">
    <w:nsid w:val="021E58DA"/>
    <w:multiLevelType w:val="multilevel"/>
    <w:tmpl w:val="62D4C6CC"/>
    <w:lvl w:ilvl="0">
      <w:start w:val="1"/>
      <w:numFmt w:val="decimal"/>
      <w:lvlText w:val="%1."/>
      <w:lvlJc w:val="left"/>
      <w:pPr>
        <w:tabs>
          <w:tab w:val="num" w:pos="720"/>
        </w:tabs>
        <w:ind w:left="720" w:hanging="720"/>
      </w:pPr>
      <w:rPr>
        <w:rFonts w:ascii="Verdana" w:eastAsia="Calibri" w:hAnsi="Verdana" w:cs="Times New Roman"/>
        <w:b w:val="0"/>
        <w:bCs/>
        <w:sz w:val="20"/>
        <w:szCs w:val="20"/>
      </w:rPr>
    </w:lvl>
    <w:lvl w:ilvl="1">
      <w:start w:val="1"/>
      <w:numFmt w:val="decimal"/>
      <w:lvlText w:val="%2)"/>
      <w:lvlJc w:val="left"/>
      <w:pPr>
        <w:tabs>
          <w:tab w:val="num" w:pos="1288"/>
        </w:tabs>
        <w:ind w:left="1288" w:hanging="720"/>
      </w:pPr>
      <w:rPr>
        <w:rFonts w:ascii="Verdana" w:eastAsia="Calibri" w:hAnsi="Verdana" w:cs="Arial"/>
      </w:rPr>
    </w:lvl>
    <w:lvl w:ilvl="2">
      <w:start w:val="1"/>
      <w:numFmt w:val="lowerLetter"/>
      <w:lvlText w:val="%3)"/>
      <w:lvlJc w:val="left"/>
      <w:pPr>
        <w:ind w:left="1800" w:hanging="360"/>
      </w:pPr>
      <w:rPr>
        <w:rFonts w:ascii="Verdana" w:eastAsia="Calibri" w:hAnsi="Verdana"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2D142C4"/>
    <w:multiLevelType w:val="hybridMultilevel"/>
    <w:tmpl w:val="8820A946"/>
    <w:lvl w:ilvl="0" w:tplc="32C07C7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62A1D15"/>
    <w:multiLevelType w:val="hybridMultilevel"/>
    <w:tmpl w:val="1C648FF6"/>
    <w:lvl w:ilvl="0" w:tplc="14929F2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DAE7110"/>
    <w:multiLevelType w:val="hybridMultilevel"/>
    <w:tmpl w:val="0DF84BC2"/>
    <w:lvl w:ilvl="0" w:tplc="C17647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73E6117"/>
    <w:multiLevelType w:val="hybridMultilevel"/>
    <w:tmpl w:val="B8FE9F92"/>
    <w:lvl w:ilvl="0" w:tplc="C3BED2D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BED7F17"/>
    <w:multiLevelType w:val="hybridMultilevel"/>
    <w:tmpl w:val="8912E1A8"/>
    <w:lvl w:ilvl="0" w:tplc="B2BA18AA">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15:restartNumberingAfterBreak="0">
    <w:nsid w:val="27995471"/>
    <w:multiLevelType w:val="hybridMultilevel"/>
    <w:tmpl w:val="AF9227E6"/>
    <w:lvl w:ilvl="0" w:tplc="8382A86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2B477947"/>
    <w:multiLevelType w:val="hybridMultilevel"/>
    <w:tmpl w:val="C04489A2"/>
    <w:lvl w:ilvl="0" w:tplc="315617C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BAA581A"/>
    <w:multiLevelType w:val="multilevel"/>
    <w:tmpl w:val="E9D67C84"/>
    <w:lvl w:ilvl="0">
      <w:start w:val="1"/>
      <w:numFmt w:val="decimal"/>
      <w:lvlText w:val="%1."/>
      <w:lvlJc w:val="left"/>
      <w:pPr>
        <w:tabs>
          <w:tab w:val="num" w:pos="360"/>
        </w:tabs>
        <w:ind w:left="360" w:hanging="360"/>
      </w:pPr>
    </w:lvl>
    <w:lvl w:ilvl="1">
      <w:start w:val="1"/>
      <w:numFmt w:val="decimal"/>
      <w:lvlText w:val="%2)"/>
      <w:lvlJc w:val="left"/>
      <w:pPr>
        <w:tabs>
          <w:tab w:val="num" w:pos="737"/>
        </w:tabs>
        <w:ind w:left="737" w:hanging="397"/>
      </w:pPr>
      <w:rPr>
        <w:sz w:val="24"/>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C197D90"/>
    <w:multiLevelType w:val="hybridMultilevel"/>
    <w:tmpl w:val="8E34D560"/>
    <w:lvl w:ilvl="0" w:tplc="FC18E72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B143AD"/>
    <w:multiLevelType w:val="hybridMultilevel"/>
    <w:tmpl w:val="062C1542"/>
    <w:lvl w:ilvl="0" w:tplc="CDB073A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319560FF"/>
    <w:multiLevelType w:val="multilevel"/>
    <w:tmpl w:val="AD647A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7CB1E5F"/>
    <w:multiLevelType w:val="hybridMultilevel"/>
    <w:tmpl w:val="CB9EEEA6"/>
    <w:lvl w:ilvl="0" w:tplc="06F8B9A6">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3A162A94"/>
    <w:multiLevelType w:val="hybridMultilevel"/>
    <w:tmpl w:val="498AC028"/>
    <w:lvl w:ilvl="0" w:tplc="21C4C766">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3A7437B6"/>
    <w:multiLevelType w:val="hybridMultilevel"/>
    <w:tmpl w:val="62EA2740"/>
    <w:lvl w:ilvl="0" w:tplc="78CA6AEC">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6" w15:restartNumberingAfterBreak="0">
    <w:nsid w:val="4AE500C7"/>
    <w:multiLevelType w:val="hybridMultilevel"/>
    <w:tmpl w:val="EAFA3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C3127F"/>
    <w:multiLevelType w:val="multilevel"/>
    <w:tmpl w:val="5740CED8"/>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5F7E5A"/>
    <w:multiLevelType w:val="hybridMultilevel"/>
    <w:tmpl w:val="0C2E7E2E"/>
    <w:lvl w:ilvl="0" w:tplc="4412B114">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DF0849"/>
    <w:multiLevelType w:val="hybridMultilevel"/>
    <w:tmpl w:val="B40A56A8"/>
    <w:lvl w:ilvl="0" w:tplc="811A428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66517853"/>
    <w:multiLevelType w:val="hybridMultilevel"/>
    <w:tmpl w:val="3712F6BE"/>
    <w:lvl w:ilvl="0" w:tplc="40EAD40A">
      <w:start w:val="1"/>
      <w:numFmt w:val="decimal"/>
      <w:lvlText w:val="%1."/>
      <w:lvlJc w:val="left"/>
      <w:pPr>
        <w:tabs>
          <w:tab w:val="num" w:pos="397"/>
        </w:tabs>
        <w:ind w:left="397" w:hanging="397"/>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A6F6003"/>
    <w:multiLevelType w:val="multilevel"/>
    <w:tmpl w:val="857685BE"/>
    <w:lvl w:ilvl="0">
      <w:start w:val="1"/>
      <w:numFmt w:val="decimal"/>
      <w:lvlText w:val="%1."/>
      <w:lvlJc w:val="left"/>
      <w:pPr>
        <w:tabs>
          <w:tab w:val="num" w:pos="360"/>
        </w:tabs>
        <w:ind w:left="360" w:hanging="360"/>
      </w:pPr>
    </w:lvl>
    <w:lvl w:ilvl="1">
      <w:start w:val="1"/>
      <w:numFmt w:val="decimal"/>
      <w:lvlText w:val="%2)"/>
      <w:lvlJc w:val="left"/>
      <w:pPr>
        <w:tabs>
          <w:tab w:val="num" w:pos="900"/>
        </w:tabs>
        <w:ind w:left="900" w:hanging="360"/>
      </w:pPr>
    </w:lvl>
    <w:lvl w:ilvl="2">
      <w:start w:val="1"/>
      <w:numFmt w:val="decimal"/>
      <w:lvlText w:val="%3)"/>
      <w:lvlJc w:val="left"/>
      <w:pPr>
        <w:tabs>
          <w:tab w:val="num" w:pos="1080"/>
        </w:tabs>
        <w:ind w:left="1080" w:hanging="360"/>
      </w:pPr>
      <w:rPr>
        <w:rFonts w:ascii="Verdana" w:eastAsia="Times New Roman" w:hAnsi="Verdana" w:cs="Times New Roman" w:hint="default"/>
      </w:rPr>
    </w:lvl>
    <w:lvl w:ilvl="3">
      <w:start w:val="1"/>
      <w:numFmt w:val="lowerRoman"/>
      <w:lvlText w:val="(%4)"/>
      <w:lvlJc w:val="left"/>
      <w:pPr>
        <w:tabs>
          <w:tab w:val="num" w:pos="180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none"/>
      <w:lvlText w:val="(%6)"/>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2" w15:restartNumberingAfterBreak="0">
    <w:nsid w:val="6DA117D8"/>
    <w:multiLevelType w:val="hybridMultilevel"/>
    <w:tmpl w:val="AB1CCF92"/>
    <w:lvl w:ilvl="0" w:tplc="C4D6E4B6">
      <w:start w:val="1"/>
      <w:numFmt w:val="lowerLetter"/>
      <w:lvlText w:val="%1)"/>
      <w:lvlJc w:val="left"/>
      <w:pPr>
        <w:ind w:left="720" w:hanging="360"/>
      </w:pPr>
      <w:rPr>
        <w:rFonts w:ascii="Verdana" w:hAnsi="Verdana"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084F6C"/>
    <w:multiLevelType w:val="hybridMultilevel"/>
    <w:tmpl w:val="5B4616C6"/>
    <w:lvl w:ilvl="0" w:tplc="04150017">
      <w:start w:val="1"/>
      <w:numFmt w:val="lowerLetter"/>
      <w:lvlText w:val="%1)"/>
      <w:lvlJc w:val="left"/>
      <w:pPr>
        <w:ind w:left="860" w:hanging="360"/>
      </w:p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num w:numId="1" w16cid:durableId="1036153478">
    <w:abstractNumId w:val="16"/>
  </w:num>
  <w:num w:numId="2" w16cid:durableId="593326514">
    <w:abstractNumId w:val="2"/>
  </w:num>
  <w:num w:numId="3" w16cid:durableId="255556922">
    <w:abstractNumId w:val="5"/>
  </w:num>
  <w:num w:numId="4" w16cid:durableId="9920227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63029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674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44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7148941">
    <w:abstractNumId w:val="17"/>
  </w:num>
  <w:num w:numId="9" w16cid:durableId="16138273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7974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3346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2919160">
    <w:abstractNumId w:val="4"/>
  </w:num>
  <w:num w:numId="13" w16cid:durableId="170723881">
    <w:abstractNumId w:val="3"/>
  </w:num>
  <w:num w:numId="14" w16cid:durableId="1545827256">
    <w:abstractNumId w:val="8"/>
  </w:num>
  <w:num w:numId="15" w16cid:durableId="754714359">
    <w:abstractNumId w:val="22"/>
  </w:num>
  <w:num w:numId="16" w16cid:durableId="274944713">
    <w:abstractNumId w:val="19"/>
  </w:num>
  <w:num w:numId="17" w16cid:durableId="1780939">
    <w:abstractNumId w:val="14"/>
  </w:num>
  <w:num w:numId="18" w16cid:durableId="224487395">
    <w:abstractNumId w:val="7"/>
  </w:num>
  <w:num w:numId="19" w16cid:durableId="771899839">
    <w:abstractNumId w:val="23"/>
  </w:num>
  <w:num w:numId="20" w16cid:durableId="138425730">
    <w:abstractNumId w:val="13"/>
  </w:num>
  <w:num w:numId="21" w16cid:durableId="1324967577">
    <w:abstractNumId w:val="6"/>
  </w:num>
  <w:num w:numId="22" w16cid:durableId="835195597">
    <w:abstractNumId w:val="15"/>
  </w:num>
  <w:num w:numId="23" w16cid:durableId="2083793232">
    <w:abstractNumId w:val="10"/>
  </w:num>
  <w:num w:numId="24" w16cid:durableId="372731653">
    <w:abstractNumId w:val="18"/>
  </w:num>
  <w:num w:numId="25" w16cid:durableId="1139568633">
    <w:abstractNumId w:val="12"/>
  </w:num>
  <w:num w:numId="26" w16cid:durableId="2040163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e5qmrR3wG5BDjPGGYTZ7Vcx+ewxTK/cFoEaaUxmPbuGKR56lHalCkBzKbIzTy8k87eNa6rgQsT6Alq49ecILmw==" w:salt="qFL/pBEINe4uFpmyWH9J0Q=="/>
  <w:zoom w:percent="7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E34"/>
    <w:rsid w:val="00000D40"/>
    <w:rsid w:val="000028CC"/>
    <w:rsid w:val="000129CE"/>
    <w:rsid w:val="0001614C"/>
    <w:rsid w:val="00021E4F"/>
    <w:rsid w:val="00023D42"/>
    <w:rsid w:val="00030A28"/>
    <w:rsid w:val="000444FF"/>
    <w:rsid w:val="0004647C"/>
    <w:rsid w:val="00053CD6"/>
    <w:rsid w:val="00056B4F"/>
    <w:rsid w:val="00062DF1"/>
    <w:rsid w:val="000734A9"/>
    <w:rsid w:val="00082423"/>
    <w:rsid w:val="00083463"/>
    <w:rsid w:val="00085AE6"/>
    <w:rsid w:val="000938E5"/>
    <w:rsid w:val="00096240"/>
    <w:rsid w:val="00097A85"/>
    <w:rsid w:val="000B4F71"/>
    <w:rsid w:val="000D1033"/>
    <w:rsid w:val="000E20F2"/>
    <w:rsid w:val="000E290E"/>
    <w:rsid w:val="000E6EDA"/>
    <w:rsid w:val="000E7CB5"/>
    <w:rsid w:val="000F5B7C"/>
    <w:rsid w:val="000F7ED3"/>
    <w:rsid w:val="000F7FB4"/>
    <w:rsid w:val="00114380"/>
    <w:rsid w:val="0011508A"/>
    <w:rsid w:val="00135243"/>
    <w:rsid w:val="001404FF"/>
    <w:rsid w:val="001422D8"/>
    <w:rsid w:val="001427CC"/>
    <w:rsid w:val="00147200"/>
    <w:rsid w:val="00150498"/>
    <w:rsid w:val="00152A38"/>
    <w:rsid w:val="00153E2A"/>
    <w:rsid w:val="00155669"/>
    <w:rsid w:val="00161666"/>
    <w:rsid w:val="00162D97"/>
    <w:rsid w:val="00164F44"/>
    <w:rsid w:val="001652A1"/>
    <w:rsid w:val="00165996"/>
    <w:rsid w:val="00173562"/>
    <w:rsid w:val="0018390F"/>
    <w:rsid w:val="0018519E"/>
    <w:rsid w:val="0018728C"/>
    <w:rsid w:val="00195D3E"/>
    <w:rsid w:val="00197316"/>
    <w:rsid w:val="001B59FA"/>
    <w:rsid w:val="001B64F2"/>
    <w:rsid w:val="001C56F7"/>
    <w:rsid w:val="001C6A53"/>
    <w:rsid w:val="001D42D8"/>
    <w:rsid w:val="001E1B0D"/>
    <w:rsid w:val="001F3683"/>
    <w:rsid w:val="00203AAC"/>
    <w:rsid w:val="00205E34"/>
    <w:rsid w:val="00216215"/>
    <w:rsid w:val="00224C44"/>
    <w:rsid w:val="0024761A"/>
    <w:rsid w:val="00247677"/>
    <w:rsid w:val="002547DE"/>
    <w:rsid w:val="00260510"/>
    <w:rsid w:val="00263BD1"/>
    <w:rsid w:val="00263D79"/>
    <w:rsid w:val="002651E5"/>
    <w:rsid w:val="00266BC2"/>
    <w:rsid w:val="00267453"/>
    <w:rsid w:val="0027253F"/>
    <w:rsid w:val="00277657"/>
    <w:rsid w:val="002843C3"/>
    <w:rsid w:val="00284F9F"/>
    <w:rsid w:val="00295842"/>
    <w:rsid w:val="00297051"/>
    <w:rsid w:val="00297824"/>
    <w:rsid w:val="002A2B26"/>
    <w:rsid w:val="002A51EB"/>
    <w:rsid w:val="002A6E95"/>
    <w:rsid w:val="002B04AD"/>
    <w:rsid w:val="002B2C61"/>
    <w:rsid w:val="002C01DB"/>
    <w:rsid w:val="002C3150"/>
    <w:rsid w:val="002D4AC8"/>
    <w:rsid w:val="002D527E"/>
    <w:rsid w:val="002E0152"/>
    <w:rsid w:val="002E17FE"/>
    <w:rsid w:val="002E4242"/>
    <w:rsid w:val="002E6BC0"/>
    <w:rsid w:val="002F0B6F"/>
    <w:rsid w:val="002F207E"/>
    <w:rsid w:val="002F3271"/>
    <w:rsid w:val="003014D9"/>
    <w:rsid w:val="00311E6E"/>
    <w:rsid w:val="00324E5B"/>
    <w:rsid w:val="003276E1"/>
    <w:rsid w:val="00327F25"/>
    <w:rsid w:val="00334B3F"/>
    <w:rsid w:val="00335639"/>
    <w:rsid w:val="003417BD"/>
    <w:rsid w:val="003438C9"/>
    <w:rsid w:val="003543CA"/>
    <w:rsid w:val="00355FD0"/>
    <w:rsid w:val="003624D0"/>
    <w:rsid w:val="0036364D"/>
    <w:rsid w:val="0037187F"/>
    <w:rsid w:val="00374CD1"/>
    <w:rsid w:val="00377A1F"/>
    <w:rsid w:val="003821BE"/>
    <w:rsid w:val="003839BE"/>
    <w:rsid w:val="00384753"/>
    <w:rsid w:val="00385A76"/>
    <w:rsid w:val="00396457"/>
    <w:rsid w:val="003A0404"/>
    <w:rsid w:val="003A09D9"/>
    <w:rsid w:val="003A636C"/>
    <w:rsid w:val="003B26CC"/>
    <w:rsid w:val="003B275F"/>
    <w:rsid w:val="003B32C8"/>
    <w:rsid w:val="003B4A76"/>
    <w:rsid w:val="003B776B"/>
    <w:rsid w:val="003C10BA"/>
    <w:rsid w:val="003C2415"/>
    <w:rsid w:val="003C2F9D"/>
    <w:rsid w:val="003C7D30"/>
    <w:rsid w:val="003D6CAA"/>
    <w:rsid w:val="003D7586"/>
    <w:rsid w:val="003D7782"/>
    <w:rsid w:val="003F1C64"/>
    <w:rsid w:val="0040443E"/>
    <w:rsid w:val="00404B4E"/>
    <w:rsid w:val="00405056"/>
    <w:rsid w:val="00407060"/>
    <w:rsid w:val="0041288B"/>
    <w:rsid w:val="00414720"/>
    <w:rsid w:val="00420620"/>
    <w:rsid w:val="004255E2"/>
    <w:rsid w:val="00426AA5"/>
    <w:rsid w:val="00426E69"/>
    <w:rsid w:val="00430713"/>
    <w:rsid w:val="00434116"/>
    <w:rsid w:val="00436B8E"/>
    <w:rsid w:val="00437E2C"/>
    <w:rsid w:val="00440122"/>
    <w:rsid w:val="00443B33"/>
    <w:rsid w:val="00453676"/>
    <w:rsid w:val="0045488A"/>
    <w:rsid w:val="00456E27"/>
    <w:rsid w:val="004627BD"/>
    <w:rsid w:val="004665D9"/>
    <w:rsid w:val="00470101"/>
    <w:rsid w:val="00475C24"/>
    <w:rsid w:val="00483607"/>
    <w:rsid w:val="004836F8"/>
    <w:rsid w:val="00486CC7"/>
    <w:rsid w:val="00492331"/>
    <w:rsid w:val="00492F54"/>
    <w:rsid w:val="00493BCD"/>
    <w:rsid w:val="004944AF"/>
    <w:rsid w:val="004B12C2"/>
    <w:rsid w:val="004B583B"/>
    <w:rsid w:val="004B7A74"/>
    <w:rsid w:val="004C0A6F"/>
    <w:rsid w:val="004D0F57"/>
    <w:rsid w:val="004F3945"/>
    <w:rsid w:val="00502167"/>
    <w:rsid w:val="00502FE3"/>
    <w:rsid w:val="00507785"/>
    <w:rsid w:val="00512EDD"/>
    <w:rsid w:val="005134ED"/>
    <w:rsid w:val="005228A2"/>
    <w:rsid w:val="00527C6A"/>
    <w:rsid w:val="00527C9B"/>
    <w:rsid w:val="00536391"/>
    <w:rsid w:val="005403B4"/>
    <w:rsid w:val="005449FD"/>
    <w:rsid w:val="0055293F"/>
    <w:rsid w:val="005578BF"/>
    <w:rsid w:val="00566833"/>
    <w:rsid w:val="00571B4E"/>
    <w:rsid w:val="00572623"/>
    <w:rsid w:val="00572E1F"/>
    <w:rsid w:val="00577528"/>
    <w:rsid w:val="00593472"/>
    <w:rsid w:val="00596C0D"/>
    <w:rsid w:val="005A0429"/>
    <w:rsid w:val="005A6B68"/>
    <w:rsid w:val="005B2A0E"/>
    <w:rsid w:val="005C5972"/>
    <w:rsid w:val="005C66EE"/>
    <w:rsid w:val="005D2892"/>
    <w:rsid w:val="005F13E6"/>
    <w:rsid w:val="0060175F"/>
    <w:rsid w:val="006066C5"/>
    <w:rsid w:val="006070EB"/>
    <w:rsid w:val="0061491B"/>
    <w:rsid w:val="00614AC6"/>
    <w:rsid w:val="00624421"/>
    <w:rsid w:val="00625FB7"/>
    <w:rsid w:val="00630206"/>
    <w:rsid w:val="006318DB"/>
    <w:rsid w:val="00633556"/>
    <w:rsid w:val="00634EB0"/>
    <w:rsid w:val="0064164C"/>
    <w:rsid w:val="0064431A"/>
    <w:rsid w:val="00647916"/>
    <w:rsid w:val="00647942"/>
    <w:rsid w:val="0065108D"/>
    <w:rsid w:val="00673654"/>
    <w:rsid w:val="006826E4"/>
    <w:rsid w:val="00682ACC"/>
    <w:rsid w:val="00695C40"/>
    <w:rsid w:val="006A1233"/>
    <w:rsid w:val="006A6833"/>
    <w:rsid w:val="006D01A6"/>
    <w:rsid w:val="006D5B10"/>
    <w:rsid w:val="006E323D"/>
    <w:rsid w:val="006E620C"/>
    <w:rsid w:val="006F29AD"/>
    <w:rsid w:val="006F657F"/>
    <w:rsid w:val="006F7D10"/>
    <w:rsid w:val="00704382"/>
    <w:rsid w:val="0071104F"/>
    <w:rsid w:val="00711176"/>
    <w:rsid w:val="00711B1F"/>
    <w:rsid w:val="007136AE"/>
    <w:rsid w:val="0072453C"/>
    <w:rsid w:val="00726330"/>
    <w:rsid w:val="00731C23"/>
    <w:rsid w:val="00732944"/>
    <w:rsid w:val="00735216"/>
    <w:rsid w:val="00747ED2"/>
    <w:rsid w:val="00756FA9"/>
    <w:rsid w:val="007703EE"/>
    <w:rsid w:val="00773B30"/>
    <w:rsid w:val="007830EA"/>
    <w:rsid w:val="0078712F"/>
    <w:rsid w:val="007963F1"/>
    <w:rsid w:val="007A17DD"/>
    <w:rsid w:val="007A18ED"/>
    <w:rsid w:val="007A3B20"/>
    <w:rsid w:val="007A4F64"/>
    <w:rsid w:val="007A609C"/>
    <w:rsid w:val="007A70D9"/>
    <w:rsid w:val="007B06EB"/>
    <w:rsid w:val="007B2BD1"/>
    <w:rsid w:val="007C108C"/>
    <w:rsid w:val="007C4D3F"/>
    <w:rsid w:val="007D5E19"/>
    <w:rsid w:val="007E73FD"/>
    <w:rsid w:val="007E7961"/>
    <w:rsid w:val="007F2C03"/>
    <w:rsid w:val="00802BFB"/>
    <w:rsid w:val="008047D3"/>
    <w:rsid w:val="0080731C"/>
    <w:rsid w:val="00807E30"/>
    <w:rsid w:val="00811E48"/>
    <w:rsid w:val="0081548E"/>
    <w:rsid w:val="008351B6"/>
    <w:rsid w:val="008419B7"/>
    <w:rsid w:val="00843095"/>
    <w:rsid w:val="008529C3"/>
    <w:rsid w:val="008563CD"/>
    <w:rsid w:val="00857193"/>
    <w:rsid w:val="00863021"/>
    <w:rsid w:val="0086331F"/>
    <w:rsid w:val="008700D2"/>
    <w:rsid w:val="00870A4E"/>
    <w:rsid w:val="00884AC7"/>
    <w:rsid w:val="00886025"/>
    <w:rsid w:val="00890F72"/>
    <w:rsid w:val="008974A6"/>
    <w:rsid w:val="008A4D95"/>
    <w:rsid w:val="008A7CAC"/>
    <w:rsid w:val="008B09AA"/>
    <w:rsid w:val="008D3E4E"/>
    <w:rsid w:val="008D4EC5"/>
    <w:rsid w:val="008D718C"/>
    <w:rsid w:val="008E6E5C"/>
    <w:rsid w:val="008F2C31"/>
    <w:rsid w:val="008F6F29"/>
    <w:rsid w:val="009052C9"/>
    <w:rsid w:val="00906107"/>
    <w:rsid w:val="00914331"/>
    <w:rsid w:val="00917ADD"/>
    <w:rsid w:val="009231C4"/>
    <w:rsid w:val="009249AA"/>
    <w:rsid w:val="00927637"/>
    <w:rsid w:val="00931156"/>
    <w:rsid w:val="009343C4"/>
    <w:rsid w:val="00936BED"/>
    <w:rsid w:val="00937A6F"/>
    <w:rsid w:val="00940060"/>
    <w:rsid w:val="009446B8"/>
    <w:rsid w:val="00946FA5"/>
    <w:rsid w:val="0095021C"/>
    <w:rsid w:val="0095376A"/>
    <w:rsid w:val="00954AEA"/>
    <w:rsid w:val="00964755"/>
    <w:rsid w:val="00967834"/>
    <w:rsid w:val="0097106F"/>
    <w:rsid w:val="009764A2"/>
    <w:rsid w:val="009773EB"/>
    <w:rsid w:val="00985ED3"/>
    <w:rsid w:val="009956A2"/>
    <w:rsid w:val="009A181A"/>
    <w:rsid w:val="009B1417"/>
    <w:rsid w:val="009B7319"/>
    <w:rsid w:val="009C1B72"/>
    <w:rsid w:val="009C2B5C"/>
    <w:rsid w:val="009D0E7F"/>
    <w:rsid w:val="009D5BF1"/>
    <w:rsid w:val="009E08FF"/>
    <w:rsid w:val="009F4BAB"/>
    <w:rsid w:val="00A00798"/>
    <w:rsid w:val="00A04CFC"/>
    <w:rsid w:val="00A053F1"/>
    <w:rsid w:val="00A07044"/>
    <w:rsid w:val="00A10D97"/>
    <w:rsid w:val="00A12D79"/>
    <w:rsid w:val="00A13248"/>
    <w:rsid w:val="00A25C24"/>
    <w:rsid w:val="00A26344"/>
    <w:rsid w:val="00A631CD"/>
    <w:rsid w:val="00A77B79"/>
    <w:rsid w:val="00A83ECB"/>
    <w:rsid w:val="00A85B76"/>
    <w:rsid w:val="00A87365"/>
    <w:rsid w:val="00A954BC"/>
    <w:rsid w:val="00AB1739"/>
    <w:rsid w:val="00AB2A82"/>
    <w:rsid w:val="00AB7A0D"/>
    <w:rsid w:val="00AC339B"/>
    <w:rsid w:val="00AD633B"/>
    <w:rsid w:val="00AD7AAC"/>
    <w:rsid w:val="00AE38FE"/>
    <w:rsid w:val="00B023D8"/>
    <w:rsid w:val="00B04D4A"/>
    <w:rsid w:val="00B04E51"/>
    <w:rsid w:val="00B15693"/>
    <w:rsid w:val="00B170A8"/>
    <w:rsid w:val="00B21F31"/>
    <w:rsid w:val="00B22720"/>
    <w:rsid w:val="00B420CF"/>
    <w:rsid w:val="00B44FA1"/>
    <w:rsid w:val="00B465B1"/>
    <w:rsid w:val="00B515C5"/>
    <w:rsid w:val="00B51F6D"/>
    <w:rsid w:val="00B5340E"/>
    <w:rsid w:val="00B54E64"/>
    <w:rsid w:val="00B64088"/>
    <w:rsid w:val="00B65CCF"/>
    <w:rsid w:val="00B72AB8"/>
    <w:rsid w:val="00B77808"/>
    <w:rsid w:val="00B80E79"/>
    <w:rsid w:val="00B900C8"/>
    <w:rsid w:val="00B92837"/>
    <w:rsid w:val="00B935B5"/>
    <w:rsid w:val="00B9694C"/>
    <w:rsid w:val="00BC0493"/>
    <w:rsid w:val="00BC3287"/>
    <w:rsid w:val="00BD0E82"/>
    <w:rsid w:val="00BD4755"/>
    <w:rsid w:val="00BD6286"/>
    <w:rsid w:val="00BE4ABD"/>
    <w:rsid w:val="00BE75AF"/>
    <w:rsid w:val="00BE7898"/>
    <w:rsid w:val="00BF380A"/>
    <w:rsid w:val="00C01E69"/>
    <w:rsid w:val="00C23613"/>
    <w:rsid w:val="00C50DC1"/>
    <w:rsid w:val="00C51182"/>
    <w:rsid w:val="00C54DC8"/>
    <w:rsid w:val="00C60D5B"/>
    <w:rsid w:val="00C610F8"/>
    <w:rsid w:val="00C73998"/>
    <w:rsid w:val="00C77A65"/>
    <w:rsid w:val="00C91360"/>
    <w:rsid w:val="00C97DC0"/>
    <w:rsid w:val="00CA4F4B"/>
    <w:rsid w:val="00CA5DF2"/>
    <w:rsid w:val="00CB3271"/>
    <w:rsid w:val="00CB3578"/>
    <w:rsid w:val="00CC513A"/>
    <w:rsid w:val="00CC54CE"/>
    <w:rsid w:val="00CC618C"/>
    <w:rsid w:val="00CE1519"/>
    <w:rsid w:val="00CF2D71"/>
    <w:rsid w:val="00CF75FF"/>
    <w:rsid w:val="00D032E9"/>
    <w:rsid w:val="00D03559"/>
    <w:rsid w:val="00D05576"/>
    <w:rsid w:val="00D070CB"/>
    <w:rsid w:val="00D1265C"/>
    <w:rsid w:val="00D137FE"/>
    <w:rsid w:val="00D14806"/>
    <w:rsid w:val="00D32ACB"/>
    <w:rsid w:val="00D43715"/>
    <w:rsid w:val="00D43CA7"/>
    <w:rsid w:val="00D44ED4"/>
    <w:rsid w:val="00D55DD2"/>
    <w:rsid w:val="00D57C51"/>
    <w:rsid w:val="00D60338"/>
    <w:rsid w:val="00D702A5"/>
    <w:rsid w:val="00D70ADE"/>
    <w:rsid w:val="00D73E96"/>
    <w:rsid w:val="00D75545"/>
    <w:rsid w:val="00D80A72"/>
    <w:rsid w:val="00D845E0"/>
    <w:rsid w:val="00D915A1"/>
    <w:rsid w:val="00DA605F"/>
    <w:rsid w:val="00DA74B5"/>
    <w:rsid w:val="00DB01D5"/>
    <w:rsid w:val="00DB70B1"/>
    <w:rsid w:val="00DC2AC5"/>
    <w:rsid w:val="00DC3647"/>
    <w:rsid w:val="00DC3ABA"/>
    <w:rsid w:val="00DC5531"/>
    <w:rsid w:val="00DC6769"/>
    <w:rsid w:val="00DD0395"/>
    <w:rsid w:val="00DD23F5"/>
    <w:rsid w:val="00DD376B"/>
    <w:rsid w:val="00DD5644"/>
    <w:rsid w:val="00DD6E0A"/>
    <w:rsid w:val="00DE7ADC"/>
    <w:rsid w:val="00DF142E"/>
    <w:rsid w:val="00DF3E8A"/>
    <w:rsid w:val="00E0458E"/>
    <w:rsid w:val="00E07040"/>
    <w:rsid w:val="00E16F21"/>
    <w:rsid w:val="00E239B9"/>
    <w:rsid w:val="00E261BC"/>
    <w:rsid w:val="00E263E5"/>
    <w:rsid w:val="00E269AC"/>
    <w:rsid w:val="00E328C8"/>
    <w:rsid w:val="00E41C2A"/>
    <w:rsid w:val="00E430AE"/>
    <w:rsid w:val="00E50E6D"/>
    <w:rsid w:val="00E55F17"/>
    <w:rsid w:val="00E652D0"/>
    <w:rsid w:val="00E672C7"/>
    <w:rsid w:val="00E71729"/>
    <w:rsid w:val="00E724F9"/>
    <w:rsid w:val="00E74B0B"/>
    <w:rsid w:val="00E75E0E"/>
    <w:rsid w:val="00E7777E"/>
    <w:rsid w:val="00E81440"/>
    <w:rsid w:val="00E863C2"/>
    <w:rsid w:val="00E9140A"/>
    <w:rsid w:val="00E9191B"/>
    <w:rsid w:val="00E96973"/>
    <w:rsid w:val="00EA1EB1"/>
    <w:rsid w:val="00EA4B5F"/>
    <w:rsid w:val="00EA6792"/>
    <w:rsid w:val="00EA6C49"/>
    <w:rsid w:val="00EB2476"/>
    <w:rsid w:val="00EB4085"/>
    <w:rsid w:val="00EC0836"/>
    <w:rsid w:val="00EC0A96"/>
    <w:rsid w:val="00EC508E"/>
    <w:rsid w:val="00EC7A47"/>
    <w:rsid w:val="00EE0BC9"/>
    <w:rsid w:val="00EE3596"/>
    <w:rsid w:val="00EE4F93"/>
    <w:rsid w:val="00EE7FC3"/>
    <w:rsid w:val="00EF4E65"/>
    <w:rsid w:val="00F07703"/>
    <w:rsid w:val="00F07869"/>
    <w:rsid w:val="00F1263F"/>
    <w:rsid w:val="00F12B86"/>
    <w:rsid w:val="00F20DBE"/>
    <w:rsid w:val="00F2301B"/>
    <w:rsid w:val="00F409D0"/>
    <w:rsid w:val="00F45EAF"/>
    <w:rsid w:val="00F4690E"/>
    <w:rsid w:val="00F53BC9"/>
    <w:rsid w:val="00F604E8"/>
    <w:rsid w:val="00F62AEC"/>
    <w:rsid w:val="00F62FDA"/>
    <w:rsid w:val="00F66E25"/>
    <w:rsid w:val="00F73C26"/>
    <w:rsid w:val="00F755EA"/>
    <w:rsid w:val="00F866AD"/>
    <w:rsid w:val="00F86FE1"/>
    <w:rsid w:val="00F91844"/>
    <w:rsid w:val="00FA605F"/>
    <w:rsid w:val="00FB4C88"/>
    <w:rsid w:val="00FC2460"/>
    <w:rsid w:val="00FC7F5D"/>
    <w:rsid w:val="00FE0D16"/>
    <w:rsid w:val="00FE2366"/>
    <w:rsid w:val="00FF26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D22C"/>
  <w15:chartTrackingRefBased/>
  <w15:docId w15:val="{71E96A12-FB53-4147-B320-BD9E9D1A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E65"/>
    <w:pPr>
      <w:spacing w:after="200" w:line="276" w:lineRule="auto"/>
    </w:pPr>
    <w:rPr>
      <w:sz w:val="22"/>
      <w:szCs w:val="22"/>
      <w:lang w:eastAsia="en-US"/>
    </w:rPr>
  </w:style>
  <w:style w:type="paragraph" w:styleId="Nagwek1">
    <w:name w:val="heading 1"/>
    <w:basedOn w:val="Normalny"/>
    <w:next w:val="Normalny"/>
    <w:link w:val="Nagwek1Znak"/>
    <w:qFormat/>
    <w:rsid w:val="00F20D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autoRedefine/>
    <w:unhideWhenUsed/>
    <w:qFormat/>
    <w:rsid w:val="00EE3596"/>
    <w:pPr>
      <w:keepNext/>
      <w:spacing w:after="120"/>
      <w:jc w:val="center"/>
      <w:outlineLvl w:val="1"/>
    </w:pPr>
    <w:rPr>
      <w:rFonts w:ascii="Verdana" w:eastAsia="Times New Roman" w:hAnsi="Verdana"/>
      <w:b/>
      <w:bCs/>
      <w:iCs/>
      <w:sz w:val="20"/>
      <w:szCs w:val="24"/>
      <w:lang w:eastAsia="pl-PL"/>
    </w:rPr>
  </w:style>
  <w:style w:type="paragraph" w:styleId="Nagwek3">
    <w:name w:val="heading 3"/>
    <w:basedOn w:val="Normalny"/>
    <w:next w:val="Normalny"/>
    <w:link w:val="Nagwek3Znak"/>
    <w:unhideWhenUsed/>
    <w:qFormat/>
    <w:rsid w:val="00F20DBE"/>
    <w:pPr>
      <w:keepNext/>
      <w:spacing w:after="0" w:line="240" w:lineRule="auto"/>
      <w:outlineLvl w:val="2"/>
    </w:pPr>
    <w:rPr>
      <w:rFonts w:ascii="Arial" w:eastAsia="Times New Roman" w:hAnsi="Arial"/>
      <w:b/>
      <w:b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205E34"/>
    <w:pPr>
      <w:spacing w:after="0" w:line="240" w:lineRule="auto"/>
    </w:pPr>
    <w:rPr>
      <w:rFonts w:ascii="Tahoma" w:hAnsi="Tahoma" w:cs="Tahoma"/>
      <w:sz w:val="16"/>
      <w:szCs w:val="16"/>
    </w:rPr>
  </w:style>
  <w:style w:type="character" w:customStyle="1" w:styleId="TekstdymkaZnak">
    <w:name w:val="Tekst dymka Znak"/>
    <w:link w:val="Tekstdymka"/>
    <w:semiHidden/>
    <w:rsid w:val="00205E34"/>
    <w:rPr>
      <w:rFonts w:ascii="Tahoma" w:hAnsi="Tahoma" w:cs="Tahoma"/>
      <w:sz w:val="16"/>
      <w:szCs w:val="16"/>
    </w:rPr>
  </w:style>
  <w:style w:type="paragraph" w:styleId="Nagwek">
    <w:name w:val="header"/>
    <w:basedOn w:val="Normalny"/>
    <w:link w:val="NagwekZnak"/>
    <w:uiPriority w:val="99"/>
    <w:unhideWhenUsed/>
    <w:rsid w:val="008633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331F"/>
  </w:style>
  <w:style w:type="paragraph" w:styleId="Stopka">
    <w:name w:val="footer"/>
    <w:basedOn w:val="Normalny"/>
    <w:link w:val="StopkaZnak"/>
    <w:uiPriority w:val="99"/>
    <w:unhideWhenUsed/>
    <w:rsid w:val="00863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331F"/>
  </w:style>
  <w:style w:type="paragraph" w:styleId="Bezodstpw">
    <w:name w:val="No Spacing"/>
    <w:link w:val="BezodstpwZnak"/>
    <w:uiPriority w:val="1"/>
    <w:qFormat/>
    <w:rsid w:val="00C60D5B"/>
    <w:rPr>
      <w:rFonts w:eastAsia="Times New Roman"/>
      <w:sz w:val="22"/>
      <w:szCs w:val="22"/>
      <w:lang w:eastAsia="en-US"/>
    </w:rPr>
  </w:style>
  <w:style w:type="character" w:customStyle="1" w:styleId="BezodstpwZnak">
    <w:name w:val="Bez odstępów Znak"/>
    <w:link w:val="Bezodstpw"/>
    <w:uiPriority w:val="1"/>
    <w:rsid w:val="00C60D5B"/>
    <w:rPr>
      <w:rFonts w:eastAsia="Times New Roman"/>
      <w:sz w:val="22"/>
      <w:szCs w:val="22"/>
      <w:lang w:val="pl-PL" w:eastAsia="en-US" w:bidi="ar-SA"/>
    </w:rPr>
  </w:style>
  <w:style w:type="paragraph" w:customStyle="1" w:styleId="Default">
    <w:name w:val="Default"/>
    <w:rsid w:val="003624D0"/>
    <w:pPr>
      <w:autoSpaceDE w:val="0"/>
      <w:autoSpaceDN w:val="0"/>
      <w:adjustRightInd w:val="0"/>
    </w:pPr>
    <w:rPr>
      <w:rFonts w:ascii="Verdana" w:eastAsia="Times New Roman" w:hAnsi="Verdana" w:cs="Verdana"/>
      <w:color w:val="000000"/>
      <w:sz w:val="24"/>
      <w:szCs w:val="24"/>
    </w:rPr>
  </w:style>
  <w:style w:type="paragraph" w:styleId="Tytu">
    <w:name w:val="Title"/>
    <w:basedOn w:val="Normalny"/>
    <w:link w:val="TytuZnak"/>
    <w:qFormat/>
    <w:rsid w:val="003624D0"/>
    <w:pPr>
      <w:spacing w:after="0" w:line="240" w:lineRule="auto"/>
      <w:jc w:val="center"/>
    </w:pPr>
    <w:rPr>
      <w:rFonts w:ascii="Arial" w:eastAsia="MS Mincho" w:hAnsi="Arial"/>
      <w:sz w:val="36"/>
      <w:szCs w:val="24"/>
      <w:lang w:eastAsia="pl-PL"/>
    </w:rPr>
  </w:style>
  <w:style w:type="character" w:customStyle="1" w:styleId="TytuZnak">
    <w:name w:val="Tytuł Znak"/>
    <w:basedOn w:val="Domylnaczcionkaakapitu"/>
    <w:link w:val="Tytu"/>
    <w:rsid w:val="003624D0"/>
    <w:rPr>
      <w:rFonts w:ascii="Arial" w:eastAsia="MS Mincho" w:hAnsi="Arial"/>
      <w:sz w:val="36"/>
      <w:szCs w:val="24"/>
    </w:rPr>
  </w:style>
  <w:style w:type="paragraph" w:styleId="Akapitzlist">
    <w:name w:val="List Paragraph"/>
    <w:basedOn w:val="Normalny"/>
    <w:uiPriority w:val="34"/>
    <w:qFormat/>
    <w:rsid w:val="003624D0"/>
    <w:pPr>
      <w:spacing w:after="0" w:line="240" w:lineRule="auto"/>
      <w:ind w:left="708"/>
    </w:pPr>
    <w:rPr>
      <w:rFonts w:ascii="Arial" w:eastAsia="Times New Roman" w:hAnsi="Arial"/>
      <w:sz w:val="24"/>
      <w:szCs w:val="24"/>
      <w:lang w:eastAsia="pl-PL"/>
    </w:rPr>
  </w:style>
  <w:style w:type="paragraph" w:customStyle="1" w:styleId="Tekstpodstawowywcity21">
    <w:name w:val="Tekst podstawowy wcięty 21"/>
    <w:basedOn w:val="Normalny"/>
    <w:rsid w:val="003624D0"/>
    <w:pPr>
      <w:tabs>
        <w:tab w:val="left" w:pos="720"/>
      </w:tabs>
      <w:spacing w:after="0" w:line="240" w:lineRule="auto"/>
      <w:ind w:left="360" w:hanging="360"/>
      <w:jc w:val="both"/>
    </w:pPr>
    <w:rPr>
      <w:rFonts w:ascii="Arial" w:eastAsia="Times New Roman" w:hAnsi="Arial"/>
      <w:b/>
      <w:sz w:val="24"/>
      <w:szCs w:val="20"/>
      <w:lang w:eastAsia="pl-PL"/>
    </w:rPr>
  </w:style>
  <w:style w:type="paragraph" w:styleId="Zwykytekst">
    <w:name w:val="Plain Text"/>
    <w:basedOn w:val="Normalny"/>
    <w:link w:val="ZwykytekstZnak"/>
    <w:uiPriority w:val="99"/>
    <w:unhideWhenUsed/>
    <w:rsid w:val="003624D0"/>
    <w:pPr>
      <w:spacing w:after="0" w:line="240" w:lineRule="auto"/>
    </w:pPr>
    <w:rPr>
      <w:rFonts w:ascii="Consolas" w:hAnsi="Consolas" w:cs="Consolas"/>
      <w:sz w:val="21"/>
      <w:szCs w:val="21"/>
      <w:lang w:eastAsia="pl-PL"/>
    </w:rPr>
  </w:style>
  <w:style w:type="character" w:customStyle="1" w:styleId="ZwykytekstZnak">
    <w:name w:val="Zwykły tekst Znak"/>
    <w:basedOn w:val="Domylnaczcionkaakapitu"/>
    <w:link w:val="Zwykytekst"/>
    <w:uiPriority w:val="99"/>
    <w:rsid w:val="003624D0"/>
    <w:rPr>
      <w:rFonts w:ascii="Consolas" w:hAnsi="Consolas" w:cs="Consolas"/>
      <w:sz w:val="21"/>
      <w:szCs w:val="21"/>
    </w:rPr>
  </w:style>
  <w:style w:type="paragraph" w:customStyle="1" w:styleId="Tekstpodstawowy21">
    <w:name w:val="Tekst podstawowy 21"/>
    <w:basedOn w:val="Normalny"/>
    <w:rsid w:val="00A00798"/>
    <w:pPr>
      <w:spacing w:after="0" w:line="240" w:lineRule="auto"/>
      <w:jc w:val="both"/>
    </w:pPr>
    <w:rPr>
      <w:rFonts w:ascii="Arial" w:eastAsia="Times New Roman" w:hAnsi="Arial"/>
      <w:sz w:val="24"/>
      <w:szCs w:val="20"/>
      <w:lang w:eastAsia="pl-PL"/>
    </w:rPr>
  </w:style>
  <w:style w:type="paragraph" w:customStyle="1" w:styleId="Tekstpodstawowywcity31">
    <w:name w:val="Tekst podstawowy wci?ty 31"/>
    <w:basedOn w:val="Normalny"/>
    <w:rsid w:val="0071104F"/>
    <w:pPr>
      <w:tabs>
        <w:tab w:val="left" w:pos="720"/>
      </w:tabs>
      <w:spacing w:after="0" w:line="240" w:lineRule="auto"/>
      <w:ind w:left="360" w:hanging="360"/>
      <w:jc w:val="both"/>
    </w:pPr>
    <w:rPr>
      <w:rFonts w:ascii="Arial" w:eastAsia="Times New Roman" w:hAnsi="Arial"/>
      <w:sz w:val="24"/>
      <w:szCs w:val="20"/>
      <w:lang w:eastAsia="pl-PL"/>
    </w:rPr>
  </w:style>
  <w:style w:type="character" w:styleId="Odwoaniedokomentarza">
    <w:name w:val="annotation reference"/>
    <w:basedOn w:val="Domylnaczcionkaakapitu"/>
    <w:uiPriority w:val="99"/>
    <w:semiHidden/>
    <w:unhideWhenUsed/>
    <w:rsid w:val="004255E2"/>
    <w:rPr>
      <w:sz w:val="16"/>
      <w:szCs w:val="16"/>
    </w:rPr>
  </w:style>
  <w:style w:type="paragraph" w:styleId="Tekstkomentarza">
    <w:name w:val="annotation text"/>
    <w:basedOn w:val="Normalny"/>
    <w:link w:val="TekstkomentarzaZnak"/>
    <w:uiPriority w:val="99"/>
    <w:unhideWhenUsed/>
    <w:rsid w:val="004255E2"/>
    <w:pPr>
      <w:spacing w:line="240" w:lineRule="auto"/>
    </w:pPr>
    <w:rPr>
      <w:sz w:val="20"/>
      <w:szCs w:val="20"/>
    </w:rPr>
  </w:style>
  <w:style w:type="character" w:customStyle="1" w:styleId="TekstkomentarzaZnak">
    <w:name w:val="Tekst komentarza Znak"/>
    <w:basedOn w:val="Domylnaczcionkaakapitu"/>
    <w:link w:val="Tekstkomentarza"/>
    <w:uiPriority w:val="99"/>
    <w:rsid w:val="004255E2"/>
    <w:rPr>
      <w:lang w:eastAsia="en-US"/>
    </w:rPr>
  </w:style>
  <w:style w:type="paragraph" w:styleId="Tematkomentarza">
    <w:name w:val="annotation subject"/>
    <w:basedOn w:val="Tekstkomentarza"/>
    <w:next w:val="Tekstkomentarza"/>
    <w:link w:val="TematkomentarzaZnak"/>
    <w:semiHidden/>
    <w:unhideWhenUsed/>
    <w:rsid w:val="004255E2"/>
    <w:rPr>
      <w:b/>
      <w:bCs/>
    </w:rPr>
  </w:style>
  <w:style w:type="character" w:customStyle="1" w:styleId="TematkomentarzaZnak">
    <w:name w:val="Temat komentarza Znak"/>
    <w:basedOn w:val="TekstkomentarzaZnak"/>
    <w:link w:val="Tematkomentarza"/>
    <w:semiHidden/>
    <w:rsid w:val="004255E2"/>
    <w:rPr>
      <w:b/>
      <w:bCs/>
      <w:lang w:eastAsia="en-US"/>
    </w:rPr>
  </w:style>
  <w:style w:type="paragraph" w:styleId="Poprawka">
    <w:name w:val="Revision"/>
    <w:hidden/>
    <w:uiPriority w:val="99"/>
    <w:semiHidden/>
    <w:rsid w:val="004255E2"/>
    <w:rPr>
      <w:sz w:val="22"/>
      <w:szCs w:val="22"/>
      <w:lang w:eastAsia="en-US"/>
    </w:rPr>
  </w:style>
  <w:style w:type="character" w:customStyle="1" w:styleId="ui-provider">
    <w:name w:val="ui-provider"/>
    <w:basedOn w:val="Domylnaczcionkaakapitu"/>
    <w:rsid w:val="00263BD1"/>
  </w:style>
  <w:style w:type="paragraph" w:styleId="Tekstpodstawowy3">
    <w:name w:val="Body Text 3"/>
    <w:basedOn w:val="Normalny"/>
    <w:link w:val="Tekstpodstawowy3Znak"/>
    <w:unhideWhenUsed/>
    <w:rsid w:val="002C3150"/>
    <w:pPr>
      <w:spacing w:after="0" w:line="240" w:lineRule="auto"/>
      <w:jc w:val="both"/>
    </w:pPr>
    <w:rPr>
      <w:rFonts w:ascii="Arial" w:eastAsia="Times New Roman" w:hAnsi="Arial"/>
      <w:b/>
      <w:sz w:val="24"/>
      <w:szCs w:val="20"/>
      <w:lang w:eastAsia="pl-PL"/>
    </w:rPr>
  </w:style>
  <w:style w:type="character" w:customStyle="1" w:styleId="Tekstpodstawowy3Znak">
    <w:name w:val="Tekst podstawowy 3 Znak"/>
    <w:basedOn w:val="Domylnaczcionkaakapitu"/>
    <w:link w:val="Tekstpodstawowy3"/>
    <w:rsid w:val="002C3150"/>
    <w:rPr>
      <w:rFonts w:ascii="Arial" w:eastAsia="Times New Roman" w:hAnsi="Arial"/>
      <w:b/>
      <w:sz w:val="24"/>
    </w:rPr>
  </w:style>
  <w:style w:type="character" w:customStyle="1" w:styleId="Nagwek2Znak">
    <w:name w:val="Nagłówek 2 Znak"/>
    <w:basedOn w:val="Domylnaczcionkaakapitu"/>
    <w:link w:val="Nagwek2"/>
    <w:rsid w:val="00EE3596"/>
    <w:rPr>
      <w:rFonts w:ascii="Verdana" w:eastAsia="Times New Roman" w:hAnsi="Verdana"/>
      <w:b/>
      <w:bCs/>
      <w:iCs/>
      <w:szCs w:val="24"/>
    </w:rPr>
  </w:style>
  <w:style w:type="paragraph" w:customStyle="1" w:styleId="Nagwek10">
    <w:name w:val="Nag?Ńwek 1"/>
    <w:basedOn w:val="Normalny"/>
    <w:next w:val="Normalny"/>
    <w:rsid w:val="00EE3596"/>
    <w:pPr>
      <w:keepNext/>
      <w:spacing w:after="0" w:line="240" w:lineRule="auto"/>
      <w:jc w:val="center"/>
    </w:pPr>
    <w:rPr>
      <w:rFonts w:ascii="Arial" w:eastAsia="Times New Roman" w:hAnsi="Arial"/>
      <w:sz w:val="24"/>
      <w:szCs w:val="20"/>
      <w:lang w:eastAsia="pl-PL"/>
    </w:rPr>
  </w:style>
  <w:style w:type="paragraph" w:styleId="Tekstpodstawowy">
    <w:name w:val="Body Text"/>
    <w:basedOn w:val="Normalny"/>
    <w:link w:val="TekstpodstawowyZnak"/>
    <w:unhideWhenUsed/>
    <w:rsid w:val="00DD5644"/>
    <w:pPr>
      <w:spacing w:after="120"/>
    </w:pPr>
  </w:style>
  <w:style w:type="character" w:customStyle="1" w:styleId="TekstpodstawowyZnak">
    <w:name w:val="Tekst podstawowy Znak"/>
    <w:basedOn w:val="Domylnaczcionkaakapitu"/>
    <w:link w:val="Tekstpodstawowy"/>
    <w:rsid w:val="00DD5644"/>
    <w:rPr>
      <w:sz w:val="22"/>
      <w:szCs w:val="22"/>
      <w:lang w:eastAsia="en-US"/>
    </w:rPr>
  </w:style>
  <w:style w:type="paragraph" w:styleId="Tekstpodstawowy2">
    <w:name w:val="Body Text 2"/>
    <w:basedOn w:val="Normalny"/>
    <w:link w:val="Tekstpodstawowy2Znak"/>
    <w:unhideWhenUsed/>
    <w:rsid w:val="009B7319"/>
    <w:pPr>
      <w:spacing w:after="120" w:line="480" w:lineRule="auto"/>
    </w:pPr>
  </w:style>
  <w:style w:type="character" w:customStyle="1" w:styleId="Tekstpodstawowy2Znak">
    <w:name w:val="Tekst podstawowy 2 Znak"/>
    <w:basedOn w:val="Domylnaczcionkaakapitu"/>
    <w:link w:val="Tekstpodstawowy2"/>
    <w:rsid w:val="009B7319"/>
    <w:rPr>
      <w:sz w:val="22"/>
      <w:szCs w:val="22"/>
      <w:lang w:eastAsia="en-US"/>
    </w:rPr>
  </w:style>
  <w:style w:type="paragraph" w:customStyle="1" w:styleId="Tytu0">
    <w:name w:val="Tytu?"/>
    <w:basedOn w:val="Normalny"/>
    <w:rsid w:val="008F6F29"/>
    <w:pPr>
      <w:tabs>
        <w:tab w:val="left" w:pos="720"/>
      </w:tabs>
      <w:spacing w:after="0" w:line="240" w:lineRule="auto"/>
      <w:jc w:val="center"/>
    </w:pPr>
    <w:rPr>
      <w:rFonts w:ascii="Arial" w:eastAsia="Times New Roman" w:hAnsi="Arial"/>
      <w:b/>
      <w:sz w:val="24"/>
      <w:szCs w:val="20"/>
      <w:lang w:eastAsia="pl-PL"/>
    </w:rPr>
  </w:style>
  <w:style w:type="character" w:customStyle="1" w:styleId="Nagwek1Znak">
    <w:name w:val="Nagłówek 1 Znak"/>
    <w:basedOn w:val="Domylnaczcionkaakapitu"/>
    <w:link w:val="Nagwek1"/>
    <w:rsid w:val="00F20DBE"/>
    <w:rPr>
      <w:rFonts w:asciiTheme="majorHAnsi" w:eastAsiaTheme="majorEastAsia" w:hAnsiTheme="majorHAnsi" w:cstheme="majorBidi"/>
      <w:color w:val="2E74B5" w:themeColor="accent1" w:themeShade="BF"/>
      <w:sz w:val="32"/>
      <w:szCs w:val="32"/>
      <w:lang w:eastAsia="en-US"/>
    </w:rPr>
  </w:style>
  <w:style w:type="character" w:customStyle="1" w:styleId="Nagwek3Znak">
    <w:name w:val="Nagłówek 3 Znak"/>
    <w:basedOn w:val="Domylnaczcionkaakapitu"/>
    <w:link w:val="Nagwek3"/>
    <w:rsid w:val="00F20DBE"/>
    <w:rPr>
      <w:rFonts w:ascii="Arial" w:eastAsia="Times New Roman" w:hAnsi="Arial"/>
      <w:b/>
      <w:bCs/>
      <w:szCs w:val="24"/>
    </w:rPr>
  </w:style>
  <w:style w:type="character" w:styleId="Hipercze">
    <w:name w:val="Hyperlink"/>
    <w:uiPriority w:val="99"/>
    <w:unhideWhenUsed/>
    <w:rsid w:val="00F20DBE"/>
    <w:rPr>
      <w:color w:val="0000FF"/>
      <w:u w:val="single"/>
    </w:rPr>
  </w:style>
  <w:style w:type="character" w:styleId="UyteHipercze">
    <w:name w:val="FollowedHyperlink"/>
    <w:uiPriority w:val="99"/>
    <w:semiHidden/>
    <w:unhideWhenUsed/>
    <w:rsid w:val="00F20DBE"/>
    <w:rPr>
      <w:color w:val="954F72"/>
      <w:u w:val="single"/>
    </w:rPr>
  </w:style>
  <w:style w:type="paragraph" w:styleId="Spistreci1">
    <w:name w:val="toc 1"/>
    <w:basedOn w:val="Normalny"/>
    <w:next w:val="Normalny"/>
    <w:autoRedefine/>
    <w:uiPriority w:val="39"/>
    <w:unhideWhenUsed/>
    <w:rsid w:val="00F20DBE"/>
    <w:pPr>
      <w:tabs>
        <w:tab w:val="right" w:leader="dot" w:pos="9072"/>
      </w:tabs>
      <w:spacing w:before="60" w:after="60"/>
    </w:pPr>
    <w:rPr>
      <w:rFonts w:eastAsia="Times New Roman" w:cs="Calibri"/>
      <w:b/>
      <w:bCs/>
      <w:caps/>
      <w:sz w:val="20"/>
      <w:szCs w:val="20"/>
      <w:lang w:eastAsia="pl-PL"/>
    </w:rPr>
  </w:style>
  <w:style w:type="paragraph" w:styleId="Spistreci2">
    <w:name w:val="toc 2"/>
    <w:basedOn w:val="Normalny"/>
    <w:next w:val="Normalny"/>
    <w:autoRedefine/>
    <w:uiPriority w:val="39"/>
    <w:unhideWhenUsed/>
    <w:rsid w:val="00F20DBE"/>
    <w:pPr>
      <w:tabs>
        <w:tab w:val="right" w:leader="dot" w:pos="9060"/>
      </w:tabs>
      <w:spacing w:after="0" w:line="240" w:lineRule="auto"/>
      <w:ind w:left="240"/>
    </w:pPr>
    <w:rPr>
      <w:rFonts w:eastAsia="Times New Roman" w:cs="Calibri"/>
      <w:smallCaps/>
      <w:sz w:val="20"/>
      <w:szCs w:val="20"/>
      <w:lang w:eastAsia="pl-PL"/>
    </w:rPr>
  </w:style>
  <w:style w:type="paragraph" w:styleId="Spistreci3">
    <w:name w:val="toc 3"/>
    <w:basedOn w:val="Normalny"/>
    <w:next w:val="Normalny"/>
    <w:autoRedefine/>
    <w:uiPriority w:val="39"/>
    <w:unhideWhenUsed/>
    <w:rsid w:val="00F20DBE"/>
    <w:pPr>
      <w:tabs>
        <w:tab w:val="right" w:leader="dot" w:pos="9060"/>
      </w:tabs>
      <w:spacing w:after="0" w:line="240" w:lineRule="auto"/>
      <w:ind w:left="480"/>
    </w:pPr>
    <w:rPr>
      <w:rFonts w:eastAsia="Times New Roman" w:cs="Calibri"/>
      <w:i/>
      <w:iCs/>
      <w:sz w:val="20"/>
      <w:szCs w:val="20"/>
      <w:lang w:eastAsia="pl-PL"/>
    </w:rPr>
  </w:style>
  <w:style w:type="paragraph" w:styleId="Spistreci4">
    <w:name w:val="toc 4"/>
    <w:basedOn w:val="Normalny"/>
    <w:next w:val="Normalny"/>
    <w:autoRedefine/>
    <w:semiHidden/>
    <w:unhideWhenUsed/>
    <w:rsid w:val="00F20DBE"/>
    <w:pPr>
      <w:spacing w:after="0" w:line="240" w:lineRule="auto"/>
      <w:ind w:left="720"/>
    </w:pPr>
    <w:rPr>
      <w:rFonts w:eastAsia="Times New Roman" w:cs="Calibri"/>
      <w:sz w:val="18"/>
      <w:szCs w:val="18"/>
      <w:lang w:eastAsia="pl-PL"/>
    </w:rPr>
  </w:style>
  <w:style w:type="paragraph" w:styleId="Spistreci5">
    <w:name w:val="toc 5"/>
    <w:basedOn w:val="Normalny"/>
    <w:next w:val="Normalny"/>
    <w:autoRedefine/>
    <w:semiHidden/>
    <w:unhideWhenUsed/>
    <w:rsid w:val="00F20DBE"/>
    <w:pPr>
      <w:spacing w:after="0" w:line="240" w:lineRule="auto"/>
      <w:ind w:left="960"/>
    </w:pPr>
    <w:rPr>
      <w:rFonts w:eastAsia="Times New Roman" w:cs="Calibri"/>
      <w:sz w:val="18"/>
      <w:szCs w:val="18"/>
      <w:lang w:eastAsia="pl-PL"/>
    </w:rPr>
  </w:style>
  <w:style w:type="paragraph" w:styleId="Spistreci6">
    <w:name w:val="toc 6"/>
    <w:basedOn w:val="Normalny"/>
    <w:next w:val="Normalny"/>
    <w:autoRedefine/>
    <w:semiHidden/>
    <w:unhideWhenUsed/>
    <w:rsid w:val="00F20DBE"/>
    <w:pPr>
      <w:spacing w:after="0" w:line="240" w:lineRule="auto"/>
      <w:ind w:left="1200"/>
    </w:pPr>
    <w:rPr>
      <w:rFonts w:eastAsia="Times New Roman" w:cs="Calibri"/>
      <w:sz w:val="18"/>
      <w:szCs w:val="18"/>
      <w:lang w:eastAsia="pl-PL"/>
    </w:rPr>
  </w:style>
  <w:style w:type="paragraph" w:styleId="Spistreci7">
    <w:name w:val="toc 7"/>
    <w:basedOn w:val="Normalny"/>
    <w:next w:val="Normalny"/>
    <w:autoRedefine/>
    <w:semiHidden/>
    <w:unhideWhenUsed/>
    <w:rsid w:val="00F20DBE"/>
    <w:pPr>
      <w:spacing w:after="0" w:line="240" w:lineRule="auto"/>
      <w:ind w:left="1440"/>
    </w:pPr>
    <w:rPr>
      <w:rFonts w:eastAsia="Times New Roman" w:cs="Calibri"/>
      <w:sz w:val="18"/>
      <w:szCs w:val="18"/>
      <w:lang w:eastAsia="pl-PL"/>
    </w:rPr>
  </w:style>
  <w:style w:type="paragraph" w:styleId="Spistreci8">
    <w:name w:val="toc 8"/>
    <w:basedOn w:val="Normalny"/>
    <w:next w:val="Normalny"/>
    <w:autoRedefine/>
    <w:semiHidden/>
    <w:unhideWhenUsed/>
    <w:rsid w:val="00F20DBE"/>
    <w:pPr>
      <w:spacing w:after="0" w:line="240" w:lineRule="auto"/>
      <w:ind w:left="1680"/>
    </w:pPr>
    <w:rPr>
      <w:rFonts w:eastAsia="Times New Roman" w:cs="Calibri"/>
      <w:sz w:val="18"/>
      <w:szCs w:val="18"/>
      <w:lang w:eastAsia="pl-PL"/>
    </w:rPr>
  </w:style>
  <w:style w:type="paragraph" w:styleId="Spistreci9">
    <w:name w:val="toc 9"/>
    <w:basedOn w:val="Normalny"/>
    <w:next w:val="Normalny"/>
    <w:autoRedefine/>
    <w:semiHidden/>
    <w:unhideWhenUsed/>
    <w:rsid w:val="00F20DBE"/>
    <w:pPr>
      <w:spacing w:after="0" w:line="240" w:lineRule="auto"/>
      <w:ind w:left="1920"/>
    </w:pPr>
    <w:rPr>
      <w:rFonts w:eastAsia="Times New Roman" w:cs="Calibri"/>
      <w:sz w:val="18"/>
      <w:szCs w:val="18"/>
      <w:lang w:eastAsia="pl-PL"/>
    </w:rPr>
  </w:style>
  <w:style w:type="paragraph" w:styleId="Tekstprzypisudolnego">
    <w:name w:val="footnote text"/>
    <w:basedOn w:val="Normalny"/>
    <w:link w:val="TekstprzypisudolnegoZnak"/>
    <w:semiHidden/>
    <w:unhideWhenUsed/>
    <w:rsid w:val="00F20DBE"/>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F20DBE"/>
    <w:rPr>
      <w:rFonts w:ascii="Times New Roman" w:eastAsia="Times New Roman" w:hAnsi="Times New Roman"/>
    </w:rPr>
  </w:style>
  <w:style w:type="paragraph" w:styleId="Tekstprzypisukocowego">
    <w:name w:val="endnote text"/>
    <w:basedOn w:val="Normalny"/>
    <w:link w:val="TekstprzypisukocowegoZnak"/>
    <w:semiHidden/>
    <w:unhideWhenUsed/>
    <w:rsid w:val="00F20DBE"/>
    <w:pPr>
      <w:spacing w:after="0" w:line="240" w:lineRule="auto"/>
    </w:pPr>
    <w:rPr>
      <w:rFonts w:ascii="Arial" w:eastAsia="Times New Roman" w:hAnsi="Arial"/>
      <w:sz w:val="20"/>
      <w:szCs w:val="20"/>
      <w:lang w:eastAsia="pl-PL"/>
    </w:rPr>
  </w:style>
  <w:style w:type="character" w:customStyle="1" w:styleId="TekstprzypisukocowegoZnak">
    <w:name w:val="Tekst przypisu końcowego Znak"/>
    <w:basedOn w:val="Domylnaczcionkaakapitu"/>
    <w:link w:val="Tekstprzypisukocowego"/>
    <w:semiHidden/>
    <w:rsid w:val="00F20DBE"/>
    <w:rPr>
      <w:rFonts w:ascii="Arial" w:eastAsia="Times New Roman" w:hAnsi="Arial"/>
    </w:rPr>
  </w:style>
  <w:style w:type="paragraph" w:styleId="Tekstpodstawowywcity">
    <w:name w:val="Body Text Indent"/>
    <w:basedOn w:val="Normalny"/>
    <w:link w:val="TekstpodstawowywcityZnak"/>
    <w:semiHidden/>
    <w:unhideWhenUsed/>
    <w:rsid w:val="00F20DBE"/>
    <w:pPr>
      <w:tabs>
        <w:tab w:val="left" w:pos="720"/>
      </w:tabs>
      <w:spacing w:after="0" w:line="240" w:lineRule="auto"/>
      <w:ind w:left="720" w:hanging="360"/>
      <w:jc w:val="both"/>
    </w:pPr>
    <w:rPr>
      <w:rFonts w:ascii="Arial" w:eastAsia="Times New Roman" w:hAnsi="Arial"/>
      <w:b/>
      <w:sz w:val="24"/>
      <w:szCs w:val="20"/>
      <w:lang w:eastAsia="pl-PL"/>
    </w:rPr>
  </w:style>
  <w:style w:type="character" w:customStyle="1" w:styleId="TekstpodstawowywcityZnak">
    <w:name w:val="Tekst podstawowy wcięty Znak"/>
    <w:basedOn w:val="Domylnaczcionkaakapitu"/>
    <w:link w:val="Tekstpodstawowywcity"/>
    <w:semiHidden/>
    <w:rsid w:val="00F20DBE"/>
    <w:rPr>
      <w:rFonts w:ascii="Arial" w:eastAsia="Times New Roman" w:hAnsi="Arial"/>
      <w:b/>
      <w:sz w:val="24"/>
    </w:rPr>
  </w:style>
  <w:style w:type="paragraph" w:styleId="Tekstpodstawowywcity2">
    <w:name w:val="Body Text Indent 2"/>
    <w:basedOn w:val="Normalny"/>
    <w:link w:val="Tekstpodstawowywcity2Znak"/>
    <w:semiHidden/>
    <w:unhideWhenUsed/>
    <w:rsid w:val="00F20DBE"/>
    <w:pPr>
      <w:tabs>
        <w:tab w:val="left" w:pos="720"/>
      </w:tabs>
      <w:spacing w:after="0" w:line="240" w:lineRule="auto"/>
      <w:ind w:left="360" w:hanging="360"/>
    </w:pPr>
    <w:rPr>
      <w:rFonts w:ascii="Arial" w:eastAsia="Times New Roman" w:hAnsi="Arial"/>
      <w:sz w:val="24"/>
      <w:szCs w:val="24"/>
      <w:lang w:eastAsia="pl-PL"/>
    </w:rPr>
  </w:style>
  <w:style w:type="character" w:customStyle="1" w:styleId="Tekstpodstawowywcity2Znak">
    <w:name w:val="Tekst podstawowy wcięty 2 Znak"/>
    <w:basedOn w:val="Domylnaczcionkaakapitu"/>
    <w:link w:val="Tekstpodstawowywcity2"/>
    <w:semiHidden/>
    <w:rsid w:val="00F20DBE"/>
    <w:rPr>
      <w:rFonts w:ascii="Arial" w:eastAsia="Times New Roman" w:hAnsi="Arial"/>
      <w:sz w:val="24"/>
      <w:szCs w:val="24"/>
    </w:rPr>
  </w:style>
  <w:style w:type="paragraph" w:styleId="Tekstpodstawowywcity3">
    <w:name w:val="Body Text Indent 3"/>
    <w:basedOn w:val="Normalny"/>
    <w:link w:val="Tekstpodstawowywcity3Znak"/>
    <w:semiHidden/>
    <w:unhideWhenUsed/>
    <w:rsid w:val="00F20DBE"/>
    <w:pPr>
      <w:tabs>
        <w:tab w:val="left" w:pos="720"/>
      </w:tabs>
      <w:spacing w:after="0" w:line="240" w:lineRule="auto"/>
      <w:ind w:left="720" w:hanging="360"/>
      <w:jc w:val="both"/>
    </w:pPr>
    <w:rPr>
      <w:rFonts w:ascii="Arial" w:eastAsia="Times New Roman" w:hAnsi="Arial"/>
      <w:sz w:val="24"/>
      <w:szCs w:val="20"/>
      <w:lang w:eastAsia="pl-PL"/>
    </w:rPr>
  </w:style>
  <w:style w:type="character" w:customStyle="1" w:styleId="Tekstpodstawowywcity3Znak">
    <w:name w:val="Tekst podstawowy wcięty 3 Znak"/>
    <w:basedOn w:val="Domylnaczcionkaakapitu"/>
    <w:link w:val="Tekstpodstawowywcity3"/>
    <w:semiHidden/>
    <w:rsid w:val="00F20DBE"/>
    <w:rPr>
      <w:rFonts w:ascii="Arial" w:eastAsia="Times New Roman" w:hAnsi="Arial"/>
      <w:sz w:val="24"/>
    </w:rPr>
  </w:style>
  <w:style w:type="paragraph" w:customStyle="1" w:styleId="Nagwek20">
    <w:name w:val="Nag?Ńwek 2"/>
    <w:basedOn w:val="Normalny"/>
    <w:next w:val="Normalny"/>
    <w:rsid w:val="00F20DBE"/>
    <w:pPr>
      <w:keepNext/>
      <w:spacing w:after="0" w:line="240" w:lineRule="auto"/>
      <w:jc w:val="center"/>
    </w:pPr>
    <w:rPr>
      <w:rFonts w:ascii="Arial" w:eastAsia="Times New Roman" w:hAnsi="Arial"/>
      <w:b/>
      <w:sz w:val="24"/>
      <w:szCs w:val="20"/>
      <w:lang w:eastAsia="pl-PL"/>
    </w:rPr>
  </w:style>
  <w:style w:type="paragraph" w:customStyle="1" w:styleId="Tekstpodstawowy31">
    <w:name w:val="Tekst podstawowy 31"/>
    <w:basedOn w:val="Normalny"/>
    <w:rsid w:val="00F20DBE"/>
    <w:pPr>
      <w:spacing w:after="0" w:line="240" w:lineRule="auto"/>
    </w:pPr>
    <w:rPr>
      <w:rFonts w:ascii="Arial" w:eastAsia="Times New Roman" w:hAnsi="Arial"/>
      <w:sz w:val="24"/>
      <w:szCs w:val="20"/>
      <w:lang w:eastAsia="pl-PL"/>
    </w:rPr>
  </w:style>
  <w:style w:type="paragraph" w:customStyle="1" w:styleId="Tekstpodstawowywcity310">
    <w:name w:val="Tekst podstawowy wcięty 31"/>
    <w:basedOn w:val="Normalny"/>
    <w:rsid w:val="00F20DBE"/>
    <w:pPr>
      <w:tabs>
        <w:tab w:val="left" w:pos="720"/>
      </w:tabs>
      <w:spacing w:after="0" w:line="240" w:lineRule="auto"/>
      <w:ind w:left="720" w:hanging="360"/>
      <w:jc w:val="both"/>
    </w:pPr>
    <w:rPr>
      <w:rFonts w:ascii="Arial" w:eastAsia="Times New Roman" w:hAnsi="Arial"/>
      <w:sz w:val="24"/>
      <w:szCs w:val="20"/>
      <w:lang w:eastAsia="pl-PL"/>
    </w:rPr>
  </w:style>
  <w:style w:type="paragraph" w:customStyle="1" w:styleId="Nagwekstrony">
    <w:name w:val="Nag?Ńwek strony"/>
    <w:basedOn w:val="Normalny"/>
    <w:rsid w:val="00F20DBE"/>
    <w:pPr>
      <w:tabs>
        <w:tab w:val="center" w:pos="4536"/>
        <w:tab w:val="right" w:pos="9072"/>
      </w:tabs>
      <w:spacing w:after="0" w:line="240" w:lineRule="auto"/>
    </w:pPr>
    <w:rPr>
      <w:rFonts w:ascii="Arial" w:eastAsia="Times New Roman" w:hAnsi="Arial"/>
      <w:sz w:val="24"/>
      <w:szCs w:val="20"/>
      <w:lang w:eastAsia="pl-PL"/>
    </w:rPr>
  </w:style>
  <w:style w:type="paragraph" w:customStyle="1" w:styleId="Tekstpodstawowywcity30">
    <w:name w:val="Tekst podstawowy wci?ty 3"/>
    <w:basedOn w:val="Normalny"/>
    <w:rsid w:val="00F20DBE"/>
    <w:pPr>
      <w:spacing w:after="0" w:line="240" w:lineRule="auto"/>
      <w:ind w:firstLine="360"/>
      <w:jc w:val="both"/>
    </w:pPr>
    <w:rPr>
      <w:rFonts w:ascii="Arial" w:eastAsia="Times New Roman" w:hAnsi="Arial"/>
      <w:sz w:val="24"/>
      <w:szCs w:val="20"/>
      <w:lang w:eastAsia="pl-PL"/>
    </w:rPr>
  </w:style>
  <w:style w:type="paragraph" w:customStyle="1" w:styleId="Nagwek30">
    <w:name w:val="Nag?Ńwek 3"/>
    <w:basedOn w:val="Normalny"/>
    <w:next w:val="Normalny"/>
    <w:rsid w:val="00F20DBE"/>
    <w:pPr>
      <w:keepNext/>
      <w:spacing w:after="0" w:line="240" w:lineRule="auto"/>
      <w:jc w:val="center"/>
    </w:pPr>
    <w:rPr>
      <w:rFonts w:ascii="Arial" w:eastAsia="Times New Roman" w:hAnsi="Arial"/>
      <w:b/>
      <w:sz w:val="20"/>
      <w:szCs w:val="20"/>
      <w:lang w:eastAsia="pl-PL"/>
    </w:rPr>
  </w:style>
  <w:style w:type="paragraph" w:customStyle="1" w:styleId="Nagwek4">
    <w:name w:val="Nag?—wek 4"/>
    <w:basedOn w:val="Normalny"/>
    <w:next w:val="Normalny"/>
    <w:rsid w:val="00F20DBE"/>
    <w:pPr>
      <w:keepNext/>
      <w:spacing w:after="0" w:line="240" w:lineRule="auto"/>
      <w:jc w:val="center"/>
    </w:pPr>
    <w:rPr>
      <w:rFonts w:ascii="Arial" w:eastAsia="Times New Roman" w:hAnsi="Arial"/>
      <w:sz w:val="24"/>
      <w:szCs w:val="20"/>
      <w:u w:val="single"/>
      <w:lang w:eastAsia="pl-PL"/>
    </w:rPr>
  </w:style>
  <w:style w:type="paragraph" w:customStyle="1" w:styleId="Akapitzlist1">
    <w:name w:val="Akapit z listą1"/>
    <w:basedOn w:val="Normalny"/>
    <w:rsid w:val="00F20DBE"/>
    <w:pPr>
      <w:ind w:left="720"/>
      <w:contextualSpacing/>
    </w:pPr>
    <w:rPr>
      <w:rFonts w:eastAsia="Times New Roman"/>
    </w:rPr>
  </w:style>
  <w:style w:type="paragraph" w:customStyle="1" w:styleId="Akapitzlist2">
    <w:name w:val="Akapit z listą2"/>
    <w:basedOn w:val="Normalny"/>
    <w:rsid w:val="00F20DBE"/>
    <w:pPr>
      <w:spacing w:after="0" w:line="240" w:lineRule="auto"/>
      <w:ind w:left="720"/>
      <w:contextualSpacing/>
    </w:pPr>
    <w:rPr>
      <w:rFonts w:ascii="Arial" w:eastAsia="Times New Roman" w:hAnsi="Arial" w:cs="Arial"/>
      <w:sz w:val="24"/>
      <w:szCs w:val="24"/>
      <w:lang w:eastAsia="pl-PL"/>
    </w:rPr>
  </w:style>
  <w:style w:type="paragraph" w:customStyle="1" w:styleId="Tekstpodstawowy22">
    <w:name w:val="Tekst podstawowy 22"/>
    <w:basedOn w:val="Normalny"/>
    <w:rsid w:val="00F20DBE"/>
    <w:pPr>
      <w:spacing w:after="0" w:line="240" w:lineRule="auto"/>
      <w:jc w:val="both"/>
    </w:pPr>
    <w:rPr>
      <w:rFonts w:ascii="Arial" w:eastAsia="Times New Roman" w:hAnsi="Arial"/>
      <w:sz w:val="24"/>
      <w:szCs w:val="20"/>
      <w:lang w:eastAsia="pl-PL"/>
    </w:rPr>
  </w:style>
  <w:style w:type="paragraph" w:customStyle="1" w:styleId="Tekstpodstawowywcity22">
    <w:name w:val="Tekst podstawowy wcięty 22"/>
    <w:basedOn w:val="Normalny"/>
    <w:rsid w:val="00F20DBE"/>
    <w:pPr>
      <w:tabs>
        <w:tab w:val="left" w:pos="720"/>
      </w:tabs>
      <w:spacing w:after="0" w:line="240" w:lineRule="auto"/>
      <w:ind w:left="360" w:hanging="360"/>
      <w:jc w:val="both"/>
    </w:pPr>
    <w:rPr>
      <w:rFonts w:ascii="Arial" w:eastAsia="Times New Roman" w:hAnsi="Arial"/>
      <w:b/>
      <w:sz w:val="24"/>
      <w:szCs w:val="20"/>
      <w:lang w:eastAsia="pl-PL"/>
    </w:rPr>
  </w:style>
  <w:style w:type="paragraph" w:customStyle="1" w:styleId="Akapitzlist3">
    <w:name w:val="Akapit z listą3"/>
    <w:basedOn w:val="Normalny"/>
    <w:rsid w:val="00F20DBE"/>
    <w:pPr>
      <w:spacing w:after="0" w:line="240" w:lineRule="auto"/>
      <w:ind w:left="720"/>
      <w:contextualSpacing/>
    </w:pPr>
    <w:rPr>
      <w:rFonts w:ascii="Arial" w:eastAsia="Times New Roman" w:hAnsi="Arial" w:cs="Arial"/>
      <w:sz w:val="24"/>
      <w:szCs w:val="24"/>
      <w:lang w:eastAsia="pl-PL"/>
    </w:rPr>
  </w:style>
  <w:style w:type="character" w:styleId="Odwoanieprzypisudolnego">
    <w:name w:val="footnote reference"/>
    <w:semiHidden/>
    <w:unhideWhenUsed/>
    <w:rsid w:val="00F20DBE"/>
    <w:rPr>
      <w:vertAlign w:val="superscript"/>
    </w:rPr>
  </w:style>
  <w:style w:type="character" w:styleId="Odwoanieprzypisukocowego">
    <w:name w:val="endnote reference"/>
    <w:semiHidden/>
    <w:unhideWhenUsed/>
    <w:rsid w:val="00F20DBE"/>
    <w:rPr>
      <w:vertAlign w:val="superscript"/>
    </w:rPr>
  </w:style>
  <w:style w:type="character" w:customStyle="1" w:styleId="ZnakZnak2">
    <w:name w:val="Znak Znak2"/>
    <w:rsid w:val="00F20DBE"/>
    <w:rPr>
      <w:rFonts w:ascii="Arial" w:hAnsi="Arial" w:cs="Arial" w:hint="default"/>
      <w:i/>
      <w:iCs w:val="0"/>
      <w:sz w:val="24"/>
      <w:lang w:val="pl-PL" w:eastAsia="pl-PL" w:bidi="ar-SA"/>
    </w:rPr>
  </w:style>
  <w:style w:type="character" w:customStyle="1" w:styleId="ZnakZnak">
    <w:name w:val="Znak Znak"/>
    <w:rsid w:val="00F20DBE"/>
    <w:rPr>
      <w:rFonts w:ascii="Arial" w:hAnsi="Arial" w:cs="Arial" w:hint="default"/>
      <w:i/>
      <w:iCs w:val="0"/>
      <w:sz w:val="24"/>
      <w:lang w:val="pl-PL" w:eastAsia="pl-PL" w:bidi="ar-SA"/>
    </w:rPr>
  </w:style>
  <w:style w:type="character" w:customStyle="1" w:styleId="Keyword">
    <w:name w:val="Key word"/>
    <w:rsid w:val="00F20DBE"/>
    <w:rPr>
      <w:rFonts w:ascii="Franklin Gothic Demi" w:hAnsi="Franklin Gothic Dem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5874">
      <w:bodyDiv w:val="1"/>
      <w:marLeft w:val="0"/>
      <w:marRight w:val="0"/>
      <w:marTop w:val="0"/>
      <w:marBottom w:val="0"/>
      <w:divBdr>
        <w:top w:val="none" w:sz="0" w:space="0" w:color="auto"/>
        <w:left w:val="none" w:sz="0" w:space="0" w:color="auto"/>
        <w:bottom w:val="none" w:sz="0" w:space="0" w:color="auto"/>
        <w:right w:val="none" w:sz="0" w:space="0" w:color="auto"/>
      </w:divBdr>
    </w:div>
    <w:div w:id="236327091">
      <w:bodyDiv w:val="1"/>
      <w:marLeft w:val="0"/>
      <w:marRight w:val="0"/>
      <w:marTop w:val="0"/>
      <w:marBottom w:val="0"/>
      <w:divBdr>
        <w:top w:val="none" w:sz="0" w:space="0" w:color="auto"/>
        <w:left w:val="none" w:sz="0" w:space="0" w:color="auto"/>
        <w:bottom w:val="none" w:sz="0" w:space="0" w:color="auto"/>
        <w:right w:val="none" w:sz="0" w:space="0" w:color="auto"/>
      </w:divBdr>
    </w:div>
    <w:div w:id="320428680">
      <w:bodyDiv w:val="1"/>
      <w:marLeft w:val="0"/>
      <w:marRight w:val="0"/>
      <w:marTop w:val="0"/>
      <w:marBottom w:val="0"/>
      <w:divBdr>
        <w:top w:val="none" w:sz="0" w:space="0" w:color="auto"/>
        <w:left w:val="none" w:sz="0" w:space="0" w:color="auto"/>
        <w:bottom w:val="none" w:sz="0" w:space="0" w:color="auto"/>
        <w:right w:val="none" w:sz="0" w:space="0" w:color="auto"/>
      </w:divBdr>
    </w:div>
    <w:div w:id="371538991">
      <w:bodyDiv w:val="1"/>
      <w:marLeft w:val="0"/>
      <w:marRight w:val="0"/>
      <w:marTop w:val="0"/>
      <w:marBottom w:val="0"/>
      <w:divBdr>
        <w:top w:val="none" w:sz="0" w:space="0" w:color="auto"/>
        <w:left w:val="none" w:sz="0" w:space="0" w:color="auto"/>
        <w:bottom w:val="none" w:sz="0" w:space="0" w:color="auto"/>
        <w:right w:val="none" w:sz="0" w:space="0" w:color="auto"/>
      </w:divBdr>
    </w:div>
    <w:div w:id="663700059">
      <w:bodyDiv w:val="1"/>
      <w:marLeft w:val="0"/>
      <w:marRight w:val="0"/>
      <w:marTop w:val="0"/>
      <w:marBottom w:val="0"/>
      <w:divBdr>
        <w:top w:val="none" w:sz="0" w:space="0" w:color="auto"/>
        <w:left w:val="none" w:sz="0" w:space="0" w:color="auto"/>
        <w:bottom w:val="none" w:sz="0" w:space="0" w:color="auto"/>
        <w:right w:val="none" w:sz="0" w:space="0" w:color="auto"/>
      </w:divBdr>
    </w:div>
    <w:div w:id="781532319">
      <w:bodyDiv w:val="1"/>
      <w:marLeft w:val="0"/>
      <w:marRight w:val="0"/>
      <w:marTop w:val="0"/>
      <w:marBottom w:val="0"/>
      <w:divBdr>
        <w:top w:val="none" w:sz="0" w:space="0" w:color="auto"/>
        <w:left w:val="none" w:sz="0" w:space="0" w:color="auto"/>
        <w:bottom w:val="none" w:sz="0" w:space="0" w:color="auto"/>
        <w:right w:val="none" w:sz="0" w:space="0" w:color="auto"/>
      </w:divBdr>
    </w:div>
    <w:div w:id="901451160">
      <w:bodyDiv w:val="1"/>
      <w:marLeft w:val="0"/>
      <w:marRight w:val="0"/>
      <w:marTop w:val="0"/>
      <w:marBottom w:val="0"/>
      <w:divBdr>
        <w:top w:val="none" w:sz="0" w:space="0" w:color="auto"/>
        <w:left w:val="none" w:sz="0" w:space="0" w:color="auto"/>
        <w:bottom w:val="none" w:sz="0" w:space="0" w:color="auto"/>
        <w:right w:val="none" w:sz="0" w:space="0" w:color="auto"/>
      </w:divBdr>
    </w:div>
    <w:div w:id="916749436">
      <w:bodyDiv w:val="1"/>
      <w:marLeft w:val="0"/>
      <w:marRight w:val="0"/>
      <w:marTop w:val="0"/>
      <w:marBottom w:val="0"/>
      <w:divBdr>
        <w:top w:val="none" w:sz="0" w:space="0" w:color="auto"/>
        <w:left w:val="none" w:sz="0" w:space="0" w:color="auto"/>
        <w:bottom w:val="none" w:sz="0" w:space="0" w:color="auto"/>
        <w:right w:val="none" w:sz="0" w:space="0" w:color="auto"/>
      </w:divBdr>
    </w:div>
    <w:div w:id="971130001">
      <w:bodyDiv w:val="1"/>
      <w:marLeft w:val="0"/>
      <w:marRight w:val="0"/>
      <w:marTop w:val="0"/>
      <w:marBottom w:val="0"/>
      <w:divBdr>
        <w:top w:val="none" w:sz="0" w:space="0" w:color="auto"/>
        <w:left w:val="none" w:sz="0" w:space="0" w:color="auto"/>
        <w:bottom w:val="none" w:sz="0" w:space="0" w:color="auto"/>
        <w:right w:val="none" w:sz="0" w:space="0" w:color="auto"/>
      </w:divBdr>
    </w:div>
    <w:div w:id="1193957171">
      <w:bodyDiv w:val="1"/>
      <w:marLeft w:val="0"/>
      <w:marRight w:val="0"/>
      <w:marTop w:val="0"/>
      <w:marBottom w:val="0"/>
      <w:divBdr>
        <w:top w:val="none" w:sz="0" w:space="0" w:color="auto"/>
        <w:left w:val="none" w:sz="0" w:space="0" w:color="auto"/>
        <w:bottom w:val="none" w:sz="0" w:space="0" w:color="auto"/>
        <w:right w:val="none" w:sz="0" w:space="0" w:color="auto"/>
      </w:divBdr>
    </w:div>
    <w:div w:id="1215123306">
      <w:bodyDiv w:val="1"/>
      <w:marLeft w:val="0"/>
      <w:marRight w:val="0"/>
      <w:marTop w:val="0"/>
      <w:marBottom w:val="0"/>
      <w:divBdr>
        <w:top w:val="none" w:sz="0" w:space="0" w:color="auto"/>
        <w:left w:val="none" w:sz="0" w:space="0" w:color="auto"/>
        <w:bottom w:val="none" w:sz="0" w:space="0" w:color="auto"/>
        <w:right w:val="none" w:sz="0" w:space="0" w:color="auto"/>
      </w:divBdr>
    </w:div>
    <w:div w:id="1219440561">
      <w:bodyDiv w:val="1"/>
      <w:marLeft w:val="0"/>
      <w:marRight w:val="0"/>
      <w:marTop w:val="0"/>
      <w:marBottom w:val="0"/>
      <w:divBdr>
        <w:top w:val="none" w:sz="0" w:space="0" w:color="auto"/>
        <w:left w:val="none" w:sz="0" w:space="0" w:color="auto"/>
        <w:bottom w:val="none" w:sz="0" w:space="0" w:color="auto"/>
        <w:right w:val="none" w:sz="0" w:space="0" w:color="auto"/>
      </w:divBdr>
    </w:div>
    <w:div w:id="1349218693">
      <w:bodyDiv w:val="1"/>
      <w:marLeft w:val="0"/>
      <w:marRight w:val="0"/>
      <w:marTop w:val="0"/>
      <w:marBottom w:val="0"/>
      <w:divBdr>
        <w:top w:val="none" w:sz="0" w:space="0" w:color="auto"/>
        <w:left w:val="none" w:sz="0" w:space="0" w:color="auto"/>
        <w:bottom w:val="none" w:sz="0" w:space="0" w:color="auto"/>
        <w:right w:val="none" w:sz="0" w:space="0" w:color="auto"/>
      </w:divBdr>
    </w:div>
    <w:div w:id="1431315977">
      <w:bodyDiv w:val="1"/>
      <w:marLeft w:val="0"/>
      <w:marRight w:val="0"/>
      <w:marTop w:val="0"/>
      <w:marBottom w:val="0"/>
      <w:divBdr>
        <w:top w:val="none" w:sz="0" w:space="0" w:color="auto"/>
        <w:left w:val="none" w:sz="0" w:space="0" w:color="auto"/>
        <w:bottom w:val="none" w:sz="0" w:space="0" w:color="auto"/>
        <w:right w:val="none" w:sz="0" w:space="0" w:color="auto"/>
      </w:divBdr>
    </w:div>
    <w:div w:id="1556355418">
      <w:bodyDiv w:val="1"/>
      <w:marLeft w:val="0"/>
      <w:marRight w:val="0"/>
      <w:marTop w:val="0"/>
      <w:marBottom w:val="0"/>
      <w:divBdr>
        <w:top w:val="none" w:sz="0" w:space="0" w:color="auto"/>
        <w:left w:val="none" w:sz="0" w:space="0" w:color="auto"/>
        <w:bottom w:val="none" w:sz="0" w:space="0" w:color="auto"/>
        <w:right w:val="none" w:sz="0" w:space="0" w:color="auto"/>
      </w:divBdr>
    </w:div>
    <w:div w:id="1559169839">
      <w:bodyDiv w:val="1"/>
      <w:marLeft w:val="0"/>
      <w:marRight w:val="0"/>
      <w:marTop w:val="0"/>
      <w:marBottom w:val="0"/>
      <w:divBdr>
        <w:top w:val="none" w:sz="0" w:space="0" w:color="auto"/>
        <w:left w:val="none" w:sz="0" w:space="0" w:color="auto"/>
        <w:bottom w:val="none" w:sz="0" w:space="0" w:color="auto"/>
        <w:right w:val="none" w:sz="0" w:space="0" w:color="auto"/>
      </w:divBdr>
    </w:div>
    <w:div w:id="1618219269">
      <w:bodyDiv w:val="1"/>
      <w:marLeft w:val="0"/>
      <w:marRight w:val="0"/>
      <w:marTop w:val="0"/>
      <w:marBottom w:val="0"/>
      <w:divBdr>
        <w:top w:val="none" w:sz="0" w:space="0" w:color="auto"/>
        <w:left w:val="none" w:sz="0" w:space="0" w:color="auto"/>
        <w:bottom w:val="none" w:sz="0" w:space="0" w:color="auto"/>
        <w:right w:val="none" w:sz="0" w:space="0" w:color="auto"/>
      </w:divBdr>
    </w:div>
    <w:div w:id="1645550494">
      <w:bodyDiv w:val="1"/>
      <w:marLeft w:val="0"/>
      <w:marRight w:val="0"/>
      <w:marTop w:val="0"/>
      <w:marBottom w:val="0"/>
      <w:divBdr>
        <w:top w:val="none" w:sz="0" w:space="0" w:color="auto"/>
        <w:left w:val="none" w:sz="0" w:space="0" w:color="auto"/>
        <w:bottom w:val="none" w:sz="0" w:space="0" w:color="auto"/>
        <w:right w:val="none" w:sz="0" w:space="0" w:color="auto"/>
      </w:divBdr>
    </w:div>
    <w:div w:id="1654988149">
      <w:bodyDiv w:val="1"/>
      <w:marLeft w:val="0"/>
      <w:marRight w:val="0"/>
      <w:marTop w:val="0"/>
      <w:marBottom w:val="0"/>
      <w:divBdr>
        <w:top w:val="none" w:sz="0" w:space="0" w:color="auto"/>
        <w:left w:val="none" w:sz="0" w:space="0" w:color="auto"/>
        <w:bottom w:val="none" w:sz="0" w:space="0" w:color="auto"/>
        <w:right w:val="none" w:sz="0" w:space="0" w:color="auto"/>
      </w:divBdr>
    </w:div>
    <w:div w:id="1671910363">
      <w:bodyDiv w:val="1"/>
      <w:marLeft w:val="0"/>
      <w:marRight w:val="0"/>
      <w:marTop w:val="0"/>
      <w:marBottom w:val="0"/>
      <w:divBdr>
        <w:top w:val="none" w:sz="0" w:space="0" w:color="auto"/>
        <w:left w:val="none" w:sz="0" w:space="0" w:color="auto"/>
        <w:bottom w:val="none" w:sz="0" w:space="0" w:color="auto"/>
        <w:right w:val="none" w:sz="0" w:space="0" w:color="auto"/>
      </w:divBdr>
    </w:div>
    <w:div w:id="1701860476">
      <w:bodyDiv w:val="1"/>
      <w:marLeft w:val="0"/>
      <w:marRight w:val="0"/>
      <w:marTop w:val="0"/>
      <w:marBottom w:val="0"/>
      <w:divBdr>
        <w:top w:val="none" w:sz="0" w:space="0" w:color="auto"/>
        <w:left w:val="none" w:sz="0" w:space="0" w:color="auto"/>
        <w:bottom w:val="none" w:sz="0" w:space="0" w:color="auto"/>
        <w:right w:val="none" w:sz="0" w:space="0" w:color="auto"/>
      </w:divBdr>
    </w:div>
    <w:div w:id="1720742414">
      <w:bodyDiv w:val="1"/>
      <w:marLeft w:val="0"/>
      <w:marRight w:val="0"/>
      <w:marTop w:val="0"/>
      <w:marBottom w:val="0"/>
      <w:divBdr>
        <w:top w:val="none" w:sz="0" w:space="0" w:color="auto"/>
        <w:left w:val="none" w:sz="0" w:space="0" w:color="auto"/>
        <w:bottom w:val="none" w:sz="0" w:space="0" w:color="auto"/>
        <w:right w:val="none" w:sz="0" w:space="0" w:color="auto"/>
      </w:divBdr>
    </w:div>
    <w:div w:id="1804731171">
      <w:bodyDiv w:val="1"/>
      <w:marLeft w:val="0"/>
      <w:marRight w:val="0"/>
      <w:marTop w:val="0"/>
      <w:marBottom w:val="0"/>
      <w:divBdr>
        <w:top w:val="none" w:sz="0" w:space="0" w:color="auto"/>
        <w:left w:val="none" w:sz="0" w:space="0" w:color="auto"/>
        <w:bottom w:val="none" w:sz="0" w:space="0" w:color="auto"/>
        <w:right w:val="none" w:sz="0" w:space="0" w:color="auto"/>
      </w:divBdr>
    </w:div>
    <w:div w:id="1907102495">
      <w:bodyDiv w:val="1"/>
      <w:marLeft w:val="0"/>
      <w:marRight w:val="0"/>
      <w:marTop w:val="0"/>
      <w:marBottom w:val="0"/>
      <w:divBdr>
        <w:top w:val="none" w:sz="0" w:space="0" w:color="auto"/>
        <w:left w:val="none" w:sz="0" w:space="0" w:color="auto"/>
        <w:bottom w:val="none" w:sz="0" w:space="0" w:color="auto"/>
        <w:right w:val="none" w:sz="0" w:space="0" w:color="auto"/>
      </w:divBdr>
    </w:div>
    <w:div w:id="1908491337">
      <w:bodyDiv w:val="1"/>
      <w:marLeft w:val="0"/>
      <w:marRight w:val="0"/>
      <w:marTop w:val="0"/>
      <w:marBottom w:val="0"/>
      <w:divBdr>
        <w:top w:val="none" w:sz="0" w:space="0" w:color="auto"/>
        <w:left w:val="none" w:sz="0" w:space="0" w:color="auto"/>
        <w:bottom w:val="none" w:sz="0" w:space="0" w:color="auto"/>
        <w:right w:val="none" w:sz="0" w:space="0" w:color="auto"/>
      </w:divBdr>
    </w:div>
    <w:div w:id="1932152818">
      <w:bodyDiv w:val="1"/>
      <w:marLeft w:val="0"/>
      <w:marRight w:val="0"/>
      <w:marTop w:val="0"/>
      <w:marBottom w:val="0"/>
      <w:divBdr>
        <w:top w:val="none" w:sz="0" w:space="0" w:color="auto"/>
        <w:left w:val="none" w:sz="0" w:space="0" w:color="auto"/>
        <w:bottom w:val="none" w:sz="0" w:space="0" w:color="auto"/>
        <w:right w:val="none" w:sz="0" w:space="0" w:color="auto"/>
      </w:divBdr>
    </w:div>
    <w:div w:id="1937202606">
      <w:bodyDiv w:val="1"/>
      <w:marLeft w:val="0"/>
      <w:marRight w:val="0"/>
      <w:marTop w:val="0"/>
      <w:marBottom w:val="0"/>
      <w:divBdr>
        <w:top w:val="none" w:sz="0" w:space="0" w:color="auto"/>
        <w:left w:val="none" w:sz="0" w:space="0" w:color="auto"/>
        <w:bottom w:val="none" w:sz="0" w:space="0" w:color="auto"/>
        <w:right w:val="none" w:sz="0" w:space="0" w:color="auto"/>
      </w:divBdr>
    </w:div>
    <w:div w:id="2068604649">
      <w:bodyDiv w:val="1"/>
      <w:marLeft w:val="0"/>
      <w:marRight w:val="0"/>
      <w:marTop w:val="0"/>
      <w:marBottom w:val="0"/>
      <w:divBdr>
        <w:top w:val="none" w:sz="0" w:space="0" w:color="auto"/>
        <w:left w:val="none" w:sz="0" w:space="0" w:color="auto"/>
        <w:bottom w:val="none" w:sz="0" w:space="0" w:color="auto"/>
        <w:right w:val="none" w:sz="0" w:space="0" w:color="auto"/>
      </w:divBdr>
    </w:div>
    <w:div w:id="208609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263484a-4811-448b-b935-4ccfcdbbdeea" origin="userSelected">
  <element uid="697367d0-0d11-4d4e-80a2-256155fcabe6" value=""/>
  <element uid="07ce6b9a-d233-4aad-abfd-2b8b39ab08de" value=""/>
</sisl>
</file>

<file path=customXml/itemProps1.xml><?xml version="1.0" encoding="utf-8"?>
<ds:datastoreItem xmlns:ds="http://schemas.openxmlformats.org/officeDocument/2006/customXml" ds:itemID="{8DC5BDF7-4EC6-4CBF-9EBE-3832EA938449}">
  <ds:schemaRefs>
    <ds:schemaRef ds:uri="http://schemas.openxmlformats.org/officeDocument/2006/bibliography"/>
  </ds:schemaRefs>
</ds:datastoreItem>
</file>

<file path=customXml/itemProps2.xml><?xml version="1.0" encoding="utf-8"?>
<ds:datastoreItem xmlns:ds="http://schemas.openxmlformats.org/officeDocument/2006/customXml" ds:itemID="{A45E2448-1F19-42D4-81A0-42847BB180A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12699</Words>
  <Characters>76196</Characters>
  <Application>Microsoft Office Word</Application>
  <DocSecurity>4</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#Kategoria: [Wewnętrzne/Dane osobowe &gt; 10 wpisów]#</cp:keywords>
  <cp:lastModifiedBy>Kędziora Roman</cp:lastModifiedBy>
  <cp:revision>2</cp:revision>
  <cp:lastPrinted>2025-04-11T21:21:00Z</cp:lastPrinted>
  <dcterms:created xsi:type="dcterms:W3CDTF">2025-06-05T10:29:00Z</dcterms:created>
  <dcterms:modified xsi:type="dcterms:W3CDTF">2025-06-05T10:29:00Z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dc2f2028-c23e-4aa9-8ed8-d51179fbacb1</vt:lpwstr>
  </property>
  <property fmtid="{D5CDD505-2E9C-101B-9397-08002B2CF9AE}" pid="3" name="bjSaver">
    <vt:lpwstr>hWFw/nYdg5+QdAggfUi84MkcEkRrrmgT</vt:lpwstr>
  </property>
  <property fmtid="{D5CDD505-2E9C-101B-9397-08002B2CF9AE}" pid="4" name="bjDocumentLabelXML">
    <vt:lpwstr>&lt;?xml version="1.0" encoding="us-ascii"?&gt;&lt;sisl xmlns:xsd="http://www.w3.org/2001/XMLSchema" xmlns:xsi="http://www.w3.org/2001/XMLSchema-instance" sislVersion="0" policy="9263484a-4811-448b-b935-4ccfcdbbdeea" origin="userSelected" xmlns="http://www.boldonj</vt:lpwstr>
  </property>
  <property fmtid="{D5CDD505-2E9C-101B-9397-08002B2CF9AE}" pid="5" name="bjDocumentLabelXML-0">
    <vt:lpwstr>ames.com/2008/01/sie/internal/label"&gt;&lt;element uid="697367d0-0d11-4d4e-80a2-256155fcabe6" value="" /&gt;&lt;element uid="07ce6b9a-d233-4aad-abfd-2b8b39ab08de" value="" /&gt;&lt;/sisl&gt;</vt:lpwstr>
  </property>
  <property fmtid="{D5CDD505-2E9C-101B-9397-08002B2CF9AE}" pid="6" name="bjDocumentSecurityLabel">
    <vt:lpwstr>Kategoria: Wewnętrzne/Dane osobowe &gt; 10 wpisów</vt:lpwstr>
  </property>
</Properties>
</file>