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29CF" w14:textId="6B2E5623" w:rsidR="00BA08A8" w:rsidRDefault="00A5144B">
      <w:pPr>
        <w:pStyle w:val="OZNPROJEKTUwskazaniedatylubwersjiprojektu"/>
      </w:pPr>
      <w:r>
        <w:t xml:space="preserve">Projekt z dnia </w:t>
      </w:r>
      <w:r w:rsidR="00ED3F91">
        <w:t>30</w:t>
      </w:r>
      <w:r>
        <w:t xml:space="preserve">.06.25 r. </w:t>
      </w:r>
    </w:p>
    <w:p w14:paraId="5073C9E2" w14:textId="77777777" w:rsidR="00BA08A8" w:rsidRDefault="00BA08A8">
      <w:pPr>
        <w:pStyle w:val="OZNRODZAKTUtznustawalubrozporzdzenieiorganwydajcy"/>
        <w:jc w:val="right"/>
      </w:pPr>
    </w:p>
    <w:p w14:paraId="075F1E33" w14:textId="52CC8673" w:rsidR="00BA08A8" w:rsidRDefault="00A5144B" w:rsidP="00B94189">
      <w:pPr>
        <w:pStyle w:val="OZNRODZAKTUtznustawalubrozporzdzenieiorganwydajcy"/>
      </w:pPr>
      <w:r>
        <w:t>Uzasadnienie</w:t>
      </w:r>
    </w:p>
    <w:p w14:paraId="67164F9C" w14:textId="01294785" w:rsidR="00BA08A8" w:rsidRDefault="00A5144B">
      <w:pPr>
        <w:pStyle w:val="NIEARTTEKSTtekstnieartykuowanynppodstprawnarozplubpreambua"/>
      </w:pPr>
      <w:r>
        <w:rPr>
          <w:rStyle w:val="Ppogrubienie"/>
        </w:rPr>
        <w:t>Cel ustawy</w:t>
      </w:r>
    </w:p>
    <w:p w14:paraId="0FA831DC" w14:textId="39F62D6F" w:rsidR="001E2060" w:rsidRDefault="001E2060">
      <w:pPr>
        <w:pStyle w:val="NIEARTTEKSTtekstnieartykuowanynppodstprawnarozplubpreambua"/>
      </w:pPr>
      <w:r>
        <w:t>Masowy napływ do sądów spraw</w:t>
      </w:r>
      <w:r w:rsidR="002407E0">
        <w:t xml:space="preserve"> dotyczących umów kredytu i pożyczek hipotecznych denominowanych lub indeksowanych do franka szwajcarskiego zawartych z konsumentami (dalej: „kredyty frankowe”) </w:t>
      </w:r>
      <w:r>
        <w:t>w</w:t>
      </w:r>
      <w:r w:rsidR="002407E0">
        <w:t xml:space="preserve"> istotny</w:t>
      </w:r>
      <w:r>
        <w:t xml:space="preserve"> sposób </w:t>
      </w:r>
      <w:r w:rsidR="002407E0">
        <w:t xml:space="preserve">przedłużył oczekiwanie na rozpoznanie </w:t>
      </w:r>
      <w:r w:rsidR="005373B8">
        <w:t xml:space="preserve">nie tylko tych, ale także innych spraw </w:t>
      </w:r>
      <w:r w:rsidR="002407E0">
        <w:t xml:space="preserve">przez sądy okręgowe, sądy apelacyjne oraz Sąd Najwyższy.  </w:t>
      </w:r>
    </w:p>
    <w:p w14:paraId="5DF8FFA4" w14:textId="2B660E05" w:rsidR="00BA08A8" w:rsidRDefault="00A5144B" w:rsidP="001E2060">
      <w:pPr>
        <w:pStyle w:val="NIEARTTEKSTtekstnieartykuowanynppodstprawnarozplubpreambua"/>
      </w:pPr>
      <w:r>
        <w:t>Projekt</w:t>
      </w:r>
      <w:r w:rsidR="00B94189">
        <w:t>owana</w:t>
      </w:r>
      <w:r>
        <w:t xml:space="preserve"> ustaw</w:t>
      </w:r>
      <w:r w:rsidR="00B94189">
        <w:t>a</w:t>
      </w:r>
      <w:r>
        <w:t xml:space="preserve"> stanowi reakcję na </w:t>
      </w:r>
      <w:r w:rsidR="002407E0">
        <w:t xml:space="preserve">tę </w:t>
      </w:r>
      <w:r>
        <w:t>sytuację</w:t>
      </w:r>
      <w:r w:rsidR="001E2060">
        <w:t>.</w:t>
      </w:r>
      <w:r w:rsidR="002407E0">
        <w:t xml:space="preserve"> </w:t>
      </w:r>
      <w:r w:rsidR="00787CC4">
        <w:t xml:space="preserve">Według danych statystycznych </w:t>
      </w:r>
      <w:r w:rsidR="00B94189">
        <w:t>gromadzonych</w:t>
      </w:r>
      <w:r w:rsidR="00787CC4">
        <w:t xml:space="preserve"> przez Ministerstwo Sprawiedliwości</w:t>
      </w:r>
      <w:r w:rsidR="00EA422A">
        <w:t>,</w:t>
      </w:r>
      <w:r w:rsidR="00787CC4">
        <w:t xml:space="preserve"> o</w:t>
      </w:r>
      <w:r w:rsidR="00A335A9">
        <w:t>d początku 2017 r. do końca I kwartału 2025</w:t>
      </w:r>
      <w:r w:rsidR="00787CC4">
        <w:t xml:space="preserve"> r.</w:t>
      </w:r>
      <w:r w:rsidR="00A335A9">
        <w:t xml:space="preserve"> do sądów powszechnych wpłynęło 487 251 spraw</w:t>
      </w:r>
      <w:r w:rsidR="00B94189">
        <w:t xml:space="preserve"> tego typu, oznaczonych </w:t>
      </w:r>
      <w:r w:rsidR="00466F60">
        <w:t>symbolem symbolu 049cf</w:t>
      </w:r>
      <w:r w:rsidR="00A335A9">
        <w:t xml:space="preserve">, a załatwiono </w:t>
      </w:r>
      <w:r w:rsidR="00B94189">
        <w:t xml:space="preserve">ich </w:t>
      </w:r>
      <w:r w:rsidR="00A335A9">
        <w:t>291 508.</w:t>
      </w:r>
    </w:p>
    <w:p w14:paraId="7199A7DD" w14:textId="67378D16" w:rsidR="00B01AA6" w:rsidRPr="0072188A" w:rsidRDefault="00466F60" w:rsidP="00B01AA6">
      <w:pPr>
        <w:pStyle w:val="ARTartustawynprozporzdzenia"/>
        <w:ind w:firstLine="0"/>
        <w:rPr>
          <w:b/>
          <w:bCs/>
        </w:rPr>
      </w:pPr>
      <w:r w:rsidRPr="0072188A">
        <w:rPr>
          <w:b/>
          <w:bCs/>
        </w:rPr>
        <w:t>Wykres</w:t>
      </w:r>
      <w:r w:rsidR="00B01AA6" w:rsidRPr="0072188A">
        <w:rPr>
          <w:b/>
          <w:bCs/>
        </w:rPr>
        <w:t xml:space="preserve"> 1. </w:t>
      </w:r>
    </w:p>
    <w:p w14:paraId="769A4CB1" w14:textId="4D9E1953" w:rsidR="00F97C58" w:rsidRDefault="00A335A9" w:rsidP="00B01AA6">
      <w:pPr>
        <w:pStyle w:val="ARTartustawynprozporzdzenia"/>
        <w:ind w:firstLine="0"/>
        <w:rPr>
          <w:sz w:val="20"/>
        </w:rPr>
      </w:pPr>
      <w:r w:rsidRPr="00EA422A">
        <w:rPr>
          <w:sz w:val="20"/>
        </w:rPr>
        <w:t>Dane statystyczne dotyczące wpływu</w:t>
      </w:r>
      <w:r w:rsidR="00466F60" w:rsidRPr="00EA422A">
        <w:rPr>
          <w:sz w:val="20"/>
        </w:rPr>
        <w:t xml:space="preserve"> i załatwiania</w:t>
      </w:r>
      <w:r w:rsidRPr="00EA422A">
        <w:rPr>
          <w:sz w:val="20"/>
        </w:rPr>
        <w:t xml:space="preserve"> </w:t>
      </w:r>
      <w:r w:rsidR="00B94189" w:rsidRPr="00EA422A">
        <w:rPr>
          <w:sz w:val="20"/>
        </w:rPr>
        <w:t>spraw o sy</w:t>
      </w:r>
      <w:r w:rsidR="00466F60" w:rsidRPr="00EA422A">
        <w:rPr>
          <w:sz w:val="20"/>
        </w:rPr>
        <w:t>mbolu 049cf</w:t>
      </w:r>
      <w:r w:rsidRPr="00EA422A">
        <w:rPr>
          <w:sz w:val="20"/>
        </w:rPr>
        <w:t xml:space="preserve"> </w:t>
      </w:r>
      <w:r w:rsidR="00466F60" w:rsidRPr="00EA422A">
        <w:rPr>
          <w:sz w:val="20"/>
        </w:rPr>
        <w:t>w</w:t>
      </w:r>
      <w:r w:rsidRPr="00EA422A">
        <w:rPr>
          <w:sz w:val="20"/>
        </w:rPr>
        <w:t xml:space="preserve"> sąd</w:t>
      </w:r>
      <w:r w:rsidR="00466F60" w:rsidRPr="00EA422A">
        <w:rPr>
          <w:sz w:val="20"/>
        </w:rPr>
        <w:t>ach</w:t>
      </w:r>
      <w:r w:rsidRPr="00EA422A">
        <w:rPr>
          <w:sz w:val="20"/>
        </w:rPr>
        <w:t xml:space="preserve"> powszechnych </w:t>
      </w:r>
      <w:r w:rsidR="00EA422A">
        <w:rPr>
          <w:sz w:val="20"/>
        </w:rPr>
        <w:t>pomiędzy</w:t>
      </w:r>
      <w:r w:rsidRPr="00EA422A">
        <w:rPr>
          <w:sz w:val="20"/>
        </w:rPr>
        <w:t xml:space="preserve"> 2017</w:t>
      </w:r>
      <w:r w:rsidR="008E2E15">
        <w:rPr>
          <w:sz w:val="20"/>
        </w:rPr>
        <w:t xml:space="preserve"> r.</w:t>
      </w:r>
      <w:r w:rsidRPr="00EA422A">
        <w:rPr>
          <w:sz w:val="20"/>
        </w:rPr>
        <w:t xml:space="preserve"> </w:t>
      </w:r>
      <w:r w:rsidR="00EA422A">
        <w:rPr>
          <w:sz w:val="20"/>
        </w:rPr>
        <w:t xml:space="preserve">i </w:t>
      </w:r>
      <w:r w:rsidRPr="00EA422A">
        <w:rPr>
          <w:sz w:val="20"/>
        </w:rPr>
        <w:t>1 kwartał</w:t>
      </w:r>
      <w:r w:rsidR="00EA422A">
        <w:rPr>
          <w:sz w:val="20"/>
        </w:rPr>
        <w:t>em</w:t>
      </w:r>
      <w:r w:rsidRPr="00EA422A">
        <w:rPr>
          <w:sz w:val="20"/>
        </w:rPr>
        <w:t xml:space="preserve"> 2025</w:t>
      </w:r>
      <w:r w:rsidR="008E2E15">
        <w:rPr>
          <w:sz w:val="20"/>
        </w:rPr>
        <w:t xml:space="preserve"> r</w:t>
      </w:r>
      <w:r w:rsidRPr="00EA422A">
        <w:rPr>
          <w:sz w:val="20"/>
        </w:rPr>
        <w:t>.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843"/>
        <w:gridCol w:w="2409"/>
        <w:gridCol w:w="3402"/>
      </w:tblGrid>
      <w:tr w:rsidR="00F97C58" w:rsidRPr="0067118E" w14:paraId="1A37F5E2" w14:textId="77777777" w:rsidTr="00893594">
        <w:trPr>
          <w:trHeight w:val="584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2B9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7DBFE7" w14:textId="52041AE9" w:rsidR="00F97C58" w:rsidRPr="00F97C58" w:rsidRDefault="00F97C58" w:rsidP="00F97C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F97C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Wpływ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,</w:t>
            </w:r>
            <w:r w:rsidRPr="00F97C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 xml:space="preserve"> załatwienia i pozostałości spraw o symbolu 049cf w sądach powszechnych od 2017 do 1 kwartału 2025</w:t>
            </w:r>
          </w:p>
        </w:tc>
      </w:tr>
      <w:tr w:rsidR="00F97C58" w:rsidRPr="0067118E" w14:paraId="5AD25ADA" w14:textId="77777777" w:rsidTr="00893594">
        <w:trPr>
          <w:trHeight w:val="584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E0A754" w14:textId="77777777" w:rsidR="00F97C58" w:rsidRPr="00F97C58" w:rsidRDefault="00F97C58" w:rsidP="0089359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Rok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B7ADE" w14:textId="7A6DA0E7" w:rsidR="00F97C58" w:rsidRPr="00F97C58" w:rsidRDefault="00F97C58" w:rsidP="00F97C58">
            <w:pPr>
              <w:pStyle w:val="ARTartustawynprozporzdzenia"/>
              <w:ind w:firstLine="0"/>
              <w:jc w:val="center"/>
              <w:rPr>
                <w:rFonts w:asciiTheme="majorHAnsi" w:hAnsiTheme="majorHAnsi"/>
                <w:b/>
                <w:bCs/>
                <w:szCs w:val="24"/>
                <w:lang w:val="en-GB"/>
              </w:rPr>
            </w:pPr>
            <w:proofErr w:type="spellStart"/>
            <w:r w:rsidRPr="00F97C58">
              <w:rPr>
                <w:rFonts w:asciiTheme="majorHAnsi" w:hAnsiTheme="majorHAnsi"/>
                <w:b/>
                <w:bCs/>
                <w:szCs w:val="24"/>
                <w:lang w:val="en-GB"/>
              </w:rPr>
              <w:t>Wpłynęło</w:t>
            </w:r>
            <w:proofErr w:type="spellEnd"/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74F8A0" w14:textId="5AC2C11E" w:rsidR="00F97C58" w:rsidRPr="00F97C58" w:rsidRDefault="00F97C58" w:rsidP="00F97C58">
            <w:pPr>
              <w:pStyle w:val="ARTartustawynprozporzdzenia"/>
              <w:ind w:firstLine="0"/>
              <w:jc w:val="center"/>
              <w:rPr>
                <w:rFonts w:asciiTheme="majorHAnsi" w:hAnsiTheme="majorHAnsi"/>
                <w:b/>
                <w:bCs/>
                <w:szCs w:val="24"/>
                <w:lang w:val="en-GB"/>
              </w:rPr>
            </w:pPr>
            <w:r w:rsidRPr="00F97C58">
              <w:rPr>
                <w:rFonts w:asciiTheme="majorHAnsi" w:hAnsiTheme="majorHAnsi"/>
                <w:b/>
                <w:bCs/>
                <w:szCs w:val="24"/>
                <w:lang w:val="en-GB"/>
              </w:rPr>
              <w:t>Załatwiono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730D4E" w14:textId="77777777" w:rsidR="00F97C58" w:rsidRPr="00F97C58" w:rsidRDefault="00F97C58" w:rsidP="0089359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Pozostało</w:t>
            </w:r>
            <w:proofErr w:type="spellEnd"/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na</w:t>
            </w:r>
            <w:proofErr w:type="spellEnd"/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okres</w:t>
            </w:r>
            <w:proofErr w:type="spellEnd"/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7C58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następny</w:t>
            </w:r>
            <w:proofErr w:type="spellEnd"/>
          </w:p>
        </w:tc>
      </w:tr>
      <w:tr w:rsidR="00F97C58" w:rsidRPr="0067118E" w14:paraId="4F29C82D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F43E27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2017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0139A7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2 581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0DB38D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497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41AE1A0A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2 084</w:t>
            </w:r>
          </w:p>
        </w:tc>
      </w:tr>
      <w:tr w:rsidR="00F97C58" w:rsidRPr="0067118E" w14:paraId="6C24B023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F13853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2018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0A70B1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8 652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91F40A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2 985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724C173F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7 751</w:t>
            </w:r>
          </w:p>
        </w:tc>
      </w:tr>
      <w:tr w:rsidR="00F97C58" w:rsidRPr="0067118E" w14:paraId="23840CE1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86306A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2019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FC3C87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13 005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AB0813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4 369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3B616C49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16 388</w:t>
            </w:r>
          </w:p>
        </w:tc>
      </w:tr>
      <w:tr w:rsidR="00F97C58" w:rsidRPr="0067118E" w14:paraId="7C8A2509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EEDDD8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2020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5C17399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38 656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7C7D09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10 695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17D5B4EA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44 352</w:t>
            </w:r>
          </w:p>
        </w:tc>
      </w:tr>
      <w:tr w:rsidR="00F97C58" w:rsidRPr="0067118E" w14:paraId="1CEC39D9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BBB4AB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2021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0EDB43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67 666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FE7CB2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23 677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20028D1C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88 342</w:t>
            </w:r>
          </w:p>
        </w:tc>
      </w:tr>
      <w:tr w:rsidR="00F97C58" w:rsidRPr="0067118E" w14:paraId="2E4B1BB9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740908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8B5185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84 011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C33E73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42 041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5B3F812A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130 316</w:t>
            </w:r>
          </w:p>
        </w:tc>
      </w:tr>
      <w:tr w:rsidR="00F97C58" w:rsidRPr="0067118E" w14:paraId="4CF863E5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735E87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2023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FE1E1B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124 069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D5F370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75 372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1BE8CC75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179 029</w:t>
            </w:r>
          </w:p>
        </w:tc>
      </w:tr>
      <w:tr w:rsidR="00F97C58" w:rsidRPr="0067118E" w14:paraId="7EFF4A7F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1D154A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2024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C6B491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123 219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09DBBE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98 186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053FE34A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204 066</w:t>
            </w:r>
          </w:p>
        </w:tc>
      </w:tr>
      <w:tr w:rsidR="00F97C58" w:rsidRPr="0067118E" w14:paraId="2CEEE9D7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D9E851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kwartał</w:t>
            </w:r>
            <w:proofErr w:type="spellEnd"/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 2025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B240C6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25 392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6B9B22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33 686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bottom"/>
            <w:hideMark/>
          </w:tcPr>
          <w:p w14:paraId="242B51D4" w14:textId="77777777" w:rsidR="00F97C58" w:rsidRPr="00F97C58" w:rsidRDefault="00F97C58" w:rsidP="0089359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97C5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195 770</w:t>
            </w:r>
          </w:p>
        </w:tc>
      </w:tr>
    </w:tbl>
    <w:p w14:paraId="5970A889" w14:textId="77777777" w:rsidR="00F97C58" w:rsidRPr="00EA422A" w:rsidRDefault="00F97C58" w:rsidP="00B01AA6">
      <w:pPr>
        <w:pStyle w:val="ARTartustawynprozporzdzenia"/>
        <w:ind w:firstLine="0"/>
        <w:rPr>
          <w:sz w:val="20"/>
        </w:rPr>
      </w:pPr>
    </w:p>
    <w:p w14:paraId="336F1272" w14:textId="1050F742" w:rsidR="00B94189" w:rsidRDefault="00C56B76" w:rsidP="00A832EE">
      <w:pPr>
        <w:pStyle w:val="ARTartustawynprozporzdzenia"/>
        <w:ind w:firstLine="708"/>
      </w:pPr>
      <w:r>
        <w:t xml:space="preserve">Nadzwyczajnie </w:t>
      </w:r>
      <w:r w:rsidR="0028393E">
        <w:t xml:space="preserve">wysoki wpływ spraw frankowych </w:t>
      </w:r>
      <w:r w:rsidR="003A3999">
        <w:t xml:space="preserve">powoduje </w:t>
      </w:r>
      <w:r w:rsidR="00A335A9">
        <w:t>nadzwyczajne wydłużenie rozpozna</w:t>
      </w:r>
      <w:r w:rsidR="001E2060">
        <w:t xml:space="preserve">nie </w:t>
      </w:r>
      <w:r w:rsidR="00A335A9">
        <w:t xml:space="preserve">wszystkich </w:t>
      </w:r>
      <w:r w:rsidR="00C23827">
        <w:t>spraw</w:t>
      </w:r>
      <w:r w:rsidR="00A335A9">
        <w:t xml:space="preserve"> </w:t>
      </w:r>
      <w:r w:rsidR="00C05A88">
        <w:t xml:space="preserve">w sądach okręgowych </w:t>
      </w:r>
      <w:r w:rsidR="00A335A9">
        <w:t>i apelacyjn</w:t>
      </w:r>
      <w:r w:rsidR="00C05A88">
        <w:t>ych</w:t>
      </w:r>
      <w:r w:rsidR="00A335A9">
        <w:t xml:space="preserve"> – bez względu na przedmiot.</w:t>
      </w:r>
      <w:r w:rsidR="0028393E">
        <w:t xml:space="preserve"> </w:t>
      </w:r>
      <w:r w:rsidR="00C23827">
        <w:t>S</w:t>
      </w:r>
      <w:r w:rsidR="00780933">
        <w:t>prawy frankowe stanowią</w:t>
      </w:r>
      <w:r w:rsidR="00C05A88">
        <w:t xml:space="preserve"> bowiem</w:t>
      </w:r>
      <w:r w:rsidR="00780933">
        <w:t xml:space="preserve"> znaczny odsetek spraw w </w:t>
      </w:r>
      <w:r w:rsidR="00780933" w:rsidRPr="003763A4">
        <w:t>referatach sędziów</w:t>
      </w:r>
      <w:r w:rsidR="00466F60" w:rsidRPr="003763A4">
        <w:t xml:space="preserve"> </w:t>
      </w:r>
      <w:r w:rsidR="003763A4" w:rsidRPr="003763A4">
        <w:t>s</w:t>
      </w:r>
      <w:r w:rsidR="00780933" w:rsidRPr="003763A4">
        <w:t>ądów okręgowych i apelacyjnych</w:t>
      </w:r>
      <w:r w:rsidR="00ED3C0B">
        <w:t>.</w:t>
      </w:r>
      <w:r w:rsidR="00466F60">
        <w:t xml:space="preserve"> N</w:t>
      </w:r>
      <w:r w:rsidR="00B94189">
        <w:t>a koniec I kwartału 2025 roku w sądach apelacyjnych pozostawało do rozpoznania 57 910 spraw frankowych o symbolu 049cf na łączną liczbę 77 590 pozostałych do rozpoznania spraw</w:t>
      </w:r>
      <w:r w:rsidR="001557A8">
        <w:t xml:space="preserve"> </w:t>
      </w:r>
      <w:r w:rsidR="00466F60">
        <w:t xml:space="preserve">w repertorium </w:t>
      </w:r>
      <w:proofErr w:type="spellStart"/>
      <w:r w:rsidR="00466F60">
        <w:t>ACa</w:t>
      </w:r>
      <w:proofErr w:type="spellEnd"/>
      <w:r w:rsidR="00B94189">
        <w:t xml:space="preserve">. </w:t>
      </w:r>
      <w:r w:rsidR="008E2E15">
        <w:t xml:space="preserve">W sądach apelacyjnych </w:t>
      </w:r>
      <w:r w:rsidR="003763A4">
        <w:t xml:space="preserve">w </w:t>
      </w:r>
      <w:r w:rsidR="008E2E15">
        <w:t xml:space="preserve">repertoriach </w:t>
      </w:r>
      <w:proofErr w:type="spellStart"/>
      <w:r w:rsidR="008E2E15">
        <w:t>ACa</w:t>
      </w:r>
      <w:proofErr w:type="spellEnd"/>
      <w:r w:rsidR="003763A4">
        <w:t xml:space="preserve"> </w:t>
      </w:r>
      <w:r w:rsidR="008E2E15">
        <w:t>rejestruje się s</w:t>
      </w:r>
      <w:r w:rsidR="001557A8">
        <w:t xml:space="preserve">prawy cywilne </w:t>
      </w:r>
      <w:r w:rsidR="001557A8" w:rsidRPr="001557A8">
        <w:t>przedstawion</w:t>
      </w:r>
      <w:r w:rsidR="002758C0">
        <w:t>e</w:t>
      </w:r>
      <w:r w:rsidR="001557A8" w:rsidRPr="001557A8">
        <w:t xml:space="preserve"> z apelacjami od orzeczeń sądów okręgowych, a także spraw</w:t>
      </w:r>
      <w:r w:rsidR="002758C0">
        <w:t>y</w:t>
      </w:r>
      <w:r w:rsidR="001557A8" w:rsidRPr="001557A8">
        <w:t xml:space="preserve"> cywiln</w:t>
      </w:r>
      <w:r w:rsidR="002758C0">
        <w:t>e</w:t>
      </w:r>
      <w:r w:rsidR="001557A8" w:rsidRPr="001557A8">
        <w:t xml:space="preserve"> dotycząc</w:t>
      </w:r>
      <w:r w:rsidR="002758C0">
        <w:t>e</w:t>
      </w:r>
      <w:r w:rsidR="001557A8" w:rsidRPr="001557A8">
        <w:t xml:space="preserve"> skarg o uchylenie wyroku sądu polubownego</w:t>
      </w:r>
      <w:r w:rsidR="003763A4">
        <w:t>.</w:t>
      </w:r>
      <w:r w:rsidR="001557A8">
        <w:t xml:space="preserve"> </w:t>
      </w:r>
      <w:r w:rsidR="003763A4">
        <w:t xml:space="preserve">W repertorium </w:t>
      </w:r>
      <w:proofErr w:type="spellStart"/>
      <w:r w:rsidR="003763A4">
        <w:t>ACa</w:t>
      </w:r>
      <w:proofErr w:type="spellEnd"/>
      <w:r w:rsidR="003763A4">
        <w:t xml:space="preserve"> na koniec I kwartału 2025 </w:t>
      </w:r>
      <w:r w:rsidR="00F10CC2">
        <w:t>s</w:t>
      </w:r>
      <w:r w:rsidR="00B94189">
        <w:t>prawy frankowe stanowiły</w:t>
      </w:r>
      <w:r w:rsidR="003763A4">
        <w:t xml:space="preserve"> </w:t>
      </w:r>
      <w:r w:rsidR="00B94189">
        <w:t xml:space="preserve">75 % łącznej liczby </w:t>
      </w:r>
      <w:r w:rsidR="003763A4">
        <w:t xml:space="preserve">zarejestrowanych </w:t>
      </w:r>
      <w:r w:rsidR="00B94189">
        <w:t>spraw</w:t>
      </w:r>
      <w:r w:rsidR="001557A8">
        <w:t>.</w:t>
      </w:r>
      <w:r w:rsidR="00D0470E">
        <w:t xml:space="preserve"> </w:t>
      </w:r>
    </w:p>
    <w:p w14:paraId="70639FAC" w14:textId="01D32CE4" w:rsidR="00466F60" w:rsidRPr="0072188A" w:rsidRDefault="00051E20" w:rsidP="00B94189">
      <w:pPr>
        <w:pStyle w:val="ARTartustawynprozporzdzenia"/>
        <w:ind w:firstLine="0"/>
        <w:rPr>
          <w:b/>
          <w:bCs/>
        </w:rPr>
      </w:pPr>
      <w:r w:rsidRPr="0072188A">
        <w:rPr>
          <w:b/>
          <w:bCs/>
        </w:rPr>
        <w:t>Wykres</w:t>
      </w:r>
      <w:r w:rsidR="00466F60" w:rsidRPr="0072188A">
        <w:rPr>
          <w:b/>
          <w:bCs/>
        </w:rPr>
        <w:t xml:space="preserve"> 2.</w:t>
      </w:r>
    </w:p>
    <w:p w14:paraId="0709084D" w14:textId="44D91D24" w:rsidR="00466F60" w:rsidRPr="00EA422A" w:rsidRDefault="00466F60" w:rsidP="00B94189">
      <w:pPr>
        <w:pStyle w:val="ARTartustawynprozporzdzenia"/>
        <w:ind w:firstLine="0"/>
        <w:rPr>
          <w:sz w:val="20"/>
        </w:rPr>
      </w:pPr>
      <w:r w:rsidRPr="00EA422A">
        <w:rPr>
          <w:sz w:val="20"/>
        </w:rPr>
        <w:t xml:space="preserve">Rozkład spraw w repertorium </w:t>
      </w:r>
      <w:proofErr w:type="spellStart"/>
      <w:r w:rsidRPr="00EA422A">
        <w:rPr>
          <w:sz w:val="20"/>
        </w:rPr>
        <w:t>ACa</w:t>
      </w:r>
      <w:proofErr w:type="spellEnd"/>
      <w:r w:rsidRPr="00EA422A">
        <w:rPr>
          <w:sz w:val="20"/>
        </w:rPr>
        <w:t xml:space="preserve"> w </w:t>
      </w:r>
      <w:r w:rsidR="00423085">
        <w:rPr>
          <w:sz w:val="20"/>
        </w:rPr>
        <w:t>s</w:t>
      </w:r>
      <w:r w:rsidRPr="00EA422A">
        <w:rPr>
          <w:sz w:val="20"/>
        </w:rPr>
        <w:t xml:space="preserve">ądach </w:t>
      </w:r>
      <w:r w:rsidR="00423085">
        <w:rPr>
          <w:sz w:val="20"/>
        </w:rPr>
        <w:t>a</w:t>
      </w:r>
      <w:r w:rsidRPr="00EA422A">
        <w:rPr>
          <w:sz w:val="20"/>
        </w:rPr>
        <w:t>pelacyjnych</w:t>
      </w:r>
      <w:r w:rsidR="00051E20" w:rsidRPr="00EA422A">
        <w:rPr>
          <w:sz w:val="20"/>
        </w:rPr>
        <w:t xml:space="preserve"> </w:t>
      </w:r>
      <w:r w:rsidR="00631ED9">
        <w:rPr>
          <w:sz w:val="20"/>
        </w:rPr>
        <w:t xml:space="preserve">pozostałych do rozpoznania na koniec </w:t>
      </w:r>
      <w:r w:rsidR="00051E20" w:rsidRPr="00EA422A">
        <w:rPr>
          <w:sz w:val="20"/>
        </w:rPr>
        <w:t>I kwartał</w:t>
      </w:r>
      <w:r w:rsidR="00631ED9">
        <w:rPr>
          <w:sz w:val="20"/>
        </w:rPr>
        <w:t>u</w:t>
      </w:r>
      <w:r w:rsidR="00423085">
        <w:rPr>
          <w:sz w:val="20"/>
        </w:rPr>
        <w:t xml:space="preserve"> </w:t>
      </w:r>
      <w:r w:rsidR="00051E20" w:rsidRPr="00EA422A">
        <w:rPr>
          <w:sz w:val="20"/>
        </w:rPr>
        <w:t>2025</w:t>
      </w:r>
      <w:r w:rsidR="003A3999">
        <w:rPr>
          <w:sz w:val="20"/>
        </w:rPr>
        <w:t xml:space="preserve"> r</w:t>
      </w:r>
      <w:r w:rsidRPr="00EA422A">
        <w:rPr>
          <w:sz w:val="20"/>
        </w:rPr>
        <w:t>.</w:t>
      </w:r>
    </w:p>
    <w:p w14:paraId="36CA25F8" w14:textId="77777777" w:rsidR="00B94189" w:rsidRDefault="00B94189" w:rsidP="00542467">
      <w:pPr>
        <w:pStyle w:val="ARTartustawynprozporzdzenia"/>
        <w:ind w:firstLine="0"/>
      </w:pPr>
      <w:r w:rsidRPr="00780933">
        <w:rPr>
          <w:noProof/>
        </w:rPr>
        <w:drawing>
          <wp:inline distT="0" distB="0" distL="0" distR="0" wp14:anchorId="043B8C67" wp14:editId="67799E7F">
            <wp:extent cx="4139439" cy="3225040"/>
            <wp:effectExtent l="0" t="0" r="13970" b="13970"/>
            <wp:docPr id="133554585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F6C5222-5581-00AA-C4F3-063ED5D502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75067E" w14:textId="66CBD9A7" w:rsidR="00466F60" w:rsidRDefault="00ED3C0B" w:rsidP="00A832EE">
      <w:pPr>
        <w:pStyle w:val="NIEARTTEKSTtekstnieartykuowanynppodstprawnarozplubpreambua"/>
        <w:ind w:firstLine="708"/>
      </w:pPr>
      <w:r>
        <w:t>W</w:t>
      </w:r>
      <w:r w:rsidR="00466F60">
        <w:t xml:space="preserve"> </w:t>
      </w:r>
      <w:r>
        <w:t xml:space="preserve">sprawach toczących </w:t>
      </w:r>
      <w:r w:rsidR="00466F60">
        <w:t xml:space="preserve">się w I instancji przed sądami okręgowymi, </w:t>
      </w:r>
      <w:r w:rsidR="00051E20">
        <w:t>na koniec I kwartału 2025</w:t>
      </w:r>
      <w:r w:rsidR="00FF105D">
        <w:t xml:space="preserve"> r.</w:t>
      </w:r>
      <w:r w:rsidR="00051E20">
        <w:t xml:space="preserve"> </w:t>
      </w:r>
      <w:r w:rsidR="00466F60">
        <w:t>spraw cywilnych procesowych</w:t>
      </w:r>
      <w:r w:rsidR="00832F57">
        <w:t xml:space="preserve"> (rejestrowanych w repertorium C) </w:t>
      </w:r>
      <w:r w:rsidR="00FF105D">
        <w:t xml:space="preserve">pozostałych do rozpoznania </w:t>
      </w:r>
      <w:r w:rsidR="00051E20">
        <w:t>było</w:t>
      </w:r>
      <w:r w:rsidR="00466F60">
        <w:t xml:space="preserve"> 298 458, </w:t>
      </w:r>
      <w:r w:rsidR="00051E20">
        <w:t xml:space="preserve">z czego sprawy frankowe (symbol 049cf) stanowiły </w:t>
      </w:r>
      <w:r w:rsidR="00466F60">
        <w:t>130</w:t>
      </w:r>
      <w:r w:rsidR="00051E20">
        <w:t> </w:t>
      </w:r>
      <w:r w:rsidR="00466F60">
        <w:t>438</w:t>
      </w:r>
      <w:r w:rsidR="00051E20">
        <w:t xml:space="preserve">, czyli </w:t>
      </w:r>
      <w:r w:rsidR="00466F60">
        <w:t xml:space="preserve">44 %. Liczba pozostałych do rozpoznania spraw frankowych była ponad dwukrotnie wyższa od kolejnej grupy spraw tj. spraw o rozwód, których na koniec I kwartału 2025 roku pozostawało do rozpoznania 62 168 </w:t>
      </w:r>
      <w:r w:rsidR="00051E20">
        <w:t>(</w:t>
      </w:r>
      <w:r w:rsidR="00466F60">
        <w:t>21 %</w:t>
      </w:r>
      <w:r w:rsidR="00051E20">
        <w:t>).</w:t>
      </w:r>
      <w:r w:rsidR="00832F57">
        <w:t xml:space="preserve"> W repertorium C w sądach okręgowych rejestruje </w:t>
      </w:r>
      <w:r w:rsidR="00832F57">
        <w:lastRenderedPageBreak/>
        <w:t xml:space="preserve">się sprawy </w:t>
      </w:r>
      <w:r w:rsidR="00832F57" w:rsidRPr="00832F57">
        <w:t>cywiln</w:t>
      </w:r>
      <w:r w:rsidR="00832F57">
        <w:t>e</w:t>
      </w:r>
      <w:r w:rsidR="00832F57" w:rsidRPr="00832F57">
        <w:t xml:space="preserve"> podlegając</w:t>
      </w:r>
      <w:r w:rsidR="00832F57">
        <w:t>e</w:t>
      </w:r>
      <w:r w:rsidR="00832F57" w:rsidRPr="00832F57">
        <w:t xml:space="preserve"> rozpoznaniu w procesie wszczęt</w:t>
      </w:r>
      <w:r w:rsidR="00832F57">
        <w:t>e</w:t>
      </w:r>
      <w:r w:rsidR="00832F57" w:rsidRPr="00832F57">
        <w:t xml:space="preserve"> na skutek pozwu, a także podlegając</w:t>
      </w:r>
      <w:r w:rsidR="00832F57">
        <w:t>e</w:t>
      </w:r>
      <w:r w:rsidR="00832F57" w:rsidRPr="00832F57">
        <w:t xml:space="preserve"> rozpoznaniu w europejskim postępowaniu w sprawie drobnych roszczeń</w:t>
      </w:r>
      <w:r w:rsidR="00832F57">
        <w:t xml:space="preserve">. </w:t>
      </w:r>
    </w:p>
    <w:p w14:paraId="041F5D56" w14:textId="77777777" w:rsidR="00B94189" w:rsidRDefault="00B94189" w:rsidP="00B94189">
      <w:pPr>
        <w:pStyle w:val="ARTartustawynprozporzdzenia"/>
        <w:ind w:firstLine="0"/>
      </w:pPr>
    </w:p>
    <w:p w14:paraId="2A8590DA" w14:textId="6B4FDE56" w:rsidR="00051E20" w:rsidRPr="0072188A" w:rsidRDefault="00051E20" w:rsidP="00B94189">
      <w:pPr>
        <w:pStyle w:val="ARTartustawynprozporzdzenia"/>
        <w:ind w:firstLine="0"/>
        <w:rPr>
          <w:b/>
          <w:bCs/>
        </w:rPr>
      </w:pPr>
      <w:r w:rsidRPr="0072188A">
        <w:rPr>
          <w:b/>
          <w:bCs/>
        </w:rPr>
        <w:t>Wykres 3.</w:t>
      </w:r>
    </w:p>
    <w:p w14:paraId="218B7D83" w14:textId="3C357880" w:rsidR="00051E20" w:rsidRPr="00FF105D" w:rsidRDefault="00051E20" w:rsidP="00B94189">
      <w:pPr>
        <w:pStyle w:val="ARTartustawynprozporzdzenia"/>
        <w:ind w:firstLine="0"/>
        <w:rPr>
          <w:sz w:val="20"/>
        </w:rPr>
      </w:pPr>
      <w:r w:rsidRPr="00FF105D">
        <w:rPr>
          <w:sz w:val="20"/>
        </w:rPr>
        <w:t xml:space="preserve">Rozkład spraw w sądach okręgowych </w:t>
      </w:r>
      <w:r w:rsidR="00D55490">
        <w:rPr>
          <w:sz w:val="20"/>
        </w:rPr>
        <w:t>I</w:t>
      </w:r>
      <w:r w:rsidRPr="00FF105D">
        <w:rPr>
          <w:sz w:val="20"/>
        </w:rPr>
        <w:t xml:space="preserve"> instancji w repertorium C </w:t>
      </w:r>
      <w:r w:rsidR="00631ED9">
        <w:rPr>
          <w:sz w:val="20"/>
        </w:rPr>
        <w:t xml:space="preserve">pozostałych do rozpoznania na koniec </w:t>
      </w:r>
      <w:r w:rsidRPr="00FF105D">
        <w:rPr>
          <w:sz w:val="20"/>
        </w:rPr>
        <w:t>I kwartał</w:t>
      </w:r>
      <w:r w:rsidR="00631ED9">
        <w:rPr>
          <w:sz w:val="20"/>
        </w:rPr>
        <w:t xml:space="preserve">u </w:t>
      </w:r>
      <w:r w:rsidRPr="00FF105D">
        <w:rPr>
          <w:sz w:val="20"/>
        </w:rPr>
        <w:t>2025</w:t>
      </w:r>
      <w:r w:rsidR="003763A4">
        <w:rPr>
          <w:sz w:val="20"/>
        </w:rPr>
        <w:t xml:space="preserve"> r</w:t>
      </w:r>
      <w:r w:rsidRPr="00FF105D">
        <w:rPr>
          <w:sz w:val="20"/>
        </w:rPr>
        <w:t>.</w:t>
      </w:r>
    </w:p>
    <w:p w14:paraId="424C4F3C" w14:textId="77777777" w:rsidR="00B94189" w:rsidRPr="00B01AA6" w:rsidRDefault="00B94189" w:rsidP="00542467">
      <w:pPr>
        <w:pStyle w:val="ARTartustawynprozporzdzenia"/>
        <w:ind w:firstLine="0"/>
      </w:pPr>
      <w:r w:rsidRPr="00780933">
        <w:rPr>
          <w:noProof/>
        </w:rPr>
        <w:drawing>
          <wp:inline distT="0" distB="0" distL="0" distR="0" wp14:anchorId="5BF866BC" wp14:editId="39FC2D72">
            <wp:extent cx="3874638" cy="3319352"/>
            <wp:effectExtent l="0" t="0" r="12065" b="14605"/>
            <wp:docPr id="50013760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31A8A52-EB1C-CA73-32D6-2FC57F9929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F3A2BB" w14:textId="0D3C00FB" w:rsidR="00D4537F" w:rsidRDefault="00A5144B" w:rsidP="00FF105D">
      <w:pPr>
        <w:pStyle w:val="NIEARTTEKSTtekstnieartykuowanynppodstprawnarozplubpreambua"/>
      </w:pPr>
      <w:r>
        <w:t xml:space="preserve">Ministerstwo Sprawiedliwości we współpracy z prezesami sądów podejmuje intensywne działania, </w:t>
      </w:r>
      <w:r w:rsidR="00D4537F">
        <w:t xml:space="preserve">różnej natury, </w:t>
      </w:r>
      <w:r>
        <w:t>których celem jest ograniczenie negatywnych skutków</w:t>
      </w:r>
      <w:r w:rsidR="00ED3C0B">
        <w:t xml:space="preserve"> kumul</w:t>
      </w:r>
      <w:r w:rsidR="00C05A88">
        <w:t xml:space="preserve">acji </w:t>
      </w:r>
      <w:r>
        <w:t xml:space="preserve">wpływu licznych spraw frankowych. </w:t>
      </w:r>
      <w:r w:rsidR="00D4537F">
        <w:t xml:space="preserve"> </w:t>
      </w:r>
    </w:p>
    <w:p w14:paraId="647EF31D" w14:textId="1EE95931" w:rsidR="00D819EC" w:rsidRDefault="00EE6657" w:rsidP="00920F37">
      <w:pPr>
        <w:pStyle w:val="NIEARTTEKSTtekstnieartykuowanynppodstprawnarozplubpreambua"/>
      </w:pPr>
      <w:r>
        <w:t xml:space="preserve">Podejmując </w:t>
      </w:r>
      <w:r w:rsidR="00051E20">
        <w:t>działania organizacyjne</w:t>
      </w:r>
      <w:r w:rsidR="007E075E">
        <w:t>,</w:t>
      </w:r>
      <w:r w:rsidR="00A5144B">
        <w:t xml:space="preserve"> w Sądzie Okręgowym w Poznaniu </w:t>
      </w:r>
      <w:r w:rsidR="005A47A7">
        <w:t xml:space="preserve">utworzono </w:t>
      </w:r>
      <w:r w:rsidR="00A5144B">
        <w:t>z dniem 1 grudnia 2024 r.</w:t>
      </w:r>
      <w:r w:rsidR="004A1DCE">
        <w:t xml:space="preserve"> </w:t>
      </w:r>
      <w:r w:rsidR="00A5144B">
        <w:t>sekcję rozpoznającą te sprawy</w:t>
      </w:r>
      <w:r w:rsidR="007E075E">
        <w:t>,</w:t>
      </w:r>
      <w:r w:rsidR="007773D9">
        <w:t xml:space="preserve"> </w:t>
      </w:r>
      <w:r w:rsidR="00D4537F">
        <w:t>zaś</w:t>
      </w:r>
      <w:r w:rsidR="005A47A7" w:rsidRPr="005A47A7">
        <w:t xml:space="preserve"> </w:t>
      </w:r>
      <w:r w:rsidR="005A47A7">
        <w:t>w Sądzie Apelacyjnym w Warszawie</w:t>
      </w:r>
      <w:r w:rsidR="00A5144B">
        <w:t xml:space="preserve"> </w:t>
      </w:r>
      <w:r w:rsidR="007773D9">
        <w:t>z dniem</w:t>
      </w:r>
      <w:r w:rsidR="00A5144B">
        <w:t xml:space="preserve"> 1 stycznia 2025 r. </w:t>
      </w:r>
      <w:r w:rsidR="00FF105D">
        <w:t>W</w:t>
      </w:r>
      <w:r w:rsidR="00A5144B">
        <w:t xml:space="preserve">ydział </w:t>
      </w:r>
      <w:r w:rsidR="00FF105D">
        <w:t>F</w:t>
      </w:r>
      <w:r w:rsidR="00A5144B">
        <w:t>rankow</w:t>
      </w:r>
      <w:r w:rsidR="007E075E">
        <w:t>y</w:t>
      </w:r>
      <w:r w:rsidR="00A5144B">
        <w:t xml:space="preserve">. </w:t>
      </w:r>
      <w:r w:rsidR="000B78D1">
        <w:t xml:space="preserve">Prowadzone </w:t>
      </w:r>
      <w:r w:rsidR="00A5144B">
        <w:t xml:space="preserve">są </w:t>
      </w:r>
      <w:r w:rsidR="00FF105D">
        <w:t xml:space="preserve">też </w:t>
      </w:r>
      <w:r w:rsidR="00A5144B">
        <w:t>działania służące – w miarę</w:t>
      </w:r>
      <w:r w:rsidR="005000B7">
        <w:t xml:space="preserve"> istniejących</w:t>
      </w:r>
      <w:r w:rsidR="00A5144B">
        <w:t xml:space="preserve"> możliwości – wzmocnieniu kadrowemu najbardziej obciążonych sądów. </w:t>
      </w:r>
      <w:r w:rsidR="00DE6AB7" w:rsidRPr="00920F37">
        <w:rPr>
          <w:szCs w:val="24"/>
        </w:rPr>
        <w:t>W 2024</w:t>
      </w:r>
      <w:r w:rsidR="004A1DCE" w:rsidRPr="00920F37">
        <w:rPr>
          <w:szCs w:val="24"/>
        </w:rPr>
        <w:t xml:space="preserve"> r.</w:t>
      </w:r>
      <w:r w:rsidR="00DE6AB7" w:rsidRPr="00920F37">
        <w:rPr>
          <w:szCs w:val="24"/>
        </w:rPr>
        <w:t xml:space="preserve"> </w:t>
      </w:r>
      <w:r w:rsidR="00920F37" w:rsidRPr="00920F37">
        <w:rPr>
          <w:szCs w:val="24"/>
        </w:rPr>
        <w:t xml:space="preserve">do Sądu Apelacyjnego w Warszawie przydzielono 17 dodatkowych etatów asystenta sędziego z przeznaczeniem do wydziałów rozpoznającego sprawy frankowe, </w:t>
      </w:r>
      <w:r w:rsidR="0054778F">
        <w:rPr>
          <w:szCs w:val="24"/>
        </w:rPr>
        <w:t xml:space="preserve">zaś </w:t>
      </w:r>
      <w:r w:rsidR="00920F37" w:rsidRPr="00920F37">
        <w:rPr>
          <w:szCs w:val="24"/>
        </w:rPr>
        <w:t xml:space="preserve">do Sądu Okręgowego w Warszawie przydzielono 43,75 etatów asystenta sędziego, w tym 11 z uwagi na wysokie obciążenia i 32,75 z przeznaczeniem do </w:t>
      </w:r>
      <w:r w:rsidR="00920F37">
        <w:rPr>
          <w:szCs w:val="24"/>
        </w:rPr>
        <w:t>W</w:t>
      </w:r>
      <w:r w:rsidR="00920F37" w:rsidRPr="00920F37">
        <w:rPr>
          <w:szCs w:val="24"/>
        </w:rPr>
        <w:t xml:space="preserve">ydziału </w:t>
      </w:r>
      <w:r w:rsidR="004A1DCE" w:rsidRPr="00920F37">
        <w:rPr>
          <w:szCs w:val="24"/>
        </w:rPr>
        <w:t>XXVI</w:t>
      </w:r>
      <w:r w:rsidR="00920F37" w:rsidRPr="00920F37">
        <w:rPr>
          <w:szCs w:val="24"/>
        </w:rPr>
        <w:t>I</w:t>
      </w:r>
      <w:r w:rsidR="004A1DCE" w:rsidRPr="00920F37">
        <w:rPr>
          <w:szCs w:val="24"/>
        </w:rPr>
        <w:t>I</w:t>
      </w:r>
      <w:r w:rsidR="00DE6AB7" w:rsidRPr="00920F37">
        <w:rPr>
          <w:szCs w:val="24"/>
        </w:rPr>
        <w:t xml:space="preserve"> </w:t>
      </w:r>
      <w:r w:rsidR="004A1DCE" w:rsidRPr="00920F37">
        <w:rPr>
          <w:szCs w:val="24"/>
        </w:rPr>
        <w:t>Sądu Okręgowego</w:t>
      </w:r>
      <w:r w:rsidR="00920F37">
        <w:rPr>
          <w:szCs w:val="24"/>
        </w:rPr>
        <w:t>, to jest Wydziału Frankowego</w:t>
      </w:r>
      <w:r w:rsidR="00920F37" w:rsidRPr="00920F37">
        <w:rPr>
          <w:szCs w:val="24"/>
        </w:rPr>
        <w:t>.</w:t>
      </w:r>
      <w:r w:rsidR="004A1DCE" w:rsidRPr="00920F37">
        <w:rPr>
          <w:szCs w:val="24"/>
        </w:rPr>
        <w:t xml:space="preserve"> W 2025</w:t>
      </w:r>
      <w:r w:rsidR="005A47A7" w:rsidRPr="00920F37">
        <w:rPr>
          <w:szCs w:val="24"/>
        </w:rPr>
        <w:t xml:space="preserve"> r.</w:t>
      </w:r>
      <w:r w:rsidR="004A1DCE" w:rsidRPr="00920F37">
        <w:rPr>
          <w:szCs w:val="24"/>
        </w:rPr>
        <w:t xml:space="preserve"> </w:t>
      </w:r>
      <w:r w:rsidR="002A5CAE" w:rsidRPr="00920F37">
        <w:rPr>
          <w:szCs w:val="24"/>
        </w:rPr>
        <w:t>w ustawie budżetowej zostały zabezpieczone wydatki</w:t>
      </w:r>
      <w:r w:rsidR="002A5CAE">
        <w:t xml:space="preserve"> na 1659 dodatkowych etatów niezbędnych dla realizacji zadań nakładanych </w:t>
      </w:r>
      <w:r w:rsidR="000A4939">
        <w:t xml:space="preserve">na sądownictwo </w:t>
      </w:r>
      <w:r w:rsidR="000A4939">
        <w:lastRenderedPageBreak/>
        <w:t xml:space="preserve">powszechne: 100 etatów referendarzy sądowych, 1159 etatów asystenckich oraz 400 etatów urzędniczych. Etaty asystenckie zostały rozdzielone tak, aby </w:t>
      </w:r>
      <w:r w:rsidR="005A47A7" w:rsidRPr="00255D53">
        <w:t>na każdego sędziego przypadało 0,5 etatu asystenckiego</w:t>
      </w:r>
      <w:r w:rsidR="00255D53" w:rsidRPr="00255D53">
        <w:t xml:space="preserve"> w</w:t>
      </w:r>
      <w:r w:rsidR="00255D53">
        <w:t xml:space="preserve"> skali kraju</w:t>
      </w:r>
      <w:r w:rsidR="005A47A7">
        <w:t>, a</w:t>
      </w:r>
      <w:r w:rsidR="000A4939">
        <w:t xml:space="preserve"> dodatkowo 50 etatów zostało rozdzielone pośród sądów zaangażowanych w projekty pilotażowe</w:t>
      </w:r>
      <w:r w:rsidR="00FF105D">
        <w:t>, których celem jest usprawnianie postępowań</w:t>
      </w:r>
      <w:r w:rsidR="00D819EC">
        <w:t xml:space="preserve"> sądowych</w:t>
      </w:r>
      <w:r w:rsidR="00FF105D">
        <w:t xml:space="preserve">. </w:t>
      </w:r>
      <w:r w:rsidR="000A4939">
        <w:t>Należy jednak podkreślić, że m</w:t>
      </w:r>
      <w:r w:rsidR="00A5144B">
        <w:t xml:space="preserve">ożliwości w tym zakresie </w:t>
      </w:r>
      <w:r w:rsidR="000A4939">
        <w:t xml:space="preserve">- </w:t>
      </w:r>
      <w:r w:rsidR="00A5144B">
        <w:t>ograniczone ze względu na skutki kryzysu ustrojowego w wymiarze sprawiedliwości</w:t>
      </w:r>
      <w:r w:rsidR="000A4939">
        <w:t xml:space="preserve"> -</w:t>
      </w:r>
      <w:r w:rsidR="00A5144B">
        <w:t xml:space="preserve"> </w:t>
      </w:r>
      <w:r w:rsidR="00AA1E4B">
        <w:t xml:space="preserve">wyczerpują </w:t>
      </w:r>
      <w:r w:rsidR="00A5144B">
        <w:t>się.</w:t>
      </w:r>
      <w:r w:rsidR="00C23B59">
        <w:t xml:space="preserve"> </w:t>
      </w:r>
    </w:p>
    <w:p w14:paraId="284BAF5C" w14:textId="7676DE43" w:rsidR="00FF105D" w:rsidRDefault="00C23B59" w:rsidP="00D819EC">
      <w:pPr>
        <w:pStyle w:val="NIEARTTEKSTtekstnieartykuowanynppodstprawnarozplubpreambua"/>
      </w:pPr>
      <w:r>
        <w:t>Ministerstwo Sprawiedliwości</w:t>
      </w:r>
      <w:r w:rsidR="00C56B76">
        <w:t>,</w:t>
      </w:r>
      <w:r>
        <w:t xml:space="preserve"> we współpracy z sądami, podejmuje</w:t>
      </w:r>
      <w:r w:rsidR="00DF1557">
        <w:t xml:space="preserve"> </w:t>
      </w:r>
      <w:r w:rsidR="00D819EC">
        <w:t xml:space="preserve">ponadto </w:t>
      </w:r>
      <w:r>
        <w:t xml:space="preserve">działania mające na celu usprawnienie </w:t>
      </w:r>
      <w:r w:rsidR="00C56B76">
        <w:t xml:space="preserve">prowadzenia postępowań </w:t>
      </w:r>
      <w:r>
        <w:t>w sprawach frankowych poprzez jego digitalizację oraz wykorzystanie nowoczesnych technologii</w:t>
      </w:r>
      <w:r w:rsidR="00FB5873">
        <w:t xml:space="preserve">, </w:t>
      </w:r>
      <w:r>
        <w:t>w ramach projektu pilotażowego Digitalny Asystent Sędziego.</w:t>
      </w:r>
      <w:r w:rsidR="00C7699E">
        <w:t xml:space="preserve"> Projekt zakłada (1) digitalizację i wykonanie OCR pism procesowych, stworzenie (2) kalkulatora, umożliwiającego automatyczne rozliczanie </w:t>
      </w:r>
      <w:r w:rsidR="00D819EC">
        <w:t>świadczeń stron po stwierdzeniu nieważności umowy</w:t>
      </w:r>
      <w:r w:rsidR="00C7699E">
        <w:t xml:space="preserve">, (3) bazy danych </w:t>
      </w:r>
      <w:proofErr w:type="spellStart"/>
      <w:r w:rsidR="00C7699E">
        <w:t>tezowanego</w:t>
      </w:r>
      <w:proofErr w:type="spellEnd"/>
      <w:r w:rsidR="00C7699E">
        <w:t xml:space="preserve"> orzecznictwa </w:t>
      </w:r>
      <w:proofErr w:type="spellStart"/>
      <w:r w:rsidR="00C7699E">
        <w:t>TSUE</w:t>
      </w:r>
      <w:proofErr w:type="spellEnd"/>
      <w:r w:rsidR="006036C4">
        <w:t>, oraz (4) algorytmu umożliwiającego przygotowanie projektu orzeczenia</w:t>
      </w:r>
      <w:r>
        <w:t>.</w:t>
      </w:r>
      <w:r w:rsidR="006036C4">
        <w:t xml:space="preserve"> </w:t>
      </w:r>
      <w:r>
        <w:t xml:space="preserve">Aby wszystkie te działania przyniosły </w:t>
      </w:r>
      <w:r w:rsidR="001527A9">
        <w:t xml:space="preserve">efekty w jak najszybszym czasie, konieczne jest jednak </w:t>
      </w:r>
      <w:r w:rsidR="00270D3F">
        <w:t>przyjęcie ustawy, która</w:t>
      </w:r>
      <w:r w:rsidR="006036C4">
        <w:t xml:space="preserve"> wprowadzi rozwiązania procesowe,</w:t>
      </w:r>
      <w:r w:rsidR="00270D3F">
        <w:t xml:space="preserve"> umożliwi</w:t>
      </w:r>
      <w:r w:rsidR="006036C4">
        <w:t>ające</w:t>
      </w:r>
      <w:r w:rsidR="00270D3F">
        <w:t xml:space="preserve"> usprawnienie (a tym samym – przyspieszenie) postępowań w sprawach frankowych.</w:t>
      </w:r>
    </w:p>
    <w:p w14:paraId="26173DED" w14:textId="67CEF4A7" w:rsidR="00B26990" w:rsidRDefault="00D7456F" w:rsidP="00A04E1C">
      <w:pPr>
        <w:pStyle w:val="NIEARTTEKSTtekstnieartykuowanynppodstprawnarozplubpreambua"/>
      </w:pPr>
      <w:r w:rsidRPr="00FF105D">
        <w:t xml:space="preserve">Projekt wprowadza kilka grup szczególnych uregulowań o charakterze procesowym, które łącznie umożliwiają usprawnienie i przyspieszenie rozpoznawania spraw frankowych, a także ograniczenie </w:t>
      </w:r>
      <w:r w:rsidR="00D754D4">
        <w:t xml:space="preserve">wpływu </w:t>
      </w:r>
      <w:r w:rsidRPr="00FF105D">
        <w:t>nowych spraw tego rodzaju. Projekt ustawy nie ingeruje jednak w sposób rozstrzygania w sprawach frankowych</w:t>
      </w:r>
      <w:r w:rsidR="00D754D4">
        <w:t>:</w:t>
      </w:r>
      <w:r w:rsidRPr="00FF105D">
        <w:t xml:space="preserve"> nie wprowadza </w:t>
      </w:r>
      <w:r w:rsidR="00FB5873">
        <w:t xml:space="preserve">żadnych </w:t>
      </w:r>
      <w:r w:rsidRPr="00FF105D">
        <w:t>zmian o charakterze materialnoprawnym</w:t>
      </w:r>
      <w:r w:rsidRPr="004A1DCE">
        <w:t>.</w:t>
      </w:r>
      <w:r>
        <w:t xml:space="preserve"> </w:t>
      </w:r>
    </w:p>
    <w:p w14:paraId="58D24F5D" w14:textId="255F3DE0" w:rsidR="00B26990" w:rsidRDefault="00B01AA6" w:rsidP="00A04E1C">
      <w:pPr>
        <w:pStyle w:val="NIEARTTEKSTtekstnieartykuowanynppodstprawnarozplubpreambua"/>
      </w:pPr>
      <w:r w:rsidRPr="00542467">
        <w:t>Wprowadzenie ustawy jest proporcjonalną</w:t>
      </w:r>
      <w:r w:rsidR="006036C4">
        <w:t xml:space="preserve"> i zgodną z prawem unijnym</w:t>
      </w:r>
      <w:r w:rsidRPr="00542467">
        <w:t xml:space="preserve"> odpowiedzią na wydłużenie czasu oczekiwania </w:t>
      </w:r>
      <w:r w:rsidR="00A5144B" w:rsidRPr="00B01AA6">
        <w:t>na rozstrzygnięcia sądów okręgowych i apelacyjnych</w:t>
      </w:r>
      <w:r w:rsidR="00270D3F">
        <w:t>,</w:t>
      </w:r>
      <w:r w:rsidR="00A5144B" w:rsidRPr="00B01AA6">
        <w:t xml:space="preserve"> nie tylko w sprawach</w:t>
      </w:r>
      <w:r w:rsidRPr="00542467">
        <w:t xml:space="preserve"> frankowych</w:t>
      </w:r>
      <w:r w:rsidR="00A5144B" w:rsidRPr="00B01AA6">
        <w:t>, ale i we wszystkich innych</w:t>
      </w:r>
      <w:r w:rsidR="00270D3F">
        <w:t xml:space="preserve"> sprawach</w:t>
      </w:r>
      <w:r w:rsidR="00A5144B" w:rsidRPr="00B01AA6">
        <w:t>.</w:t>
      </w:r>
      <w:r w:rsidRPr="00542467">
        <w:t xml:space="preserve"> </w:t>
      </w:r>
      <w:r w:rsidR="00270D3F">
        <w:t>Skrócenie czasu rozpatrywania spraw</w:t>
      </w:r>
      <w:r w:rsidR="006036C4">
        <w:t xml:space="preserve"> w sądach</w:t>
      </w:r>
      <w:r w:rsidR="00270D3F">
        <w:t xml:space="preserve"> </w:t>
      </w:r>
      <w:r w:rsidR="00DF1557">
        <w:t xml:space="preserve">jest </w:t>
      </w:r>
      <w:r w:rsidR="006036C4">
        <w:t>niezbędne,</w:t>
      </w:r>
      <w:r w:rsidR="00DF1557">
        <w:t xml:space="preserve"> aby</w:t>
      </w:r>
      <w:r w:rsidR="00270D3F">
        <w:t xml:space="preserve"> </w:t>
      </w:r>
      <w:r w:rsidR="00270D3F" w:rsidRPr="00542467">
        <w:t>z</w:t>
      </w:r>
      <w:r w:rsidR="00A5144B" w:rsidRPr="00270D3F">
        <w:t>apewni</w:t>
      </w:r>
      <w:r w:rsidR="00DF1557">
        <w:t>ć</w:t>
      </w:r>
      <w:r w:rsidR="00A5144B" w:rsidRPr="00270D3F">
        <w:t xml:space="preserve"> </w:t>
      </w:r>
      <w:r w:rsidR="00DF1557">
        <w:t xml:space="preserve">możliwość </w:t>
      </w:r>
      <w:r w:rsidR="00A5144B" w:rsidRPr="00270D3F">
        <w:t>realizac</w:t>
      </w:r>
      <w:r w:rsidR="00DF1557">
        <w:t>ji</w:t>
      </w:r>
      <w:r w:rsidR="00A5144B" w:rsidRPr="00270D3F">
        <w:t xml:space="preserve"> konstytucyjnego prawa </w:t>
      </w:r>
      <w:r w:rsidR="00270D3F" w:rsidRPr="00542467">
        <w:t xml:space="preserve">obywateli </w:t>
      </w:r>
      <w:r w:rsidR="00A5144B" w:rsidRPr="00270D3F">
        <w:t>do rozpoznania sprawy sądowej w rozsądnym terminie</w:t>
      </w:r>
      <w:r w:rsidR="00270D3F" w:rsidRPr="00542467">
        <w:t>.</w:t>
      </w:r>
      <w:r w:rsidR="00A5144B" w:rsidRPr="00270D3F">
        <w:t xml:space="preserve"> </w:t>
      </w:r>
      <w:r w:rsidR="00DF1557">
        <w:t xml:space="preserve">Przedstawiony projekt </w:t>
      </w:r>
      <w:r w:rsidR="00270D3F" w:rsidRPr="00542467">
        <w:t xml:space="preserve">realizuje </w:t>
      </w:r>
      <w:r w:rsidR="00D754D4">
        <w:t>w ten sposób</w:t>
      </w:r>
      <w:r w:rsidR="00D754D4" w:rsidRPr="00542467">
        <w:t xml:space="preserve"> </w:t>
      </w:r>
      <w:r w:rsidR="00270D3F">
        <w:t>cel ogólnospołeczny</w:t>
      </w:r>
      <w:r w:rsidR="00DF1557">
        <w:t>,</w:t>
      </w:r>
      <w:r w:rsidR="00270D3F">
        <w:t xml:space="preserve"> to jest umożliwia skrócenie czasu postępowania i zapew</w:t>
      </w:r>
      <w:r w:rsidR="00D819EC">
        <w:t>nienie</w:t>
      </w:r>
      <w:r w:rsidR="00270D3F">
        <w:t xml:space="preserve"> obywatelom prawidło</w:t>
      </w:r>
      <w:r w:rsidR="00DF1557">
        <w:t>wo</w:t>
      </w:r>
      <w:r w:rsidR="00270D3F">
        <w:t xml:space="preserve"> realizowane</w:t>
      </w:r>
      <w:r w:rsidR="00D819EC">
        <w:t>go</w:t>
      </w:r>
      <w:r w:rsidR="00270D3F">
        <w:t xml:space="preserve"> praw</w:t>
      </w:r>
      <w:r w:rsidR="00FB5873">
        <w:t>a</w:t>
      </w:r>
      <w:r w:rsidR="00270D3F">
        <w:t xml:space="preserve"> do sądu we wszystkich sprawach</w:t>
      </w:r>
      <w:r w:rsidR="00A32CAE">
        <w:t>.</w:t>
      </w:r>
    </w:p>
    <w:p w14:paraId="48A898FB" w14:textId="11D26BBA" w:rsidR="00B26990" w:rsidRDefault="00A11EAD" w:rsidP="00A04E1C">
      <w:pPr>
        <w:pStyle w:val="NIEARTTEKSTtekstnieartykuowanynppodstprawnarozplubpreambua"/>
      </w:pPr>
      <w:r>
        <w:t>Projekt u</w:t>
      </w:r>
      <w:r w:rsidR="00A32CAE">
        <w:t>staw</w:t>
      </w:r>
      <w:r>
        <w:t>y</w:t>
      </w:r>
      <w:r w:rsidR="00A32CAE">
        <w:t xml:space="preserve"> realizuje</w:t>
      </w:r>
      <w:r w:rsidR="006036C4">
        <w:t xml:space="preserve"> </w:t>
      </w:r>
      <w:r w:rsidR="009B6517">
        <w:t xml:space="preserve">ponadto </w:t>
      </w:r>
      <w:r w:rsidR="00A32CAE">
        <w:t>cel szczególny</w:t>
      </w:r>
      <w:r w:rsidR="00B26990">
        <w:t xml:space="preserve">: </w:t>
      </w:r>
      <w:r w:rsidR="00A32CAE">
        <w:t xml:space="preserve">umożliwia efektywną </w:t>
      </w:r>
      <w:r w:rsidR="00D819EC">
        <w:t xml:space="preserve">- </w:t>
      </w:r>
      <w:r w:rsidR="00A32CAE">
        <w:t>szybką</w:t>
      </w:r>
      <w:r w:rsidR="00DF1557">
        <w:t xml:space="preserve"> i skuteczną</w:t>
      </w:r>
      <w:r w:rsidR="00D819EC">
        <w:t xml:space="preserve"> -</w:t>
      </w:r>
      <w:r w:rsidR="00A32CAE">
        <w:t xml:space="preserve"> realizację praw </w:t>
      </w:r>
      <w:r w:rsidR="006036C4">
        <w:t xml:space="preserve">obywateli działających jako </w:t>
      </w:r>
      <w:r w:rsidR="00A32CAE">
        <w:t>konsumen</w:t>
      </w:r>
      <w:r w:rsidR="006036C4">
        <w:t>ci</w:t>
      </w:r>
      <w:r w:rsidR="00A32CAE">
        <w:t xml:space="preserve">, </w:t>
      </w:r>
      <w:r w:rsidR="00DF1557">
        <w:t xml:space="preserve">którzy </w:t>
      </w:r>
      <w:r w:rsidR="00A32CAE">
        <w:t xml:space="preserve">dochodzą roszczeń w związku z abuzywnością klauzul zawartych w umowach frankowych. </w:t>
      </w:r>
      <w:r w:rsidR="008D484B">
        <w:t>Z</w:t>
      </w:r>
      <w:r w:rsidR="00930E97">
        <w:t>ałożeni</w:t>
      </w:r>
      <w:r w:rsidR="008D484B">
        <w:t>em</w:t>
      </w:r>
      <w:r>
        <w:t xml:space="preserve"> projektu</w:t>
      </w:r>
      <w:r w:rsidR="008D484B">
        <w:t xml:space="preserve"> ustawy jest,</w:t>
      </w:r>
      <w:r w:rsidR="00930E97">
        <w:t xml:space="preserve"> że </w:t>
      </w:r>
      <w:r w:rsidR="00370D10">
        <w:t>podstawową wartością dla obywateli, w tym konsumentów, jest sprawność postępowania sądowego i szybkość realizacji uprawnień</w:t>
      </w:r>
      <w:r w:rsidR="00D819EC">
        <w:t>, które im przysługują</w:t>
      </w:r>
      <w:r w:rsidR="00930E97">
        <w:t xml:space="preserve">. </w:t>
      </w:r>
    </w:p>
    <w:p w14:paraId="07758050" w14:textId="0737B29B" w:rsidR="00986F31" w:rsidRDefault="00471803" w:rsidP="00A04E1C">
      <w:pPr>
        <w:pStyle w:val="NIEARTTEKSTtekstnieartykuowanynppodstprawnarozplubpreambua"/>
      </w:pPr>
      <w:r>
        <w:lastRenderedPageBreak/>
        <w:t>Efektem s</w:t>
      </w:r>
      <w:r w:rsidR="00930E97">
        <w:t>króceni</w:t>
      </w:r>
      <w:r>
        <w:t>a</w:t>
      </w:r>
      <w:r w:rsidR="00930E97">
        <w:t xml:space="preserve"> </w:t>
      </w:r>
      <w:r w:rsidR="00370D10">
        <w:t>długości</w:t>
      </w:r>
      <w:r w:rsidR="00930E97">
        <w:t xml:space="preserve"> post</w:t>
      </w:r>
      <w:r w:rsidR="00CA1638">
        <w:t>ę</w:t>
      </w:r>
      <w:r w:rsidR="00930E97">
        <w:t xml:space="preserve">powań będzie </w:t>
      </w:r>
      <w:r>
        <w:t>zmniejszenie</w:t>
      </w:r>
      <w:r w:rsidR="00930E97">
        <w:t xml:space="preserve"> </w:t>
      </w:r>
      <w:r w:rsidR="00370D10">
        <w:t>wysokości</w:t>
      </w:r>
      <w:r w:rsidR="00930E97">
        <w:t xml:space="preserve"> odsetek</w:t>
      </w:r>
      <w:r>
        <w:t xml:space="preserve"> przyznawanych</w:t>
      </w:r>
      <w:r w:rsidR="00930E97">
        <w:t xml:space="preserve"> za czas trwania postępowani</w:t>
      </w:r>
      <w:r w:rsidR="00986F31">
        <w:t xml:space="preserve">a. </w:t>
      </w:r>
      <w:r w:rsidR="00A11EAD">
        <w:t>Projekt u</w:t>
      </w:r>
      <w:r w:rsidR="00145E9E">
        <w:t>staw</w:t>
      </w:r>
      <w:r w:rsidR="00A11EAD">
        <w:t>y</w:t>
      </w:r>
      <w:r w:rsidR="00145E9E">
        <w:t xml:space="preserve"> wprowadza jedynie rozwiązania o charakterze procesowym, mające na celu usprawnienie postępowania; natomiast odsetki regulowane są przepisami o charakterze materialnoprawnym. </w:t>
      </w:r>
      <w:r w:rsidR="000B56E2">
        <w:t xml:space="preserve">Odsetki za opóźnienie </w:t>
      </w:r>
      <w:r w:rsidR="00487E42">
        <w:t xml:space="preserve">są </w:t>
      </w:r>
      <w:r w:rsidR="000B56E2">
        <w:t>rekompensat</w:t>
      </w:r>
      <w:r w:rsidR="00487E42">
        <w:t>ą</w:t>
      </w:r>
      <w:r w:rsidR="000B56E2">
        <w:t xml:space="preserve"> za odłożenie w czasie zasądzenia roszczenia</w:t>
      </w:r>
      <w:r w:rsidR="00487E42">
        <w:t>;</w:t>
      </w:r>
      <w:r w:rsidR="000B56E2">
        <w:t xml:space="preserve"> jeżeli roszczenie będzie więc zasądzane szybciej, odpada ich podstawa. </w:t>
      </w:r>
      <w:r w:rsidR="00986F31">
        <w:t xml:space="preserve">Obecnie, ze względu na wysoki poziom stóp procentowych, </w:t>
      </w:r>
      <w:r w:rsidR="005373B8">
        <w:t xml:space="preserve">zasądzane </w:t>
      </w:r>
      <w:r w:rsidR="00986F31">
        <w:t>odsetki są wysokie i wynoszą</w:t>
      </w:r>
      <w:r w:rsidR="00B64E94">
        <w:t xml:space="preserve"> </w:t>
      </w:r>
      <w:r w:rsidR="006F0E8A" w:rsidRPr="006F0E8A">
        <w:t>10</w:t>
      </w:r>
      <w:r w:rsidR="00B64E94" w:rsidRPr="006F0E8A">
        <w:t>,75 %</w:t>
      </w:r>
      <w:r w:rsidR="00370D10" w:rsidRPr="006F0E8A">
        <w:t>,</w:t>
      </w:r>
      <w:r w:rsidR="00370D10">
        <w:t xml:space="preserve"> co </w:t>
      </w:r>
      <w:r w:rsidR="00487E42">
        <w:t xml:space="preserve">stanowi pokusę do promowania </w:t>
      </w:r>
      <w:proofErr w:type="spellStart"/>
      <w:r w:rsidR="00370D10">
        <w:t>zachowa</w:t>
      </w:r>
      <w:r w:rsidR="00487E42">
        <w:t>ń</w:t>
      </w:r>
      <w:proofErr w:type="spellEnd"/>
      <w:r w:rsidR="00370D10">
        <w:t xml:space="preserve"> </w:t>
      </w:r>
      <w:r w:rsidR="00626A49">
        <w:t>niesprzyjających szybkości post</w:t>
      </w:r>
      <w:r w:rsidR="00EE6657">
        <w:t>ę</w:t>
      </w:r>
      <w:r w:rsidR="00626A49">
        <w:t>powania sądowego.</w:t>
      </w:r>
      <w:r w:rsidR="00CA1638">
        <w:t xml:space="preserve"> </w:t>
      </w:r>
    </w:p>
    <w:p w14:paraId="3967FF62" w14:textId="2390D4DB" w:rsidR="00986F31" w:rsidRPr="00CA1638" w:rsidRDefault="00370D10" w:rsidP="00370D10">
      <w:pPr>
        <w:pStyle w:val="NIEARTTEKSTtekstnieartykuowanynppodstprawnarozplubpreambua"/>
        <w:ind w:firstLine="0"/>
        <w:rPr>
          <w:b/>
          <w:bCs w:val="0"/>
        </w:rPr>
      </w:pPr>
      <w:r w:rsidRPr="00CA1638">
        <w:rPr>
          <w:b/>
          <w:bCs w:val="0"/>
        </w:rPr>
        <w:t>Wykres 4.</w:t>
      </w:r>
    </w:p>
    <w:p w14:paraId="58650D1B" w14:textId="0F6340BB" w:rsidR="00370D10" w:rsidRDefault="00370D10" w:rsidP="00423085">
      <w:pPr>
        <w:pStyle w:val="ARTartustawynprozporzdzenia"/>
        <w:ind w:firstLine="0"/>
      </w:pPr>
      <w:r w:rsidRPr="00D7456F">
        <w:rPr>
          <w:sz w:val="20"/>
        </w:rPr>
        <w:t xml:space="preserve">Wysokość odsetek ustawowych </w:t>
      </w:r>
      <w:r w:rsidR="00D7456F">
        <w:rPr>
          <w:sz w:val="20"/>
        </w:rPr>
        <w:t>w latach</w:t>
      </w:r>
      <w:r w:rsidRPr="00D7456F">
        <w:rPr>
          <w:sz w:val="20"/>
        </w:rPr>
        <w:t xml:space="preserve"> </w:t>
      </w:r>
      <w:r w:rsidR="00B64E94" w:rsidRPr="00D7456F">
        <w:rPr>
          <w:sz w:val="20"/>
        </w:rPr>
        <w:t>201</w:t>
      </w:r>
      <w:r w:rsidR="00B64E94">
        <w:rPr>
          <w:sz w:val="20"/>
        </w:rPr>
        <w:t>6</w:t>
      </w:r>
      <w:r w:rsidR="00B64E94" w:rsidRPr="00D7456F">
        <w:rPr>
          <w:sz w:val="20"/>
        </w:rPr>
        <w:t xml:space="preserve"> </w:t>
      </w:r>
      <w:r w:rsidRPr="00D7456F">
        <w:rPr>
          <w:sz w:val="20"/>
        </w:rPr>
        <w:t>– 2025</w:t>
      </w:r>
      <w:r>
        <w:t>.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843"/>
        <w:gridCol w:w="2409"/>
        <w:gridCol w:w="3402"/>
      </w:tblGrid>
      <w:tr w:rsidR="006F0E8A" w:rsidRPr="0067118E" w14:paraId="5F67EDC8" w14:textId="77777777" w:rsidTr="00893594">
        <w:trPr>
          <w:trHeight w:val="584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2B9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5E0163" w14:textId="77777777" w:rsidR="006F0E8A" w:rsidRPr="006F0E8A" w:rsidRDefault="006F0E8A" w:rsidP="00893594">
            <w:pPr>
              <w:jc w:val="center"/>
              <w:rPr>
                <w:sz w:val="28"/>
                <w:szCs w:val="28"/>
              </w:rPr>
            </w:pPr>
            <w:r w:rsidRPr="006F0E8A">
              <w:rPr>
                <w:b/>
                <w:bCs/>
                <w:color w:val="FFFFFF" w:themeColor="background1"/>
                <w:sz w:val="28"/>
                <w:szCs w:val="28"/>
              </w:rPr>
              <w:t>Odsetki ustawowe za opóźnienie</w:t>
            </w:r>
          </w:p>
        </w:tc>
      </w:tr>
      <w:tr w:rsidR="006F0E8A" w:rsidRPr="0067118E" w14:paraId="06BAE474" w14:textId="77777777" w:rsidTr="00893594">
        <w:trPr>
          <w:trHeight w:val="584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1A020D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CD71E2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96B7AD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b/>
                <w:bCs/>
                <w:sz w:val="24"/>
                <w:szCs w:val="24"/>
              </w:rPr>
              <w:t>Oprocentowanie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15A1C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b/>
                <w:bCs/>
                <w:sz w:val="24"/>
                <w:szCs w:val="24"/>
              </w:rPr>
              <w:t>Podstawa</w:t>
            </w:r>
          </w:p>
        </w:tc>
      </w:tr>
      <w:tr w:rsidR="006F0E8A" w:rsidRPr="006C0E7A" w14:paraId="39BE24C9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DAE86B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2016-01-01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32624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2020-03-17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AB01AE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7,00%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136C3872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M.P.2016.47</w:t>
            </w:r>
          </w:p>
        </w:tc>
      </w:tr>
      <w:tr w:rsidR="006F0E8A" w:rsidRPr="006C0E7A" w14:paraId="66456F4A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615C6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2020-03-18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CE3634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2020-04-08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024A9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6,50%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0AF4A40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M.P.2020.627</w:t>
            </w:r>
          </w:p>
        </w:tc>
      </w:tr>
      <w:tr w:rsidR="006F0E8A" w:rsidRPr="006C0E7A" w14:paraId="470B8B94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CB666B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2020-04-09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24C600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2020-05-28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CCD182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6,00%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6B8E241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M.P.2020.627</w:t>
            </w:r>
          </w:p>
        </w:tc>
      </w:tr>
      <w:tr w:rsidR="006F0E8A" w:rsidRPr="006C0E7A" w14:paraId="5E0FBCDC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F6851C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2020-05-29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5D3C92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2021-10-06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E965C3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5,60%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07F1B093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M.P.2020.627</w:t>
            </w:r>
          </w:p>
        </w:tc>
      </w:tr>
      <w:tr w:rsidR="006F0E8A" w:rsidRPr="006C0E7A" w14:paraId="19271CDB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CD2C60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2021-10-07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2C1A4C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2021-11-03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98AA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6,00%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54493FF3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M.P.2021.953</w:t>
            </w:r>
          </w:p>
        </w:tc>
      </w:tr>
      <w:tr w:rsidR="006F0E8A" w:rsidRPr="006C0E7A" w14:paraId="5CFF6598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8AAD4B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2021-11-04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6BE6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2021-12-08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63836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6,75%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20B50EA4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M.P.2021.1097</w:t>
            </w:r>
          </w:p>
        </w:tc>
      </w:tr>
      <w:tr w:rsidR="006F0E8A" w:rsidRPr="006C0E7A" w14:paraId="09292E61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E96504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2021-12-09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D51A67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2022-01-04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62B3FC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7,25%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379FD132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M.P.2021.1202</w:t>
            </w:r>
          </w:p>
        </w:tc>
      </w:tr>
      <w:tr w:rsidR="006F0E8A" w:rsidRPr="006C0E7A" w14:paraId="6648A52F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E4F01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2022-01-05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DB8CAD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2022-02-08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B0BF62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7,75%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1CAAFA14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M.P.2022.109</w:t>
            </w:r>
          </w:p>
        </w:tc>
      </w:tr>
      <w:tr w:rsidR="006F0E8A" w:rsidRPr="006C0E7A" w14:paraId="3C186B43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5E6B3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2022-02-09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A026B5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2022-03-08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F9EB1B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8,25%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4BBD66AA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M.P.2022.285</w:t>
            </w:r>
          </w:p>
        </w:tc>
      </w:tr>
      <w:tr w:rsidR="006F0E8A" w:rsidRPr="006C0E7A" w14:paraId="12206295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D7CB93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2022-03-09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A97EE5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2022-04-06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615BF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9,00%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2E2D1236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M.P.2022.375</w:t>
            </w:r>
          </w:p>
        </w:tc>
      </w:tr>
      <w:tr w:rsidR="006F0E8A" w:rsidRPr="006C0E7A" w14:paraId="2848B125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72B41C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2022-04-07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748909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2022-05-05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BA09A5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10,00%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0710BDA9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M.P.2022.482</w:t>
            </w:r>
          </w:p>
        </w:tc>
      </w:tr>
      <w:tr w:rsidR="006F0E8A" w:rsidRPr="006C0E7A" w14:paraId="012AFBDE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C0AD7D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2022-05-06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CC4E1C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2022-06-08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D366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10,75%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067CEA0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M.P.2022.586</w:t>
            </w:r>
          </w:p>
        </w:tc>
      </w:tr>
      <w:tr w:rsidR="006F0E8A" w:rsidRPr="006C0E7A" w14:paraId="394A4CAE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D27A6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2022-06-09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B6E765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2022-07-07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D7D5B2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11,50%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022DFCDD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M.P.2022.673</w:t>
            </w:r>
          </w:p>
        </w:tc>
      </w:tr>
      <w:tr w:rsidR="006F0E8A" w:rsidRPr="006C0E7A" w14:paraId="3B0A8E1D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6C70FF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lastRenderedPageBreak/>
              <w:t>2022-07-08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37E9E9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2022-09-07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15727A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12,00%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0AD57C34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M.P.2022.710</w:t>
            </w:r>
          </w:p>
        </w:tc>
      </w:tr>
      <w:tr w:rsidR="006F0E8A" w:rsidRPr="006C0E7A" w14:paraId="51982759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AC35B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2022-09-08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254537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2023-09-06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D0993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12,25%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27C527E4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M.P.2022.943</w:t>
            </w:r>
          </w:p>
        </w:tc>
      </w:tr>
      <w:tr w:rsidR="006F0E8A" w:rsidRPr="006C0E7A" w14:paraId="1724A7B3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2A7326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2023-09-07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904F45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2023-10-04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3DFB6F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11,50%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6BE3A45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M.P.2023.1061</w:t>
            </w:r>
          </w:p>
        </w:tc>
      </w:tr>
      <w:tr w:rsidR="006F0E8A" w:rsidRPr="006C0E7A" w14:paraId="37C03C71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424EDF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2023-10-05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D8C0D7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2025-05-07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6ACD73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11,25%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E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38588A59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M.P.2023.1123</w:t>
            </w:r>
          </w:p>
        </w:tc>
      </w:tr>
      <w:tr w:rsidR="006F0E8A" w:rsidRPr="006C0E7A" w14:paraId="38D08CDF" w14:textId="77777777" w:rsidTr="00893594">
        <w:trPr>
          <w:trHeight w:val="58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B9929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2025-05-08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F9921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2025-06-30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25BA8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10,75%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CDDC"/>
            <w:tcMar>
              <w:top w:w="10" w:type="dxa"/>
              <w:left w:w="120" w:type="dxa"/>
              <w:bottom w:w="0" w:type="dxa"/>
              <w:right w:w="10" w:type="dxa"/>
            </w:tcMar>
            <w:vAlign w:val="center"/>
            <w:hideMark/>
          </w:tcPr>
          <w:p w14:paraId="7EB31F9C" w14:textId="77777777" w:rsidR="006F0E8A" w:rsidRPr="006F0E8A" w:rsidRDefault="006F0E8A" w:rsidP="00893594">
            <w:pPr>
              <w:jc w:val="center"/>
              <w:rPr>
                <w:sz w:val="24"/>
                <w:szCs w:val="24"/>
              </w:rPr>
            </w:pPr>
            <w:r w:rsidRPr="006F0E8A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M.P.2025.540</w:t>
            </w:r>
          </w:p>
        </w:tc>
      </w:tr>
    </w:tbl>
    <w:p w14:paraId="04E2A845" w14:textId="77777777" w:rsidR="006F0E8A" w:rsidRPr="00370D10" w:rsidRDefault="006F0E8A" w:rsidP="00423085">
      <w:pPr>
        <w:pStyle w:val="ARTartustawynprozporzdzenia"/>
        <w:ind w:firstLine="0"/>
      </w:pPr>
    </w:p>
    <w:p w14:paraId="501FEBD4" w14:textId="62B1ABD1" w:rsidR="00270D3F" w:rsidRDefault="00A11EAD" w:rsidP="000B56E2">
      <w:pPr>
        <w:pStyle w:val="NIEARTTEKSTtekstnieartykuowanynppodstprawnarozplubpreambua"/>
        <w:ind w:firstLine="708"/>
      </w:pPr>
      <w:r>
        <w:t>Projekt u</w:t>
      </w:r>
      <w:r w:rsidR="00370D10">
        <w:t>staw</w:t>
      </w:r>
      <w:r>
        <w:t>y</w:t>
      </w:r>
      <w:r w:rsidR="00370D10">
        <w:t xml:space="preserve"> nie wprowadza nowych</w:t>
      </w:r>
      <w:r w:rsidR="00626A49">
        <w:t xml:space="preserve"> ani odmiennych</w:t>
      </w:r>
      <w:r w:rsidR="00370D10">
        <w:t xml:space="preserve"> zasad </w:t>
      </w:r>
      <w:r w:rsidR="00626A49">
        <w:t>na</w:t>
      </w:r>
      <w:r w:rsidR="00370D10">
        <w:t>licz</w:t>
      </w:r>
      <w:r w:rsidR="00626A49">
        <w:t>a</w:t>
      </w:r>
      <w:r w:rsidR="00370D10">
        <w:t>nia odsetek, w porównaniu do ukształtowanych w Kodeksie cywilnym</w:t>
      </w:r>
      <w:r w:rsidR="00A832EE">
        <w:t xml:space="preserve"> oraz tych, które wynikną</w:t>
      </w:r>
      <w:r w:rsidR="00CA1638">
        <w:t xml:space="preserve"> bądź wynikną</w:t>
      </w:r>
      <w:r w:rsidR="00A832EE">
        <w:t xml:space="preserve"> z odpowiedzi na pytania prejudycjalne, kierowane w tym zakresie przez sądy. </w:t>
      </w:r>
      <w:r w:rsidR="00D7456F">
        <w:t xml:space="preserve">Obecnie na rozstrzygnięcie oczekują </w:t>
      </w:r>
      <w:r w:rsidR="00596E52">
        <w:t xml:space="preserve">m.in. pytania </w:t>
      </w:r>
      <w:r w:rsidR="00626A49">
        <w:t xml:space="preserve">dotyczące tych kwestii </w:t>
      </w:r>
      <w:r w:rsidR="00596E52">
        <w:t>w sprawach C-699/24 i C-903/24</w:t>
      </w:r>
      <w:r w:rsidR="000B56E2">
        <w:t xml:space="preserve">. </w:t>
      </w:r>
    </w:p>
    <w:p w14:paraId="145A4684" w14:textId="7D9A6A87" w:rsidR="005B7EB8" w:rsidRDefault="00A11EAD" w:rsidP="00A832EE">
      <w:pPr>
        <w:pStyle w:val="NIEARTTEKSTtekstnieartykuowanynppodstprawnarozplubpreambua"/>
        <w:ind w:firstLine="708"/>
      </w:pPr>
      <w:r>
        <w:t>Projekt u</w:t>
      </w:r>
      <w:r w:rsidR="00A32CAE">
        <w:t>staw</w:t>
      </w:r>
      <w:r>
        <w:t>y</w:t>
      </w:r>
      <w:r w:rsidR="007773D9">
        <w:t xml:space="preserve"> </w:t>
      </w:r>
      <w:r w:rsidR="00A5144B">
        <w:t>wyposaż</w:t>
      </w:r>
      <w:r w:rsidR="00A32CAE">
        <w:t>a</w:t>
      </w:r>
      <w:r w:rsidR="00A5144B">
        <w:t xml:space="preserve"> sąd</w:t>
      </w:r>
      <w:r w:rsidR="00A32CAE">
        <w:t>y</w:t>
      </w:r>
      <w:r w:rsidR="00A5144B">
        <w:t xml:space="preserve"> w instrumenty</w:t>
      </w:r>
      <w:r w:rsidR="00A04E1C">
        <w:t xml:space="preserve"> prawa procesowego</w:t>
      </w:r>
      <w:r w:rsidR="00A5144B">
        <w:t xml:space="preserve">, które pozwolą na </w:t>
      </w:r>
      <w:r w:rsidR="00A32CAE">
        <w:t>usprawnienie postępowania</w:t>
      </w:r>
      <w:r w:rsidR="00A04E1C">
        <w:t xml:space="preserve"> i</w:t>
      </w:r>
      <w:r w:rsidR="00A32CAE">
        <w:t xml:space="preserve"> </w:t>
      </w:r>
      <w:r w:rsidR="00A5144B">
        <w:t xml:space="preserve">rozładowanie zatorów wynikających z </w:t>
      </w:r>
      <w:r w:rsidR="00A32CAE">
        <w:t xml:space="preserve">intensywnego </w:t>
      </w:r>
      <w:r w:rsidR="00145E9E">
        <w:t xml:space="preserve">napływu </w:t>
      </w:r>
      <w:r w:rsidR="00A5144B">
        <w:t xml:space="preserve">w krótkim czasie ogromnej liczby spraw frankowych. </w:t>
      </w:r>
      <w:r w:rsidR="00CA7CE1">
        <w:t xml:space="preserve">Wprowadzane </w:t>
      </w:r>
      <w:r w:rsidR="00A5144B">
        <w:t>uregulowa</w:t>
      </w:r>
      <w:r w:rsidR="00A04E1C">
        <w:t>nia</w:t>
      </w:r>
      <w:r w:rsidR="00CA7CE1">
        <w:t xml:space="preserve"> o charakterze szczególnym</w:t>
      </w:r>
      <w:r w:rsidR="00A5144B">
        <w:t xml:space="preserve"> </w:t>
      </w:r>
      <w:r w:rsidR="00A04E1C">
        <w:t>umożliwi</w:t>
      </w:r>
      <w:r w:rsidR="000B56E2">
        <w:t>aj</w:t>
      </w:r>
      <w:r w:rsidR="00A04E1C">
        <w:t>ą</w:t>
      </w:r>
      <w:r w:rsidR="00A5144B">
        <w:t xml:space="preserve"> </w:t>
      </w:r>
      <w:r w:rsidR="007773D9">
        <w:t>sprawniejsz</w:t>
      </w:r>
      <w:r w:rsidR="00A04E1C">
        <w:t>e</w:t>
      </w:r>
      <w:r w:rsidR="007773D9">
        <w:t xml:space="preserve"> </w:t>
      </w:r>
      <w:r w:rsidR="00A5144B">
        <w:t>rozpoznawani</w:t>
      </w:r>
      <w:r w:rsidR="00A04E1C">
        <w:t>e</w:t>
      </w:r>
      <w:r w:rsidR="00A5144B">
        <w:t xml:space="preserve"> spraw frankowych i </w:t>
      </w:r>
      <w:r w:rsidR="00A5144B" w:rsidRPr="005B7EB8">
        <w:t>służ</w:t>
      </w:r>
      <w:r w:rsidR="00663BE7" w:rsidRPr="005B7EB8">
        <w:t>ą</w:t>
      </w:r>
      <w:r w:rsidR="00A5144B" w:rsidRPr="005B7EB8">
        <w:t xml:space="preserve"> </w:t>
      </w:r>
      <w:r w:rsidR="00A32CAE" w:rsidRPr="00542467">
        <w:t xml:space="preserve">zapewnieniu </w:t>
      </w:r>
      <w:r w:rsidR="00A5144B" w:rsidRPr="005B7EB8">
        <w:t>skutecznej ochron</w:t>
      </w:r>
      <w:r w:rsidR="00A32CAE" w:rsidRPr="00542467">
        <w:t>y</w:t>
      </w:r>
      <w:r w:rsidR="00A5144B" w:rsidRPr="005B7EB8">
        <w:t xml:space="preserve"> praw konsumentów.</w:t>
      </w:r>
      <w:r w:rsidR="00A5144B">
        <w:t xml:space="preserve"> </w:t>
      </w:r>
      <w:r w:rsidR="005A6BAB">
        <w:t>Możliwość</w:t>
      </w:r>
      <w:r w:rsidR="00A5144B">
        <w:t xml:space="preserve"> wprowadzeni</w:t>
      </w:r>
      <w:r w:rsidR="005A6BAB">
        <w:t>a</w:t>
      </w:r>
      <w:r w:rsidR="00A5144B">
        <w:t xml:space="preserve"> </w:t>
      </w:r>
      <w:r w:rsidR="005B7EB8">
        <w:t xml:space="preserve">nadzwyczajnych rozwiązań </w:t>
      </w:r>
      <w:r w:rsidR="005A6BAB">
        <w:t>wynika z faktu</w:t>
      </w:r>
      <w:r w:rsidR="00A5144B">
        <w:t xml:space="preserve">, że </w:t>
      </w:r>
      <w:r w:rsidR="00A832EE">
        <w:t>przeważająca</w:t>
      </w:r>
      <w:r w:rsidR="00A5144B">
        <w:t xml:space="preserve"> większość występujących w tych sprawach zagadnień prawnych została wyjaśniona w orzecznictwie</w:t>
      </w:r>
      <w:r w:rsidR="00A04E1C">
        <w:t xml:space="preserve"> -</w:t>
      </w:r>
      <w:r w:rsidR="00A5144B">
        <w:t xml:space="preserve"> </w:t>
      </w:r>
      <w:r w:rsidR="005B7EB8">
        <w:t xml:space="preserve">przede wszystkim </w:t>
      </w:r>
      <w:r w:rsidR="00A5144B">
        <w:t>Trybunału Sprawiedliwości Unii Europejskiej</w:t>
      </w:r>
      <w:r w:rsidR="005B7EB8">
        <w:t>, jak również</w:t>
      </w:r>
      <w:r w:rsidR="00A5144B">
        <w:t xml:space="preserve"> Sądu Najwyższego. </w:t>
      </w:r>
      <w:r w:rsidR="005B7EB8">
        <w:t>Co więcej, sprawy frankowe charakteryzują się niezwykle powtarza</w:t>
      </w:r>
      <w:r w:rsidR="009B6517">
        <w:t>l</w:t>
      </w:r>
      <w:r w:rsidR="005B7EB8">
        <w:t>nym stanem faktycznym</w:t>
      </w:r>
      <w:r w:rsidR="001953B8">
        <w:t>.</w:t>
      </w:r>
      <w:r w:rsidR="005B7EB8">
        <w:t xml:space="preserve"> </w:t>
      </w:r>
      <w:r w:rsidR="001953B8">
        <w:t xml:space="preserve">Orzecznictwo </w:t>
      </w:r>
      <w:r w:rsidR="005B7EB8">
        <w:t xml:space="preserve">na ich tle </w:t>
      </w:r>
      <w:r w:rsidR="00A5144B">
        <w:t>jest obecnie niemal całkowicie jednolite</w:t>
      </w:r>
      <w:r w:rsidR="005B7EB8">
        <w:t xml:space="preserve">. Według danych gromadzonych przez Ministerstwo Sprawiedliwości, </w:t>
      </w:r>
      <w:r w:rsidR="00C66F65">
        <w:t xml:space="preserve">spośród spraw frankowych rozpoznawanych w sądach okręgowych I instancji </w:t>
      </w:r>
      <w:r w:rsidR="00A356F4">
        <w:t>w postępowaniu procesowym – w I kwartale 2025</w:t>
      </w:r>
      <w:r w:rsidR="003A3999">
        <w:t xml:space="preserve"> r.</w:t>
      </w:r>
      <w:r w:rsidR="00A356F4">
        <w:t xml:space="preserve"> wyroki oddalające powództwo zapadły w</w:t>
      </w:r>
      <w:r w:rsidR="000B56E2">
        <w:t xml:space="preserve"> tylko</w:t>
      </w:r>
      <w:r w:rsidR="00A356F4">
        <w:t xml:space="preserve"> 3 % spraw zakończonych w tym okresie statystycznym</w:t>
      </w:r>
      <w:r w:rsidR="000B56E2">
        <w:t xml:space="preserve"> (na łączną liczbę 20 928 załatwionych spraw, oddalono 659</w:t>
      </w:r>
      <w:r w:rsidR="005373B8">
        <w:t xml:space="preserve"> powództw</w:t>
      </w:r>
      <w:r w:rsidR="000B56E2">
        <w:t>)</w:t>
      </w:r>
      <w:r w:rsidR="00A356F4">
        <w:t xml:space="preserve">.  </w:t>
      </w:r>
    </w:p>
    <w:p w14:paraId="011C1A50" w14:textId="5947D7AF" w:rsidR="001953B8" w:rsidRDefault="00A04E1C" w:rsidP="0093725C">
      <w:pPr>
        <w:pStyle w:val="NIEARTTEKSTtekstnieartykuowanynppodstprawnarozplubpreambua"/>
      </w:pPr>
      <w:r>
        <w:t>Taki stan faktyczny i prawny w odniesieniu do spraw frankowych</w:t>
      </w:r>
      <w:r w:rsidR="00A5144B">
        <w:t xml:space="preserve"> umożliwia i uzasadnia wprowadzenie pewnych odstępstw od ogólnych regulacji postępowania cywilnego, które pozwolą na </w:t>
      </w:r>
      <w:r w:rsidR="005A6BAB">
        <w:t xml:space="preserve">sprawniejsze </w:t>
      </w:r>
      <w:r w:rsidR="00A5144B">
        <w:t xml:space="preserve">rozpoznawanie </w:t>
      </w:r>
      <w:r w:rsidR="009B6517">
        <w:t xml:space="preserve">tych </w:t>
      </w:r>
      <w:r w:rsidR="00A5144B">
        <w:t>spraw. Projekt przewiduje także zachęty do cofania środków zaskarżenia</w:t>
      </w:r>
      <w:r w:rsidR="00AA1E4B">
        <w:t>, w szczególności w zakresie zwrotu części opłaty</w:t>
      </w:r>
      <w:r w:rsidR="00A5144B">
        <w:t>.</w:t>
      </w:r>
      <w:r>
        <w:t xml:space="preserve"> </w:t>
      </w:r>
    </w:p>
    <w:p w14:paraId="5661C178" w14:textId="54D89B11" w:rsidR="00A32CAE" w:rsidRDefault="00A04E1C" w:rsidP="0093725C">
      <w:pPr>
        <w:pStyle w:val="NIEARTTEKSTtekstnieartykuowanynppodstprawnarozplubpreambua"/>
      </w:pPr>
      <w:r>
        <w:lastRenderedPageBreak/>
        <w:t xml:space="preserve">Obecnie jeden kredyt frankowy </w:t>
      </w:r>
      <w:r w:rsidR="00EF2AAD">
        <w:t>staje się</w:t>
      </w:r>
      <w:r>
        <w:t xml:space="preserve"> zazwyczaj podstawą dwóch postępowań sądowych – jednego z </w:t>
      </w:r>
      <w:r w:rsidR="00EF2AAD">
        <w:t>powództwa</w:t>
      </w:r>
      <w:r>
        <w:t xml:space="preserve"> konsumenta i jednego z powództwa banku.</w:t>
      </w:r>
      <w:r w:rsidR="00EF2AAD">
        <w:t xml:space="preserve"> </w:t>
      </w:r>
      <w:r w:rsidR="00B61470" w:rsidRPr="00B61470">
        <w:t>Z</w:t>
      </w:r>
      <w:r w:rsidR="00EF2AAD" w:rsidRPr="00B61470">
        <w:t>ałożeni</w:t>
      </w:r>
      <w:r w:rsidR="00B61470" w:rsidRPr="00B61470">
        <w:t>em ustawy</w:t>
      </w:r>
      <w:r w:rsidR="00875545">
        <w:t xml:space="preserve"> jest</w:t>
      </w:r>
      <w:r w:rsidR="00EF2AAD" w:rsidRPr="00B61470">
        <w:t>, że rozczłonkowanie postępowań jest niekorzystne dla</w:t>
      </w:r>
      <w:r w:rsidR="00B61470" w:rsidRPr="00B61470">
        <w:t xml:space="preserve"> </w:t>
      </w:r>
      <w:r w:rsidR="00EF2AAD" w:rsidRPr="00B61470">
        <w:t>konsumentów</w:t>
      </w:r>
      <w:r w:rsidR="00B61470" w:rsidRPr="00B61470">
        <w:t>, ponieważ</w:t>
      </w:r>
      <w:r w:rsidR="00EF2AAD" w:rsidRPr="00B61470">
        <w:t xml:space="preserve"> uniemożliwia pełną realizację standardu ochrony </w:t>
      </w:r>
      <w:r w:rsidR="0093725C" w:rsidRPr="00B61470">
        <w:t xml:space="preserve">wynikającego z orzecznictwa </w:t>
      </w:r>
      <w:proofErr w:type="spellStart"/>
      <w:r w:rsidR="0093725C" w:rsidRPr="00B61470">
        <w:t>TSUE</w:t>
      </w:r>
      <w:proofErr w:type="spellEnd"/>
      <w:r w:rsidR="00EF2AAD" w:rsidRPr="00B61470">
        <w:t>.</w:t>
      </w:r>
      <w:r w:rsidR="00EF2AAD">
        <w:t xml:space="preserve"> </w:t>
      </w:r>
    </w:p>
    <w:p w14:paraId="6B6BBCA7" w14:textId="7626D33B" w:rsidR="00A32CAE" w:rsidRPr="00A32CAE" w:rsidRDefault="00A32CAE" w:rsidP="00542467">
      <w:pPr>
        <w:pStyle w:val="ARTartustawynprozporzdzenia"/>
      </w:pPr>
      <w:r>
        <w:t>Projekt został przygotowany w oparciu o propozycje zgłoszone przez sądy, w tym sędziów, którzy brali udział w pracach zespołu problemowego Komisji Kodyfikacyjnej Prawa Cywilnego, przygotowującego projekt ustawy, przy pełnym poszanowaniu standardu orzeczniczego Trybunału Sprawiedliwości Unii Europejskiej.</w:t>
      </w:r>
    </w:p>
    <w:p w14:paraId="5FCB67D1" w14:textId="201C1174" w:rsidR="00E17DF7" w:rsidRPr="00D04A3E" w:rsidRDefault="00A5144B" w:rsidP="00D04A3E">
      <w:pPr>
        <w:spacing w:line="360" w:lineRule="auto"/>
        <w:ind w:firstLine="510"/>
        <w:jc w:val="both"/>
        <w:rPr>
          <w:rFonts w:ascii="Times" w:hAnsi="Times" w:cs="Times"/>
          <w:spacing w:val="-2"/>
          <w:sz w:val="24"/>
          <w:szCs w:val="24"/>
        </w:rPr>
      </w:pPr>
      <w:r w:rsidRPr="00C40448">
        <w:rPr>
          <w:rFonts w:ascii="Times" w:hAnsi="Times" w:cs="Times"/>
          <w:sz w:val="24"/>
          <w:szCs w:val="24"/>
        </w:rPr>
        <w:t>Ograniczenie zakresu ustawy wyłącznie do spraw dotyczących kredytów frankowych znajduje uzasadnienie w skali problemu</w:t>
      </w:r>
      <w:r w:rsidR="00AA1E4B" w:rsidRPr="00C40448">
        <w:rPr>
          <w:rFonts w:ascii="Times" w:hAnsi="Times" w:cs="Times"/>
          <w:sz w:val="24"/>
          <w:szCs w:val="24"/>
        </w:rPr>
        <w:t>, jakie stanowią one</w:t>
      </w:r>
      <w:r w:rsidRPr="00C40448">
        <w:rPr>
          <w:rFonts w:ascii="Times" w:hAnsi="Times" w:cs="Times"/>
          <w:sz w:val="24"/>
          <w:szCs w:val="24"/>
        </w:rPr>
        <w:t xml:space="preserve"> dla wymiaru sprawiedliwości. </w:t>
      </w:r>
      <w:r w:rsidR="0084701B">
        <w:rPr>
          <w:rFonts w:ascii="Times" w:hAnsi="Times" w:cs="Times"/>
          <w:sz w:val="24"/>
          <w:szCs w:val="24"/>
        </w:rPr>
        <w:t>To k</w:t>
      </w:r>
      <w:r w:rsidRPr="00C40448">
        <w:rPr>
          <w:rFonts w:ascii="Times" w:hAnsi="Times" w:cs="Times"/>
          <w:sz w:val="24"/>
          <w:szCs w:val="24"/>
        </w:rPr>
        <w:t xml:space="preserve">redyty </w:t>
      </w:r>
      <w:r w:rsidR="00B61470" w:rsidRPr="00C40448">
        <w:rPr>
          <w:rFonts w:ascii="Times" w:hAnsi="Times" w:cs="Times"/>
          <w:sz w:val="24"/>
          <w:szCs w:val="24"/>
        </w:rPr>
        <w:t>frankowe</w:t>
      </w:r>
      <w:r w:rsidRPr="00C40448">
        <w:rPr>
          <w:rFonts w:ascii="Times" w:hAnsi="Times" w:cs="Times"/>
          <w:sz w:val="24"/>
          <w:szCs w:val="24"/>
        </w:rPr>
        <w:t xml:space="preserve"> generują </w:t>
      </w:r>
      <w:r w:rsidR="0084701B">
        <w:rPr>
          <w:rFonts w:ascii="Times" w:hAnsi="Times" w:cs="Times"/>
          <w:sz w:val="24"/>
          <w:szCs w:val="24"/>
        </w:rPr>
        <w:t xml:space="preserve">bowiem </w:t>
      </w:r>
      <w:r w:rsidRPr="00C40448">
        <w:rPr>
          <w:rFonts w:ascii="Times" w:hAnsi="Times" w:cs="Times"/>
          <w:sz w:val="24"/>
          <w:szCs w:val="24"/>
        </w:rPr>
        <w:t>masowy napływ spraw sądowych. W odróżnieniu od</w:t>
      </w:r>
      <w:r w:rsidR="00AA1E4B" w:rsidRPr="00C40448">
        <w:rPr>
          <w:rFonts w:ascii="Times" w:hAnsi="Times" w:cs="Times"/>
          <w:sz w:val="24"/>
          <w:szCs w:val="24"/>
        </w:rPr>
        <w:t xml:space="preserve"> </w:t>
      </w:r>
      <w:r w:rsidRPr="00C40448">
        <w:rPr>
          <w:rFonts w:ascii="Times" w:hAnsi="Times" w:cs="Times"/>
          <w:sz w:val="24"/>
          <w:szCs w:val="24"/>
        </w:rPr>
        <w:t xml:space="preserve">kredytów frankowych, umowy waloryzowane do innych walut obcych występują w znacznie mniejszej skali i nie powodują analogicznych zatorów w sądach. </w:t>
      </w:r>
      <w:r w:rsidR="00E17DF7" w:rsidRPr="00C40448">
        <w:rPr>
          <w:rFonts w:ascii="Times" w:hAnsi="Times" w:cs="Times"/>
          <w:sz w:val="24"/>
          <w:szCs w:val="24"/>
        </w:rPr>
        <w:t xml:space="preserve">Według statystyk gromadzonych przez Ministerstwo Sprawiedliwości, na koniec I kwartału 2025 r. toczyło się 195 770 spraw cywilnych dot. roszczeń z umów bankowych denominowanych /indeksowanych do franka szwajcarskiego (sprawy o symbolu 049 </w:t>
      </w:r>
      <w:proofErr w:type="spellStart"/>
      <w:r w:rsidR="00E17DF7" w:rsidRPr="00C40448">
        <w:rPr>
          <w:rFonts w:ascii="Times" w:hAnsi="Times" w:cs="Times"/>
          <w:sz w:val="24"/>
          <w:szCs w:val="24"/>
        </w:rPr>
        <w:t>cf</w:t>
      </w:r>
      <w:proofErr w:type="spellEnd"/>
      <w:r w:rsidR="00E17DF7" w:rsidRPr="00C40448">
        <w:rPr>
          <w:rFonts w:ascii="Times" w:hAnsi="Times" w:cs="Times"/>
          <w:sz w:val="24"/>
          <w:szCs w:val="24"/>
        </w:rPr>
        <w:t xml:space="preserve">). </w:t>
      </w:r>
      <w:r w:rsidR="00E17DF7" w:rsidRPr="00C40448">
        <w:rPr>
          <w:rFonts w:ascii="Times" w:hAnsi="Times" w:cs="Times"/>
          <w:spacing w:val="-2"/>
          <w:sz w:val="24"/>
          <w:szCs w:val="24"/>
        </w:rPr>
        <w:t xml:space="preserve">W I kwartale 2025 roku do sądów </w:t>
      </w:r>
      <w:r w:rsidR="00E17DF7" w:rsidRPr="00C40448">
        <w:rPr>
          <w:rFonts w:ascii="Times" w:hAnsi="Times" w:cs="Times"/>
          <w:spacing w:val="-2"/>
          <w:sz w:val="24"/>
          <w:szCs w:val="24"/>
          <w:u w:val="single"/>
        </w:rPr>
        <w:t>pierwszej instancji</w:t>
      </w:r>
      <w:r w:rsidR="00E17DF7" w:rsidRPr="00C40448">
        <w:rPr>
          <w:rFonts w:ascii="Times" w:hAnsi="Times" w:cs="Times"/>
          <w:spacing w:val="-2"/>
          <w:sz w:val="24"/>
          <w:szCs w:val="24"/>
        </w:rPr>
        <w:t xml:space="preserve"> wpłynęło 12 606 spraw z zakresu roszczeń z umów bankowych denominowanych/indeksowanych do franka szwajcarskiego, zaś do sądów </w:t>
      </w:r>
      <w:r w:rsidR="00E17DF7" w:rsidRPr="00C40448">
        <w:rPr>
          <w:rFonts w:ascii="Times" w:hAnsi="Times" w:cs="Times"/>
          <w:spacing w:val="-2"/>
          <w:sz w:val="24"/>
          <w:szCs w:val="24"/>
          <w:u w:val="single"/>
        </w:rPr>
        <w:t>drugiej instancji</w:t>
      </w:r>
      <w:r w:rsidR="00E17DF7" w:rsidRPr="00C40448">
        <w:rPr>
          <w:rFonts w:ascii="Times" w:hAnsi="Times" w:cs="Times"/>
          <w:spacing w:val="-2"/>
          <w:sz w:val="24"/>
          <w:szCs w:val="24"/>
        </w:rPr>
        <w:t xml:space="preserve"> wpłynęło w 12 786 tych spraw. Oznacza to, iż łącznie w I kwartale 2025 wpłynęło 25 392 tych spraw. Łącznie w I kwartale 2025 r., załatwiono </w:t>
      </w:r>
      <w:r w:rsidR="00E17DF7" w:rsidRPr="00D04A3E">
        <w:rPr>
          <w:rFonts w:ascii="Times" w:hAnsi="Times" w:cs="Times"/>
          <w:spacing w:val="-2"/>
          <w:sz w:val="24"/>
          <w:szCs w:val="24"/>
        </w:rPr>
        <w:t>33</w:t>
      </w:r>
      <w:r w:rsidR="00EC72EF" w:rsidRPr="00D04A3E">
        <w:rPr>
          <w:rFonts w:ascii="Times" w:hAnsi="Times" w:cs="Times"/>
          <w:spacing w:val="-2"/>
          <w:sz w:val="24"/>
          <w:szCs w:val="24"/>
        </w:rPr>
        <w:t> </w:t>
      </w:r>
      <w:r w:rsidR="00E17DF7" w:rsidRPr="00D04A3E">
        <w:rPr>
          <w:rFonts w:ascii="Times" w:hAnsi="Times" w:cs="Times"/>
          <w:spacing w:val="-2"/>
          <w:sz w:val="24"/>
          <w:szCs w:val="24"/>
        </w:rPr>
        <w:t>68</w:t>
      </w:r>
      <w:r w:rsidR="00EC72EF" w:rsidRPr="00D04A3E">
        <w:rPr>
          <w:rFonts w:ascii="Times" w:hAnsi="Times" w:cs="Times"/>
          <w:spacing w:val="-2"/>
          <w:sz w:val="24"/>
          <w:szCs w:val="24"/>
        </w:rPr>
        <w:t xml:space="preserve">6 </w:t>
      </w:r>
      <w:r w:rsidR="00E17DF7" w:rsidRPr="00D04A3E">
        <w:rPr>
          <w:rFonts w:ascii="Times" w:hAnsi="Times" w:cs="Times"/>
          <w:spacing w:val="-2"/>
          <w:sz w:val="24"/>
          <w:szCs w:val="24"/>
        </w:rPr>
        <w:t>spraw</w:t>
      </w:r>
      <w:r w:rsidR="00E17DF7" w:rsidRPr="00C40448">
        <w:rPr>
          <w:rFonts w:ascii="Times" w:hAnsi="Times" w:cs="Times"/>
          <w:spacing w:val="-2"/>
          <w:sz w:val="24"/>
          <w:szCs w:val="24"/>
        </w:rPr>
        <w:t xml:space="preserve"> frankowych (o symbolu 049 </w:t>
      </w:r>
      <w:proofErr w:type="spellStart"/>
      <w:r w:rsidR="00E17DF7" w:rsidRPr="00C40448">
        <w:rPr>
          <w:rFonts w:ascii="Times" w:hAnsi="Times" w:cs="Times"/>
          <w:spacing w:val="-2"/>
          <w:sz w:val="24"/>
          <w:szCs w:val="24"/>
        </w:rPr>
        <w:t>cf</w:t>
      </w:r>
      <w:proofErr w:type="spellEnd"/>
      <w:r w:rsidR="00E17DF7" w:rsidRPr="00C40448">
        <w:rPr>
          <w:rFonts w:ascii="Times" w:hAnsi="Times" w:cs="Times"/>
          <w:spacing w:val="-2"/>
          <w:sz w:val="24"/>
          <w:szCs w:val="24"/>
        </w:rPr>
        <w:t>)</w:t>
      </w:r>
      <w:r w:rsidR="00CA2CA8" w:rsidRPr="00C40448">
        <w:rPr>
          <w:rFonts w:ascii="Times" w:hAnsi="Times" w:cs="Times"/>
          <w:spacing w:val="-2"/>
          <w:sz w:val="24"/>
          <w:szCs w:val="24"/>
        </w:rPr>
        <w:t xml:space="preserve">, </w:t>
      </w:r>
      <w:r w:rsidR="00E17DF7" w:rsidRPr="00C40448">
        <w:rPr>
          <w:rFonts w:ascii="Times" w:hAnsi="Times" w:cs="Times"/>
          <w:spacing w:val="-2"/>
          <w:sz w:val="24"/>
          <w:szCs w:val="24"/>
        </w:rPr>
        <w:t xml:space="preserve">z czego 22 581 przez sądy I instancji, zaś 11 105 przez sądy II instancji. </w:t>
      </w:r>
      <w:r w:rsidR="00E17DF7" w:rsidRPr="00C40448">
        <w:rPr>
          <w:rFonts w:ascii="Times" w:hAnsi="Times" w:cs="Times"/>
          <w:sz w:val="24"/>
          <w:szCs w:val="24"/>
        </w:rPr>
        <w:t xml:space="preserve">Spraw z umów kredytowych waloryzowanych / indeksowanych do waluty innej niż CHF (tj. spraw cywilnych dot. roszczeń z umów bankowych denominowanych /indeksowanych do waluty innej niż waluta polska z wyłączeniem denominowanych /indeksowanych do franka szwajcarskiego - o symbolu 049 c) na koniec I kwartału 2025 pozostało do rozpoznania łącznie 4 791, z czego w sądach apelacyjnych 357 spraw, zaś w sądach okręgowych I instancji 4 285 spraw. </w:t>
      </w:r>
    </w:p>
    <w:p w14:paraId="3CC94F6B" w14:textId="11B306D9" w:rsidR="00BA08A8" w:rsidRDefault="00A5144B" w:rsidP="00227016">
      <w:pPr>
        <w:pStyle w:val="NIEARTTEKSTtekstnieartykuowanynppodstprawnarozplubpreambua"/>
      </w:pPr>
      <w:r>
        <w:t>W związku z</w:t>
      </w:r>
      <w:r w:rsidR="00227016">
        <w:t xml:space="preserve">e zdecydowanie </w:t>
      </w:r>
      <w:r>
        <w:t xml:space="preserve">mniejszą skalą problemu brak jest potrzeby oraz uzasadnionych podstaw do wprowadzania wobec takich spraw rozwiązań szczególnych, które wiązałyby się z </w:t>
      </w:r>
      <w:r w:rsidR="00AA1E4B">
        <w:t>istotnymi odstępstwami od ogólnych regulacji</w:t>
      </w:r>
      <w:r>
        <w:t xml:space="preserve"> procesowych.</w:t>
      </w:r>
      <w:r w:rsidR="008747A1">
        <w:t xml:space="preserve"> Jednocześnie – ze </w:t>
      </w:r>
      <w:r w:rsidR="007861F9">
        <w:t xml:space="preserve"> względu na charakter odstępstw od zasad ogólnych, które wprowadza ustawa</w:t>
      </w:r>
      <w:r w:rsidR="008747A1">
        <w:t xml:space="preserve"> – </w:t>
      </w:r>
      <w:r w:rsidR="007861F9">
        <w:t xml:space="preserve"> </w:t>
      </w:r>
      <w:r w:rsidR="008747A1">
        <w:t xml:space="preserve">powinna </w:t>
      </w:r>
      <w:r w:rsidR="00CA40EE">
        <w:t xml:space="preserve">być ona stosowana wyłącznie w tym zakresie, </w:t>
      </w:r>
      <w:r w:rsidR="008747A1">
        <w:t xml:space="preserve">w którym </w:t>
      </w:r>
      <w:r w:rsidR="00CA40EE">
        <w:t xml:space="preserve">standard orzeczniczy jest całkowicie ustabilizowany. </w:t>
      </w:r>
    </w:p>
    <w:p w14:paraId="11F88D8C" w14:textId="3DB21BA4" w:rsidR="00BA08A8" w:rsidRDefault="00A5144B">
      <w:pPr>
        <w:pStyle w:val="NIEARTTEKSTtekstnieartykuowanynppodstprawnarozplubpreambua"/>
        <w:ind w:firstLine="0"/>
      </w:pPr>
      <w:r>
        <w:tab/>
      </w:r>
    </w:p>
    <w:p w14:paraId="075AE6E4" w14:textId="77777777" w:rsidR="00BA08A8" w:rsidRDefault="00A5144B">
      <w:pPr>
        <w:pStyle w:val="NIEARTTEKSTtekstnieartykuowanynppodstprawnarozplubpreambua"/>
        <w:rPr>
          <w:b/>
        </w:rPr>
      </w:pPr>
      <w:r>
        <w:rPr>
          <w:b/>
        </w:rPr>
        <w:lastRenderedPageBreak/>
        <w:t>Zakres zastosowania i struktura projektu ustawy</w:t>
      </w:r>
    </w:p>
    <w:p w14:paraId="455860B1" w14:textId="4AAE0611" w:rsidR="00BA08A8" w:rsidRDefault="00A5144B">
      <w:pPr>
        <w:pStyle w:val="NIEARTTEKSTtekstnieartykuowanynppodstprawnarozplubpreambua"/>
      </w:pPr>
      <w:r>
        <w:t xml:space="preserve">Ze względu na szczególny charakter rozwiązań zmierzających do </w:t>
      </w:r>
      <w:r w:rsidR="00227016">
        <w:t xml:space="preserve">sprawniejszego </w:t>
      </w:r>
      <w:r>
        <w:t xml:space="preserve">rozpoznawania spraw frankowych (a co za tym idzie – przyspieszenia rozpoznawania wszystkich spraw przez sądy okręgowe i apelacyjne), nie zostały one wprowadzone do Kodeksu postępowania cywilnego, lecz zawarte w odrębnej ustawie. Zgodnie z art. 2 ust. 1 projektu w sprawach nieuregulowanych w projekcie ustawy będą miały zastosowanie przepisy ustawy z dnia 17 listopada 1964 r. Kodeks postępowania cywilnego (Dz. U. z 2024 r. poz. 1568 i 1841 oraz z 2025 r. poz. 620). Ze względu na to, że nie można w sposób precyzyjny przewidzieć, jak szybko proponowane regulacje przyniosą zakładane efekty, nie określono z góry okresu obowiązywania ustawy. </w:t>
      </w:r>
      <w:r w:rsidR="005F11DC">
        <w:t>Przyjmuje</w:t>
      </w:r>
      <w:r>
        <w:t xml:space="preserve"> się, że ustawa zostanie uchylona wtedy, kiedy</w:t>
      </w:r>
      <w:r w:rsidR="00227016">
        <w:t xml:space="preserve"> zostanie zrealizowany cel, dla którego została uchwalona</w:t>
      </w:r>
      <w:r>
        <w:t>.</w:t>
      </w:r>
    </w:p>
    <w:p w14:paraId="6A82320D" w14:textId="602E89C7" w:rsidR="00BA08A8" w:rsidRDefault="00A5144B">
      <w:pPr>
        <w:pStyle w:val="NIEARTTEKSTtekstnieartykuowanynppodstprawnarozplubpreambua"/>
      </w:pPr>
      <w:r>
        <w:t>Artykuł</w:t>
      </w:r>
      <w:r w:rsidR="005373B8">
        <w:t>y</w:t>
      </w:r>
      <w:r>
        <w:t xml:space="preserve"> 1 i 2 projektu określa</w:t>
      </w:r>
      <w:r w:rsidR="005373B8">
        <w:t>ją</w:t>
      </w:r>
      <w:r>
        <w:t xml:space="preserve"> zakres obowiązywania ustawy. W konsekwencji dalsze przepisy będą miały co do zasady (z zastrzeżeniem nowelizacji innych ustaw) zastosowanie jedynie w zdefiniowanych w art. 1 sprawach o roszczenia związane z zawartą z konsumentem umową kredytu</w:t>
      </w:r>
      <w:r w:rsidR="009D37A5">
        <w:t xml:space="preserve"> lub pożyczki hipotecznej,</w:t>
      </w:r>
      <w:r>
        <w:t xml:space="preserve"> denominowan</w:t>
      </w:r>
      <w:r w:rsidR="009D37A5">
        <w:t>ych</w:t>
      </w:r>
      <w:r>
        <w:t xml:space="preserve"> lub indeksowan</w:t>
      </w:r>
      <w:r w:rsidR="009D37A5">
        <w:t>ych</w:t>
      </w:r>
      <w:r>
        <w:t xml:space="preserve"> do franka szwajcarskiego (CHF).</w:t>
      </w:r>
    </w:p>
    <w:p w14:paraId="1FC70F11" w14:textId="56E71C25" w:rsidR="00BA08A8" w:rsidRDefault="00227016">
      <w:pPr>
        <w:pStyle w:val="NIEARTTEKSTtekstnieartykuowanynppodstprawnarozplubpreambua"/>
      </w:pPr>
      <w:r>
        <w:t xml:space="preserve">Zdecydowana większość </w:t>
      </w:r>
      <w:r w:rsidR="009D37A5">
        <w:t xml:space="preserve">przepisów </w:t>
      </w:r>
      <w:r>
        <w:t>zawartych w projektowanej ustawie – pozwalających na uproszczenie i usprawnienie postępowania sądowego – ma charakter fakultatywny (np. rozpoznanie sprawy na posiedzeniu niejawnym, odebranie zeznań strony na piśmie, możliwość podejmowania określonych czynności przez referendarza sądowego). Rozwiązania te nie powinny mieć zastosowania, jeżeli sprawa zdefiniowana w art. 1 ma wyjątkowo charakter nietypowy. Decyzje co do zastosowania wprowadzonych przez projekt szczególnych uregulowań podejmował będzie każdorazowo skład rozpoznający daną sprawę.</w:t>
      </w:r>
    </w:p>
    <w:p w14:paraId="3299B9B2" w14:textId="14030D87" w:rsidR="00BA08A8" w:rsidRDefault="00A5144B">
      <w:pPr>
        <w:pStyle w:val="NIEARTTEKSTtekstnieartykuowanynppodstprawnarozplubpreambua"/>
      </w:pPr>
      <w:r>
        <w:rPr>
          <w:rStyle w:val="Ppogrubienie"/>
        </w:rPr>
        <w:t>Rozwiązania szczegółowe</w:t>
      </w:r>
    </w:p>
    <w:p w14:paraId="4E75B62F" w14:textId="6CEECA61" w:rsidR="00BA08A8" w:rsidRDefault="00A5144B">
      <w:pPr>
        <w:pStyle w:val="NIEARTTEKSTtekstnieartykuowanynppodstprawnarozplubpreambua"/>
      </w:pPr>
      <w:r>
        <w:t xml:space="preserve">1. </w:t>
      </w:r>
      <w:r w:rsidR="009656FC">
        <w:t>A</w:t>
      </w:r>
      <w:r>
        <w:t>rt</w:t>
      </w:r>
      <w:r w:rsidR="009656FC">
        <w:t>ykuł</w:t>
      </w:r>
      <w:r>
        <w:t xml:space="preserve"> 1 ust. 1 </w:t>
      </w:r>
      <w:r w:rsidR="009656FC">
        <w:t xml:space="preserve">ogranicza </w:t>
      </w:r>
      <w:r>
        <w:t xml:space="preserve">zakres zastosowania ustawy do rozpoznawanych w sądowym postępowaniu cywilnym w trybie procesowym spraw o roszczenia związane z zawartą z konsumentem: </w:t>
      </w:r>
    </w:p>
    <w:p w14:paraId="14DAFEB8" w14:textId="77777777" w:rsidR="00BA08A8" w:rsidRDefault="00A5144B">
      <w:pPr>
        <w:pStyle w:val="NIEARTTEKSTtekstnieartykuowanynppodstprawnarozplubpreambua"/>
      </w:pPr>
      <w:r>
        <w:t>1)</w:t>
      </w:r>
      <w:r>
        <w:tab/>
        <w:t xml:space="preserve">umową kredytu denominowanego lub indeksowanego do franka szwajcarskiego (CHF), lub </w:t>
      </w:r>
    </w:p>
    <w:p w14:paraId="306AA3EC" w14:textId="011AE34C" w:rsidR="00BA08A8" w:rsidRDefault="00A5144B">
      <w:pPr>
        <w:pStyle w:val="NIEARTTEKSTtekstnieartykuowanynppodstprawnarozplubpreambua"/>
      </w:pPr>
      <w:r>
        <w:t>2)</w:t>
      </w:r>
      <w:r>
        <w:tab/>
        <w:t xml:space="preserve">umową pożyczki hipotecznej denominowanej lub indeksowanej do franka szwajcarskiego (CHF) </w:t>
      </w:r>
    </w:p>
    <w:p w14:paraId="4E2ECB53" w14:textId="4DF2168D" w:rsidR="00CE4E84" w:rsidRPr="00CE4E84" w:rsidRDefault="00A5144B" w:rsidP="005F11DC">
      <w:pPr>
        <w:pStyle w:val="NIEARTTEKSTtekstnieartykuowanynppodstprawnarozplubpreambua"/>
      </w:pPr>
      <w:r>
        <w:lastRenderedPageBreak/>
        <w:t>- o ile konsument ten jest stroną postępowania.</w:t>
      </w:r>
      <w:r w:rsidR="009656FC">
        <w:t xml:space="preserve"> </w:t>
      </w:r>
      <w:r w:rsidR="00067B1F">
        <w:t xml:space="preserve">Oznacza to, że projekt nie obejmuje </w:t>
      </w:r>
      <w:r w:rsidR="00CE4E84">
        <w:t>spraw odnosząc</w:t>
      </w:r>
      <w:r w:rsidR="00067B1F">
        <w:t>ych</w:t>
      </w:r>
      <w:r w:rsidR="00CE4E84">
        <w:t xml:space="preserve"> się do umów zawartych – jako kredytobiorców – przez osoby prawne i jednostki organizacyjne mające zdolność prawną, jak również umów zawartych przez osoby fizyczne działające jako przedsiębiorcy w ramach prowadzonej działalności gospodarczej.</w:t>
      </w:r>
      <w:r w:rsidR="00AA5B6C">
        <w:t xml:space="preserve"> Roszczenia tych podmiotów nie odwołują się do przepisów </w:t>
      </w:r>
      <w:r w:rsidR="00C6784F">
        <w:t xml:space="preserve">o </w:t>
      </w:r>
      <w:r w:rsidR="00AA5B6C">
        <w:t>ochron</w:t>
      </w:r>
      <w:r w:rsidR="00C6784F">
        <w:t>ie</w:t>
      </w:r>
      <w:r w:rsidR="00AA5B6C">
        <w:t xml:space="preserve"> konsumenckiej</w:t>
      </w:r>
      <w:r w:rsidR="00C6784F">
        <w:t>, zakładającej asymetrię pozycji stron umowy.</w:t>
      </w:r>
      <w:r w:rsidR="00CE4E84">
        <w:t xml:space="preserve"> Do zastosowania ustawy będzie konieczne, aby konsument, który zawarł umowę (z zastrzeżeniem art. 1 ust. 2), był stroną postępowania sądowego. Projekt ustawy nie obejmuje zatem postępowań z udziałem podmiotów, które nabyły wierzytelności od konsumenta, który był stroną umowy kredytu denominowanego lub indeksowanego do franka szwajcarskiego.</w:t>
      </w:r>
      <w:r w:rsidR="009814DC" w:rsidRPr="009814DC">
        <w:t xml:space="preserve"> </w:t>
      </w:r>
      <w:r w:rsidR="00610C4D">
        <w:t xml:space="preserve">Zapobiega to wykorzystaniu proponowanych rozwiązań jako </w:t>
      </w:r>
      <w:r w:rsidR="00610C4D" w:rsidRPr="00610C4D">
        <w:t>narzędzi</w:t>
      </w:r>
      <w:r w:rsidR="00610C4D">
        <w:t>a</w:t>
      </w:r>
      <w:r w:rsidR="00610C4D" w:rsidRPr="00610C4D">
        <w:t xml:space="preserve"> dla podmiotów komercyjnych, które skupowałyby wierzytelności konsumenckie w celu osiągnięcia zysku.</w:t>
      </w:r>
    </w:p>
    <w:p w14:paraId="6D970E7A" w14:textId="1649D9FF" w:rsidR="00784698" w:rsidRPr="00784698" w:rsidRDefault="00784698" w:rsidP="00AA5B6C">
      <w:pPr>
        <w:pStyle w:val="ARTartustawynprozporzdzenia"/>
      </w:pPr>
      <w:r>
        <w:t>Zgodnie z art. 1 ust. 1 ustawa ma zastosowanie wyłącznie do spraw rozpoznawanych w trybie procesowym</w:t>
      </w:r>
      <w:r w:rsidR="00FB35C5">
        <w:t>.</w:t>
      </w:r>
      <w:r>
        <w:t xml:space="preserve"> </w:t>
      </w:r>
    </w:p>
    <w:p w14:paraId="7EE78ED0" w14:textId="1C1A5B39" w:rsidR="00BA08A8" w:rsidRDefault="00A5144B">
      <w:pPr>
        <w:pStyle w:val="NIEARTTEKSTtekstnieartykuowanynppodstprawnarozplubpreambua"/>
      </w:pPr>
      <w:r>
        <w:t>Przepis art. 1 ust. 2 rozszerza zakres zastosowania ustawy na sprawy z udziałem spadkobierców konsumenta, z którym została zawarta umowa frankowa oraz konsumenta, który przystąpił do długu wynikającego z tej umowy, poręczył za ten dług lub</w:t>
      </w:r>
      <w:r w:rsidR="00A51847">
        <w:t xml:space="preserve"> osoby, która</w:t>
      </w:r>
      <w:r>
        <w:t xml:space="preserve"> ponosi odpowiedzialność rzeczową za jego spłatę </w:t>
      </w:r>
      <w:r w:rsidR="00656618">
        <w:t>Takie r</w:t>
      </w:r>
      <w:r>
        <w:t xml:space="preserve">ozszerzenie </w:t>
      </w:r>
      <w:r w:rsidR="00656618">
        <w:t>motywuje fakt</w:t>
      </w:r>
      <w:r>
        <w:t>, że sytuacja procesowa spadkobierców konsumenta oraz osoby przystępującej do umowy kredytu jest analogiczna do sytuacji konsumenta zawierającego umowę kredytu, co uzasadnia stosowanie wobec nich identycznych zasad. W ob</w:t>
      </w:r>
      <w:r w:rsidR="009B6517">
        <w:t>ydw</w:t>
      </w:r>
      <w:r>
        <w:t>u przypadkach strony znajdują się w podobnej pozycji prawnej względem banku i ponoszą lub mogą ponosić ciężar związany z wykonaniem umowy kredytu. Odpowiedzialność poręczyciela i dłużnika rzeczowego jest akcesoryjna i uzależniona od ważności umowy kredytu, co również przemawia za stosowaniem projektowanych regulacji do tej kategorii podmiotów.</w:t>
      </w:r>
    </w:p>
    <w:p w14:paraId="145EB913" w14:textId="77777777" w:rsidR="00BA08A8" w:rsidRDefault="00A5144B">
      <w:pPr>
        <w:pStyle w:val="ARTartustawynprozporzdzenia"/>
      </w:pPr>
      <w:r>
        <w:t>Należy podkreślić, że ustawa będzie miała również zastosowanie do sytuacji, w której umowa kredytu lub hipotecznej pożyczki została ukształtowana jako umowa waloryzowana do franka szwajcarskiego w wyniku aneksowania pierwotnej umowy, która nie miała takiego charakteru. Oznacza to, że szczególne regulacje przewidziane w projekcie obejmą także przypadki, gdzie konsument zawarł początkowo umowę kredytu w złotych polskich, a następnie w drodze aneksu została ona przekształcona w umowę denominowaną lub indeksowaną do franka szwajcarskiego.</w:t>
      </w:r>
    </w:p>
    <w:p w14:paraId="10EEDCF4" w14:textId="599D5C32" w:rsidR="00BA08A8" w:rsidRDefault="005F11DC">
      <w:pPr>
        <w:pStyle w:val="NIEARTTEKSTtekstnieartykuowanynppodstprawnarozplubpreambua"/>
      </w:pPr>
      <w:r>
        <w:lastRenderedPageBreak/>
        <w:t>A</w:t>
      </w:r>
      <w:r w:rsidR="00A5144B">
        <w:t>rt</w:t>
      </w:r>
      <w:r>
        <w:t>ykuł</w:t>
      </w:r>
      <w:r w:rsidR="00A5144B">
        <w:t xml:space="preserve"> 1 ust. 3 zaw</w:t>
      </w:r>
      <w:r>
        <w:t>iera</w:t>
      </w:r>
      <w:r w:rsidR="00A5144B">
        <w:t xml:space="preserve"> definicję legalną, zgodnie z którą ilekroć w przepisach niniejszej ustawy mowa jest o „umowie kredytu” rozumie się przez to zawartą przez konsumenta umowę kredytu denominowanego lub indeksowanego do franka szwajcarskiego (CHF) lub umowę pożyczki hipotecznej denominowanej lub indeksowanej do franka szwajcarskiego (CHF). </w:t>
      </w:r>
      <w:r w:rsidR="006E7707">
        <w:t>Taki zabieg legislacyjny p</w:t>
      </w:r>
      <w:r w:rsidR="00A5144B">
        <w:t>ozw</w:t>
      </w:r>
      <w:r w:rsidR="006E7707">
        <w:t>ala</w:t>
      </w:r>
      <w:r w:rsidR="00A5144B">
        <w:t xml:space="preserve"> </w:t>
      </w:r>
      <w:r w:rsidR="00EB7A01">
        <w:t xml:space="preserve">uprościć </w:t>
      </w:r>
      <w:r w:rsidR="00A5144B">
        <w:t>dalsz</w:t>
      </w:r>
      <w:r w:rsidR="00EB7A01">
        <w:t>e</w:t>
      </w:r>
      <w:r w:rsidR="00A5144B">
        <w:t xml:space="preserve"> przepis</w:t>
      </w:r>
      <w:r w:rsidR="00EB7A01">
        <w:t>y</w:t>
      </w:r>
      <w:r w:rsidR="00A5144B">
        <w:t>.</w:t>
      </w:r>
    </w:p>
    <w:p w14:paraId="369F4852" w14:textId="1EC31184" w:rsidR="00BA08A8" w:rsidRDefault="00A5144B">
      <w:pPr>
        <w:pStyle w:val="NIEARTTEKSTtekstnieartykuowanynppodstprawnarozplubpreambua"/>
      </w:pPr>
      <w:r>
        <w:t>Z art. 1 ust. 1 i 3 wynika, że ustawa będzie miała zastosowanie jedynie do roszczeń związanych z umową kredytu denominowanego lub indeksowanego (czyli generalnie – waloryzowanego) do franka szwajcarskiego (CHF) lub umową pożyczki hipotecznej denominowanej lub indeksowanej do franka szwajcarskiego (CHF). Z przyczyn wskazanych w pkt 1 niniejszego uzasadnienia, szczególne uregulowania przewidziane w projekcie nie obejmują spraw dotyczących innych kredytów, w szczególności waloryzowanych do walut innych niż frank szwajcarski, udzielonych bezpośrednio we franku szwajcarskim (kredytów innych niż denominowane i indeksowane), ani kredytów udzielonych w walucie polskiej (</w:t>
      </w:r>
      <w:proofErr w:type="spellStart"/>
      <w:r>
        <w:t>WIBOR</w:t>
      </w:r>
      <w:proofErr w:type="spellEnd"/>
      <w:r>
        <w:t xml:space="preserve"> + marża).</w:t>
      </w:r>
    </w:p>
    <w:p w14:paraId="17A636CD" w14:textId="05291A81" w:rsidR="00BA08A8" w:rsidRPr="009058CF" w:rsidRDefault="00A5144B">
      <w:pPr>
        <w:pStyle w:val="NIEARTTEKSTtekstnieartykuowanynppodstprawnarozplubpreambua"/>
      </w:pPr>
      <w:r>
        <w:t xml:space="preserve">Ze względu na to, że w sprawach dotyczących kredytów frankowych roszczenia formułowane są w </w:t>
      </w:r>
      <w:r w:rsidR="00784698">
        <w:t xml:space="preserve">różnorodny </w:t>
      </w:r>
      <w:r>
        <w:t xml:space="preserve">sposób (powodowie domagają się nie tylko zasądzenia, ale i ustalenia nieważności, ewentualnie również unieważnienia umowy kredytu oraz roszczeń związanych z nieważnością umowy) w art. 1 ust. 1 użyto szerokiego określenia </w:t>
      </w:r>
      <w:r w:rsidR="00AA1E4B">
        <w:t>„</w:t>
      </w:r>
      <w:r>
        <w:t>sprawy związane z zawartą z konsumentem umową kredytu denominowanego lub indeksowanego do franka szwajcarskiego (CHF) lub umową pożyczki hipotecznej denominowanej lub indeksowanej do franka szwajcarskiego (CHF)</w:t>
      </w:r>
      <w:r w:rsidR="00AA1E4B">
        <w:t>”</w:t>
      </w:r>
      <w:r>
        <w:t xml:space="preserve">. W rezultacie ustawa będzie miała zastosowanie do wszystkich takich spraw, bez względu na sformułowanie żądania pozwu, </w:t>
      </w:r>
      <w:r w:rsidR="00784698">
        <w:t xml:space="preserve">jak </w:t>
      </w:r>
      <w:r w:rsidR="00784698" w:rsidRPr="009058CF">
        <w:t>również bez względu na to</w:t>
      </w:r>
      <w:r w:rsidRPr="009058CF">
        <w:t>, która strona (kredytobiorca czy kredytodawca) występuje po stronie powodowej. Zastosowania ustawy nie wyłącza użycie w pozwie konstrukcji roszczeń ewentualnych.</w:t>
      </w:r>
    </w:p>
    <w:p w14:paraId="5E91151C" w14:textId="69E900BD" w:rsidR="00BA08A8" w:rsidRDefault="00A5144B">
      <w:pPr>
        <w:pStyle w:val="NIEARTTEKSTtekstnieartykuowanynppodstprawnarozplubpreambua"/>
      </w:pPr>
      <w:r w:rsidRPr="009058CF">
        <w:t>Wyłączenia stosowania ustawy w odniesieniu do spraw zdefiniowanych w art. 1 ust. 1 i 2 wynikają z art. 2 ust. 2 i 3 projektu. Ustawa nie będzie mieć więc zastosowania do spraw o</w:t>
      </w:r>
      <w:r>
        <w:t xml:space="preserve"> pozbawienie wykonalności tytułu wykonawczego stwierdzającego obowiązek spełnienia świadczeń z umowy kredytu oraz o uzgodnienie z rzeczywistym stanem prawnym treści księgi wieczystej prowadzonej dla nieruchomości, na której zabezpieczone zostały wierzytelności o spełnienie świadczeń z takiej umowy – nawet, jeżeli sprawy takie są związane z zawartą z konsumentem umową kredytu denominowanego lub indeksowanego do franka </w:t>
      </w:r>
      <w:r>
        <w:lastRenderedPageBreak/>
        <w:t>szwajcarskiego.</w:t>
      </w:r>
      <w:r w:rsidR="00737BAF" w:rsidRPr="00737BAF">
        <w:t xml:space="preserve"> Postępowania te nie wymagają </w:t>
      </w:r>
      <w:r w:rsidR="0003162F">
        <w:t xml:space="preserve">bowiem </w:t>
      </w:r>
      <w:r w:rsidR="00737BAF" w:rsidRPr="00737BAF">
        <w:t>stosowania szczególnych mechanizmów przewidzianych w ustawie.</w:t>
      </w:r>
    </w:p>
    <w:p w14:paraId="2A351FFC" w14:textId="23F65CC3" w:rsidR="005A16E7" w:rsidRPr="005A16E7" w:rsidRDefault="005A16E7" w:rsidP="005A16E7">
      <w:pPr>
        <w:pStyle w:val="ARTartustawynprozporzdzenia"/>
      </w:pPr>
      <w:r w:rsidRPr="005A16E7">
        <w:t xml:space="preserve">Wyłączenie roszczeń dochodzonych w postępowaniu grupowym, upadłościowym i restrukturyzacyjnym (art. 2 ust. 3) jest uzasadnione specyfiką tych  postępowań, które jest już objęte odrębnymi regulacjami przewidującymi szczególne zasady ich prowadzenia (ustawa z dnia 17 grudnia 2009 r. o dochodzeniu roszczeń w postępowaniu grupowym - Dz. U. z 2024 r. poz. 1485, ustawa z dnia 28 lutego 2003 r. Prawo upadłościowe - Dz. U. z 2025 r. poz. 614, ustawa z dnia 15 maja 2015 r. - Prawo restrukturyzacyjne - Dz. U. z 2024 r. poz. 1428 z </w:t>
      </w:r>
      <w:proofErr w:type="spellStart"/>
      <w:r w:rsidRPr="005A16E7">
        <w:t>późn</w:t>
      </w:r>
      <w:proofErr w:type="spellEnd"/>
      <w:r w:rsidRPr="005A16E7">
        <w:t xml:space="preserve">. </w:t>
      </w:r>
      <w:proofErr w:type="spellStart"/>
      <w:r w:rsidRPr="005A16E7">
        <w:t>zm</w:t>
      </w:r>
      <w:proofErr w:type="spellEnd"/>
      <w:r w:rsidRPr="005A16E7">
        <w:t>).</w:t>
      </w:r>
    </w:p>
    <w:p w14:paraId="0B414CCF" w14:textId="16EE5565" w:rsidR="00BA08A8" w:rsidRDefault="00A5144B">
      <w:pPr>
        <w:pStyle w:val="NIEARTTEKSTtekstnieartykuowanynppodstprawnarozplubpreambua"/>
      </w:pPr>
      <w:r>
        <w:t xml:space="preserve">2. W sprawach, </w:t>
      </w:r>
      <w:r w:rsidR="00067B1F">
        <w:t xml:space="preserve">do </w:t>
      </w:r>
      <w:r>
        <w:t>których ustaw</w:t>
      </w:r>
      <w:r w:rsidR="00067B1F">
        <w:t>a znajd</w:t>
      </w:r>
      <w:r w:rsidR="00C97F96">
        <w:t>zie</w:t>
      </w:r>
      <w:r w:rsidR="00067B1F">
        <w:t xml:space="preserve"> zastosowanie</w:t>
      </w:r>
      <w:r w:rsidR="00737BAF">
        <w:t>,</w:t>
      </w:r>
      <w:r>
        <w:t xml:space="preserve"> masowo składane są wnioski o zabezpieczenie roszczenia przez: 1) wstrzymanie obowiązku spełniania przez konsumenta świadczeń z umowy kredytowej, 2) zakazanie pozwanemu rozwiązania umowy kredytu oraz 3) zakazanie pozwanemu zgłaszania faktu niespełniania świadczeń do instytucji, o których mowa w art. 3 ust. 3 pkt 1-4. Rozpatrywanie tych wniosków oraz zażaleń na postanowienie w przedmiocie zabezpieczenia roszczenia zdecydowanie hamuje rozpatrywanie innych spraw przez sądy.</w:t>
      </w:r>
    </w:p>
    <w:p w14:paraId="38FDF3E6" w14:textId="754AC9D8" w:rsidR="00BA08A8" w:rsidRDefault="00A5144B" w:rsidP="00CC50DD">
      <w:pPr>
        <w:pStyle w:val="NIEARTTEKSTtekstnieartykuowanynppodstprawnarozplubpreambua"/>
      </w:pPr>
      <w:r>
        <w:t xml:space="preserve">W praktyce sądy udzielają zabezpieczenia roszczenia przynajmniej przez wstrzymanie obowiązku spełniania przez konsumenta świadczeń z umowy kredytowej, wychodzą bowiem z założenia, że kierunek orzecznictwa w sprawach, o których mowa w art. 1, ukształtowany zgodnie ze standardem wynikającym z orzeczenia </w:t>
      </w:r>
      <w:proofErr w:type="spellStart"/>
      <w:r>
        <w:t>TSUE</w:t>
      </w:r>
      <w:proofErr w:type="spellEnd"/>
      <w:r>
        <w:t xml:space="preserve"> z dnia 15 czerwca 2023 r. w sprawie C-287/22 Getin Noble Bank S.A., jest na tyle ugruntowany na korzyść konsumenta, że umowa zostanie uznana za nieważną, a zatem dalsze wykonywanie umowy kredytu przez konsumenta do czasu rozstrzygnięcia sprawy byłoby bezcelowe</w:t>
      </w:r>
      <w:r w:rsidRPr="006D382B">
        <w:t xml:space="preserve">. </w:t>
      </w:r>
      <w:r w:rsidR="00974BFE" w:rsidRPr="006D382B">
        <w:t>Konieczność rozpatrywania zażaleń w sprawach o zabezpieczenia w sprawach frankowych</w:t>
      </w:r>
      <w:r w:rsidR="00CC50DD" w:rsidRPr="006D382B">
        <w:t xml:space="preserve">, których według szacunków dokonywanych przez sądy mogą stanowić nawet 90 % wszystkich zażaleń, jest niezwykle obciążająca dla tych sądów. </w:t>
      </w:r>
      <w:r w:rsidR="00203035" w:rsidRPr="005733E4">
        <w:t>Trzeba</w:t>
      </w:r>
      <w:r w:rsidR="00203035">
        <w:t xml:space="preserve"> zaś mieć na względzie, że wniesienie zażalenia przez kredytobiorcę nie wstrzymuje skuteczności udzielonego konsumentowi przez sąd pierwszej instancji zabezpieczenia. </w:t>
      </w:r>
      <w:r w:rsidR="00801D00">
        <w:t>Aby zmniejszyć</w:t>
      </w:r>
      <w:r>
        <w:t xml:space="preserve"> obciążeni</w:t>
      </w:r>
      <w:r w:rsidR="00801D00">
        <w:t>e</w:t>
      </w:r>
      <w:r>
        <w:t xml:space="preserve"> sądów, uwzględniając obecny korzystny dla konsumentów kierunek orzecznictwa</w:t>
      </w:r>
      <w:r w:rsidR="00CC50DD">
        <w:t xml:space="preserve">, wynikający ze standardu orzeczniczego </w:t>
      </w:r>
      <w:proofErr w:type="spellStart"/>
      <w:r w:rsidR="00CC50DD">
        <w:t>TSUE</w:t>
      </w:r>
      <w:proofErr w:type="spellEnd"/>
      <w:r>
        <w:t xml:space="preserve">, zasadne jest wprowadzenie rozwiązania, które z mocy prawa zrealizuje skutek osiągany przez konsumentów w wyniku </w:t>
      </w:r>
      <w:r w:rsidR="00801D00">
        <w:t xml:space="preserve">niezwykle pracochłonnych z punktu widzenia sądów </w:t>
      </w:r>
      <w:r>
        <w:t xml:space="preserve">orzeczeń w przedmiocie zabezpieczenia. </w:t>
      </w:r>
    </w:p>
    <w:p w14:paraId="01828BBC" w14:textId="29B340F6" w:rsidR="00BA08A8" w:rsidRDefault="00CC50DD">
      <w:pPr>
        <w:pStyle w:val="NIEARTTEKSTtekstnieartykuowanynppodstprawnarozplubpreambua"/>
      </w:pPr>
      <w:r>
        <w:lastRenderedPageBreak/>
        <w:t xml:space="preserve">Aby osiągnąć pozytywny skutek odciążenia sądów, konieczne </w:t>
      </w:r>
      <w:r w:rsidR="00801D00">
        <w:t xml:space="preserve">jest </w:t>
      </w:r>
      <w:r>
        <w:t xml:space="preserve">wprowadzenie rozwiązania o charakterze automatycznym, tj. takiego, które nie wymaga </w:t>
      </w:r>
      <w:r w:rsidR="00801D00">
        <w:t xml:space="preserve">podejmowania czynności przez sąd - </w:t>
      </w:r>
      <w:r>
        <w:t xml:space="preserve">wydawania orzeczeń ani zarządzeń. Z tego względu art. 3 ust. 1 przewiduje, że obowiązek spełniania przez konsumenta świadczeń wynikających z umowy kredytu ulega wstrzymaniu </w:t>
      </w:r>
      <w:r>
        <w:rPr>
          <w:i/>
          <w:iCs/>
        </w:rPr>
        <w:t xml:space="preserve">ex lege </w:t>
      </w:r>
      <w:r w:rsidRPr="00787D29">
        <w:t>(z mocy prawa)</w:t>
      </w:r>
      <w:r>
        <w:t xml:space="preserve"> do czasu prawomocnego zakończenia postępowania. Skutek ten będzie następował z chwilą doręczenia odpisu pozwu bankowi</w:t>
      </w:r>
      <w:r w:rsidR="00576A4A">
        <w:t>.</w:t>
      </w:r>
      <w:r>
        <w:t xml:space="preserve"> </w:t>
      </w:r>
      <w:r w:rsidR="00576A4A">
        <w:t>Takie rozwiązanie</w:t>
      </w:r>
      <w:r>
        <w:t xml:space="preserve"> ma zapewnić, że </w:t>
      </w:r>
      <w:r w:rsidR="00576A4A">
        <w:t xml:space="preserve">bank </w:t>
      </w:r>
      <w:r>
        <w:t xml:space="preserve">będzie świadomy tego, że w odniesieniu do konkretnej umowy nastąpiło wstrzymanie obowiązku spełniania świadczeń. Konsument </w:t>
      </w:r>
      <w:r w:rsidR="00C2329D">
        <w:t>(</w:t>
      </w:r>
      <w:r>
        <w:t>jego pełnomocnik</w:t>
      </w:r>
      <w:r w:rsidR="00C2329D">
        <w:t>)</w:t>
      </w:r>
      <w:r>
        <w:t xml:space="preserve"> może natomiast informację o momencie doręczenia odpisu pozwu, a w konsekwencji, o wstrzymaniu obowiązku spełniania świadczeń za pośrednictwem Portalu Informacyjnego, o którym mowa art. 53e </w:t>
      </w:r>
      <w:r>
        <w:rPr>
          <w:rFonts w:ascii="C059" w:hAnsi="C059"/>
        </w:rPr>
        <w:t>§</w:t>
      </w:r>
      <w:r>
        <w:t xml:space="preserve"> 1 ustawy z dnia 27 lipca 2001 r. Prawo o ustroju sądów powszechnych (Dz. U. z 2024 r. poz. 334, z </w:t>
      </w:r>
      <w:proofErr w:type="spellStart"/>
      <w:r>
        <w:t>późn</w:t>
      </w:r>
      <w:proofErr w:type="spellEnd"/>
      <w:r>
        <w:t>. zm.).</w:t>
      </w:r>
      <w:r w:rsidR="00576A4A">
        <w:t xml:space="preserve"> </w:t>
      </w:r>
      <w:r w:rsidR="009826B8">
        <w:t>W</w:t>
      </w:r>
      <w:r w:rsidR="00787D29" w:rsidRPr="00787D29">
        <w:t xml:space="preserve">ydanie zarządzenia o doręczeniu odpisu pozwu i </w:t>
      </w:r>
      <w:r w:rsidR="00787D29">
        <w:t xml:space="preserve">wykonanie </w:t>
      </w:r>
      <w:r w:rsidR="00787D29" w:rsidRPr="00787D29">
        <w:t>t</w:t>
      </w:r>
      <w:r w:rsidR="00787D29">
        <w:t>ego</w:t>
      </w:r>
      <w:r w:rsidR="00787D29" w:rsidRPr="00787D29">
        <w:t xml:space="preserve"> </w:t>
      </w:r>
      <w:r w:rsidR="00787D29">
        <w:t xml:space="preserve">zarządzenia </w:t>
      </w:r>
      <w:r w:rsidR="00787D29" w:rsidRPr="00787D29">
        <w:t>wymaga zdecydowanie mniejszego nakładu pracy</w:t>
      </w:r>
      <w:r w:rsidR="009826B8">
        <w:t xml:space="preserve"> i może zostać wykonane dużo szybciej</w:t>
      </w:r>
      <w:r w:rsidR="00787D29" w:rsidRPr="00787D29">
        <w:t xml:space="preserve"> niż rozpatrzenie wniosku o udzielenie zabezpieczenia, które obejmuje analizę przesłanek zabezpieczenia, wydanie stosownego postanowienia oraz zapewnienie jego doręczenia stronom.</w:t>
      </w:r>
      <w:r w:rsidR="009826B8">
        <w:t xml:space="preserve"> Takie rozwiązanie zabezpiecza więc interesy obu stron </w:t>
      </w:r>
      <w:r w:rsidR="00B62AC5">
        <w:t xml:space="preserve">- </w:t>
      </w:r>
      <w:r w:rsidR="009826B8">
        <w:t>konsument nie musi składać wniosku o udzielenie zabezpieczenia</w:t>
      </w:r>
      <w:r w:rsidR="00B62AC5">
        <w:t xml:space="preserve"> a uzyskuje skutek równoważny z jego udzieleniem, bank natomiast ma pewność, jeśli chodzi o chwilę, od której następuje wstrzymanie obowiązku spełniania przez konsumenta świadczeń z umowy kredytowej. Jednocześnie automatyzm rozwiązania powoduje znaczące odciążenie sądów, które mogą skoncentrować się na rozstrzyganiu spraw głównych, to jest wyrokowaniu. </w:t>
      </w:r>
    </w:p>
    <w:p w14:paraId="08376239" w14:textId="07CA2159" w:rsidR="00BA08A8" w:rsidRDefault="00B62AC5">
      <w:pPr>
        <w:pStyle w:val="ARTartustawynprozporzdzenia"/>
      </w:pPr>
      <w:r>
        <w:t>U</w:t>
      </w:r>
      <w:r w:rsidR="00A5144B">
        <w:t>st</w:t>
      </w:r>
      <w:r>
        <w:t>ęp</w:t>
      </w:r>
      <w:r w:rsidR="00A5144B">
        <w:t xml:space="preserve"> 2 art. 3 projektu ustawy doprecyzow</w:t>
      </w:r>
      <w:r w:rsidR="00576A4A">
        <w:t>uje</w:t>
      </w:r>
      <w:r w:rsidR="00A5144B">
        <w:t xml:space="preserve"> treś</w:t>
      </w:r>
      <w:r w:rsidR="00576A4A">
        <w:t>ć</w:t>
      </w:r>
      <w:r w:rsidR="00A5144B">
        <w:t xml:space="preserve"> ust. 1 tego artykułu. </w:t>
      </w:r>
      <w:r w:rsidR="0082630F">
        <w:t>Przepis wyjaśnia</w:t>
      </w:r>
      <w:r w:rsidR="00A5144B">
        <w:t xml:space="preserve">, że wstrzymanie przez konsumenta spełniania świadczeń wynikających z umowy kredytu, na skutek doręczenia pozwanemu pozwu wniesionego przez konsumenta, nie może być kwalifikowane jako niewykonanie lub nienależyte wykonanie umowy kredytu. </w:t>
      </w:r>
      <w:r w:rsidR="0082630F">
        <w:t>T</w:t>
      </w:r>
      <w:r w:rsidR="00A5144B">
        <w:t>reść ust. 2 wynika bezpośrednio z ust. 1, który wprowadza z mocy prawa wstrzymanie obowiązku spełniania przez konsumenta świadczeń wynikających z umowy kredytu. Jednakże, mając na uwadze konieczność jednoznacznego wyeliminowania wątpliwości interpretacyjnych, ust. 2</w:t>
      </w:r>
      <w:r w:rsidR="00283C89">
        <w:t xml:space="preserve"> wskazuje dodatkowo,</w:t>
      </w:r>
      <w:r w:rsidR="00A5144B">
        <w:t xml:space="preserve"> że takie działanie konsumenta nie może stanowić podstawy do przypisania mu niewykonania lub nienależytego wykonania zobowiązania umownego. Zabieg ten służy zapewnieniu pewności prawnej dla konsumenta</w:t>
      </w:r>
      <w:r w:rsidR="0082630F">
        <w:t>,</w:t>
      </w:r>
      <w:r w:rsidR="00A5144B">
        <w:t xml:space="preserve"> dochodzącego roszczeń przed sądem. Jednocześnie, ust. 3 wskaz</w:t>
      </w:r>
      <w:r w:rsidR="00283C89">
        <w:t>uje</w:t>
      </w:r>
      <w:r w:rsidR="00A5144B">
        <w:t xml:space="preserve"> przykładowe sytuacje, w których niespełnianie świadczeń z umowy kredytu przez konsumenta nie mogą prowadzić do negatywnych konsekwencji dla </w:t>
      </w:r>
      <w:r w:rsidR="00A5144B">
        <w:lastRenderedPageBreak/>
        <w:t>niego.  Wprowadzenie ust. 2 i 3</w:t>
      </w:r>
      <w:r w:rsidR="003A3999">
        <w:t xml:space="preserve"> </w:t>
      </w:r>
      <w:r w:rsidR="00A5144B">
        <w:t>stanowi zatem rozwinięcie oraz uzupełnienie postanowień ust. 1, wpisując się w cel projektu ustawy, jakim jest zapewnienie konsumentom skutecznej ochrony prawnej w relacjach z instytucjami kredytowymi oraz ograniczenie ryzyka nieuzasadnionych działań podejmowanych przez te instytucje w trakcie trwania sporu sądowego. Podjęcie przez kredytodawcę czynności wbrew przepisom art. 3 projektu będzie skutkowało nieważnością czynności podjętych w celu rozwiązania umowy – na przykład wypowiedzenia umowy kredytu</w:t>
      </w:r>
      <w:r w:rsidR="00C2329D">
        <w:t xml:space="preserve"> – i</w:t>
      </w:r>
      <w:r w:rsidR="00A5144B">
        <w:t xml:space="preserve"> umożliwi konsumentom dochodzenie roszczeń na drodze sądowej w przypadku bezprawnego udostępnienia informacji o niespełnieniu świadczenia oraz może się wiązać z konsekwencjami publicznoprawnymi</w:t>
      </w:r>
      <w:r w:rsidR="00C2329D">
        <w:t xml:space="preserve">, </w:t>
      </w:r>
      <w:r w:rsidR="00D528C5">
        <w:t xml:space="preserve">realizowanymi </w:t>
      </w:r>
      <w:r w:rsidR="00C2329D">
        <w:t>w ramach uprawnień Prezesa Urzędu Ochrony Konkurencji i Konsumentów w zakresie ochrony zbiorowych interesów konsumentów</w:t>
      </w:r>
      <w:r w:rsidR="00A5144B">
        <w:t>.</w:t>
      </w:r>
    </w:p>
    <w:p w14:paraId="4FBFDDA7" w14:textId="3A2A4983" w:rsidR="00BA08A8" w:rsidRDefault="00D528C5">
      <w:pPr>
        <w:pStyle w:val="ARTartustawynprozporzdzenia"/>
      </w:pPr>
      <w:r>
        <w:t>Artykuł</w:t>
      </w:r>
      <w:r w:rsidR="00A5144B">
        <w:t xml:space="preserve"> 3 ust. 4 uzupełni</w:t>
      </w:r>
      <w:r>
        <w:t>a</w:t>
      </w:r>
      <w:r w:rsidR="00A5144B">
        <w:t xml:space="preserve"> art. 3 ust. 2 </w:t>
      </w:r>
      <w:r w:rsidR="00203035">
        <w:t>stanowiąc</w:t>
      </w:r>
      <w:r w:rsidR="00A5144B">
        <w:t>, że w przypadku zgłoszenia lub udostępnienia informacji o niespełnieniu świadczeń wynikających z umowy kredytu przed doręczeniem pozwu, pozwany ma obowiązek powiadomić instytucje lub biura, o których mowa w ust. 3, że nastąpił skutek przewidziany w ust. 1, w terminie 1 miesiąca od dnia doręczenia pozwu. Instytucja lub biura są obowiązane wykreślić dane ze zbioru, w którym są one przetwarzane, w terminie nie dłuższym niż 1 miesiąc od dnia otrzymania powiadomienia. Powiadomienie może zostać przekazane w drodze teletransmisji.</w:t>
      </w:r>
    </w:p>
    <w:p w14:paraId="0EA736CF" w14:textId="589442CB" w:rsidR="00BA08A8" w:rsidRDefault="00A5144B">
      <w:pPr>
        <w:pStyle w:val="NIEARTTEKSTtekstnieartykuowanynppodstprawnarozplubpreambua"/>
      </w:pPr>
      <w:r>
        <w:t>Artykuł 3 ust. 5 z wstrzymaniem obowiązku spełniania świadczeń wiąże spotykane w obrocie sposoby zabezpieczenia, aby zapewnić bezprzedmiotowość jak najszerszej grupy wniosków o zabezpieczenie roszczenia w sprawach dotyczących kredytów frankowych – a w konsekwencji zwolnić sądy z obowiązku ich rozpatrywania. Nie byłoby bowiem uzasadnione, żeby mimo wstrzymania obowiązku spełniania świadczenia przez konsumenta z mocy prawa, dalej istniała konieczność rozpatrywania wniosków o zabezpieczenie roszczenia. Art</w:t>
      </w:r>
      <w:r w:rsidR="00C2329D">
        <w:t>ykuł</w:t>
      </w:r>
      <w:r>
        <w:t xml:space="preserve"> 3 ust. 5, stanowiący regulację o charakterze procesowym, wprost przewiduje brak konieczności rozpoznania wniosków o zabezpieczenie roszczenia w przypadku, gdy ich przedmiotem jest wstrzymanie obowiązku spełniania przez konsumenta świadczeń z umowy, o której mowa w art. 1, zakazanie pozwanemu rozwiązania umowy oraz zakazanie pozwanemu zgłaszania lub udostępnienia informacji o niespełnianiu świadczeń do określonych instytucji. </w:t>
      </w:r>
      <w:r w:rsidR="0082630F">
        <w:t>P</w:t>
      </w:r>
      <w:r>
        <w:t xml:space="preserve">rzepis ten obejmuje swoim zakresem wszystkie wnioski, które zmierzają do osiągnięcia skutku tożsamego z określonym w przepisie, niezależnie od formy i sformułowań użytych przez wnioskodawcę. Oznacza to, że przepis ma charakter funkcjonalny i jego zastosowanie nie jest uzależnione wyłącznie od dosłownego powołania się na sformułowania przewidziane w projekcie ustawy. </w:t>
      </w:r>
      <w:r>
        <w:lastRenderedPageBreak/>
        <w:t xml:space="preserve">Celem tego przepisu jest zapewnienie jednolitego traktowania wniosków, które, mimo różnic w treści lub sposobie ich sformułowania, prowadzą w istocie do osiągnięcia tych samych skutków prawnych. Sąd powinien zatem dokonywać oceny wniosków nie tylko w oparciu o </w:t>
      </w:r>
      <w:r w:rsidR="00C2329D">
        <w:t xml:space="preserve">ich </w:t>
      </w:r>
      <w:r>
        <w:t xml:space="preserve">brzmienie, ale także o ich rzeczywisty charakter i cel. Przepis odnosi się zarówno do wniosków złożonych przed wszczęciem postępowania jak i w pozwie, czy też w toku postępowania. </w:t>
      </w:r>
    </w:p>
    <w:p w14:paraId="3FEE6AFB" w14:textId="77777777" w:rsidR="00BA08A8" w:rsidRDefault="00A5144B">
      <w:pPr>
        <w:pStyle w:val="NIEARTTEKSTtekstnieartykuowanynppodstprawnarozplubpreambua"/>
      </w:pPr>
      <w:r>
        <w:t>Pozostawienie wniosków bez rozpoznania oznacza, że sąd nie będzie wydawał postanowień w przedmiocie zabezpieczenia, co w konsekwencji wyłączy możliwość wniesienia zażaleń na takie postanowienia.</w:t>
      </w:r>
    </w:p>
    <w:p w14:paraId="388AF979" w14:textId="706E0874" w:rsidR="00BA08A8" w:rsidRDefault="00A5144B">
      <w:pPr>
        <w:pStyle w:val="NIEARTTEKSTtekstnieartykuowanynppodstprawnarozplubpreambua"/>
      </w:pPr>
      <w:r>
        <w:t xml:space="preserve">W celu określenia statusu wniosków o zabezpieczenie użyto sformułowania „przewodniczący pozostawia w aktach sprawy bez żadnych dalszych czynności”, co oznacza, że </w:t>
      </w:r>
      <w:r w:rsidR="00B31593">
        <w:t>wobec</w:t>
      </w:r>
      <w:r>
        <w:t xml:space="preserve"> wniosku nie są wykonywane żadne czynności, w szczególności nie wydaje się postanowień o umorzeniu postępowania. W przypadku, gdy wniosek o zabezpieczenie roszczenia będzie miał szerszy zakres niż wskazane w przepisie sposoby zabezpieczenia, skutek pozostawienia w aktach nie będzie miał zastosowania do pozostałej części wniosku lub zażalenia, która będzie podlegać rozpoznaniu</w:t>
      </w:r>
      <w:r w:rsidR="00183A95">
        <w:t>, co oznacza, że sąd wyda w tej części żądania wniosku postanowienie</w:t>
      </w:r>
      <w:r>
        <w:t xml:space="preserve"> </w:t>
      </w:r>
    </w:p>
    <w:p w14:paraId="46916C13" w14:textId="0352FC16" w:rsidR="00BA08A8" w:rsidRDefault="00A5144B">
      <w:pPr>
        <w:pStyle w:val="NIEARTTEKSTtekstnieartykuowanynppodstprawnarozplubpreambua"/>
      </w:pPr>
      <w:r>
        <w:t xml:space="preserve">Przepis ust. 6 art 3. ma na celu zabezpieczenie </w:t>
      </w:r>
      <w:r w:rsidR="00CD33F2">
        <w:t xml:space="preserve">interesu </w:t>
      </w:r>
      <w:r>
        <w:t xml:space="preserve">kredytobiorcy w przypadku, gdy łączna wartość spełnionych świadczeń jest niższa od faktycznie otrzymanej kwoty kredytu. Regulacja ta zapobiega sytuacji, w której kredytodawca mógłby wykorzystać wstrzymanie spłat (przewidziane w ust. 1) do odmowy przyjęcia dalszych płatności od konsumenta, który w trakcie postępowania </w:t>
      </w:r>
      <w:r w:rsidR="00C2329D">
        <w:t xml:space="preserve">dobrowolnie </w:t>
      </w:r>
      <w:r w:rsidR="00D56535">
        <w:t xml:space="preserve">– mimo regulacji art. 3 ust. 1 – </w:t>
      </w:r>
      <w:r>
        <w:t xml:space="preserve">decyduje się na </w:t>
      </w:r>
      <w:r w:rsidR="00C2329D">
        <w:t>dokonywanie płatności (aż łączna ich wysokość osiągnie równowartość otrzymanej kwoty kapitału)</w:t>
      </w:r>
      <w:r>
        <w:t xml:space="preserve">. Odmowa przyjęcia płatności przez kredytodawcę mogłaby prowadzić do nieuzasadnionego zwiększenia zobowiązania konsumenta. </w:t>
      </w:r>
    </w:p>
    <w:p w14:paraId="53EBFBEE" w14:textId="72B3899F" w:rsidR="00BA08A8" w:rsidRDefault="00CD33F2">
      <w:pPr>
        <w:pStyle w:val="NIEARTTEKSTtekstnieartykuowanynppodstprawnarozplubpreambua"/>
      </w:pPr>
      <w:r>
        <w:t>S</w:t>
      </w:r>
      <w:r w:rsidR="00A5144B">
        <w:t>kutk</w:t>
      </w:r>
      <w:r>
        <w:t>i</w:t>
      </w:r>
      <w:r w:rsidR="00A5144B">
        <w:t xml:space="preserve"> wejścia w życie </w:t>
      </w:r>
      <w:r>
        <w:t>ustawy</w:t>
      </w:r>
      <w:r w:rsidR="00A5144B">
        <w:t xml:space="preserve"> dla postępowań dotyczących zabezpieczenia roszczeń konsumenta w sprawach frankowych wszczętych i niezakończonych przed dniem wejścia w życie ustawy</w:t>
      </w:r>
      <w:r>
        <w:t xml:space="preserve"> określa art. 16 ust. 2 i 3 projektu</w:t>
      </w:r>
      <w:r w:rsidR="00A5144B">
        <w:t xml:space="preserve">. W art. 16 ust. 2 i 3 </w:t>
      </w:r>
      <w:r>
        <w:t xml:space="preserve">zawiera </w:t>
      </w:r>
      <w:r w:rsidR="00A5144B">
        <w:t xml:space="preserve">uregulowanie intertemporalne, zgodnie z którym, jeżeli doręczenie pozwu konsumenta nastąpiło przed dniem wejścia w życie ustawy, skutki </w:t>
      </w:r>
      <w:r>
        <w:t>dotyczące</w:t>
      </w:r>
      <w:r w:rsidRPr="00CD33F2">
        <w:t xml:space="preserve"> </w:t>
      </w:r>
      <w:r>
        <w:t>wstrzymania obowiązku spełniania świadczeń (</w:t>
      </w:r>
      <w:r w:rsidR="00A5144B">
        <w:t>określone w art. 3 ust. 1 i 3</w:t>
      </w:r>
      <w:r>
        <w:t>)</w:t>
      </w:r>
      <w:r w:rsidR="00A5144B">
        <w:t xml:space="preserve"> następują z dniem wejścia w życie ustawy.</w:t>
      </w:r>
      <w:r w:rsidR="00C2329D">
        <w:t xml:space="preserve"> Zastosowanie będzie miał także art. 3 ust. 6</w:t>
      </w:r>
      <w:r>
        <w:t>, zgodnie z którym</w:t>
      </w:r>
      <w:r w:rsidR="008F3C18">
        <w:t>,</w:t>
      </w:r>
      <w:r w:rsidR="00CA73A5" w:rsidRPr="00CA73A5">
        <w:t xml:space="preserve"> </w:t>
      </w:r>
      <w:r w:rsidR="00CA73A5">
        <w:t>m</w:t>
      </w:r>
      <w:r w:rsidR="00CA73A5" w:rsidRPr="00CA73A5">
        <w:t>imo</w:t>
      </w:r>
      <w:r w:rsidR="00CA73A5">
        <w:t xml:space="preserve"> wstrzymania obowiązku spełniania świadczeń z umowy kredytu przez konsumenta</w:t>
      </w:r>
      <w:r w:rsidR="00CA73A5" w:rsidRPr="00CA73A5">
        <w:t xml:space="preserve">, kredytodawca nie może odmówić przyjęcia świadczenia, </w:t>
      </w:r>
      <w:r w:rsidR="00CA73A5" w:rsidRPr="00CA73A5">
        <w:lastRenderedPageBreak/>
        <w:t>jeżeli łączna wysokość świadczeń spełnionych już w wykonaniu umowy kredytu jest niższa od kwoty kredytu udostępnionej kredytobiorcy.</w:t>
      </w:r>
    </w:p>
    <w:p w14:paraId="1F2CA9F0" w14:textId="5423217E" w:rsidR="00BA08A8" w:rsidRDefault="00A5144B">
      <w:pPr>
        <w:pStyle w:val="ARTartustawynprozporzdzenia"/>
      </w:pPr>
      <w:r>
        <w:t xml:space="preserve">Wszczęte i niezakończone przed dniem wejścia w życie ustawy postępowania w przedmiocie wniosku o udzielenie zabezpieczenia roszczenia – polegające na wstrzymaniu obowiązku spełniania przez konsumenta świadczeń wynikających z umowy kredytu, zakazaniu pozwanemu dokonywania </w:t>
      </w:r>
      <w:r w:rsidR="00F91730">
        <w:t xml:space="preserve">określonych </w:t>
      </w:r>
      <w:r>
        <w:t>czynności</w:t>
      </w:r>
      <w:r w:rsidR="00F91730">
        <w:t xml:space="preserve"> (</w:t>
      </w:r>
      <w:r>
        <w:t>art. 3 ust. 3</w:t>
      </w:r>
      <w:r w:rsidR="00F91730">
        <w:t>)</w:t>
      </w:r>
      <w:r>
        <w:t>, lub prowadzące w inny sposób do osiągnięcia skutków określonych w art. 3 ust. 1 i 3 oraz zażalenia na postanowienia o udzieleniu lub odmowie udzielenia zabezpieczenia w opisany sposób</w:t>
      </w:r>
      <w:r w:rsidR="00F91730">
        <w:t>,</w:t>
      </w:r>
      <w:r>
        <w:t xml:space="preserve"> podlegają umorzeniu z mocy prawa.</w:t>
      </w:r>
    </w:p>
    <w:p w14:paraId="0F8012D0" w14:textId="4FB8549D" w:rsidR="00BA08A8" w:rsidRDefault="00A5144B">
      <w:pPr>
        <w:pStyle w:val="ARTartustawynprozporzdzenia"/>
      </w:pPr>
      <w:r>
        <w:t>Jeśli wnioski konsumentów o udzielenie zabezpieczenia, złożone przed dniem wejścia w życie ustawy, nie zostały rozpoznane, sąd nie będzie musiał wydawać postanowień o umorzeniu tych postępowań. Postępowania w przedmiocie zabezpieczenia roszczeń ulegną umorzeniu z mocy prawa, a skutki przewidziane w art. 3 ustawy nastąpią z chwilą</w:t>
      </w:r>
      <w:r w:rsidR="00EE2306">
        <w:t xml:space="preserve"> wejścia w życie ustawy</w:t>
      </w:r>
      <w:r w:rsidR="0061226A">
        <w:t xml:space="preserve">, jeśli </w:t>
      </w:r>
      <w:r>
        <w:t>doręczenia pozwu</w:t>
      </w:r>
      <w:r w:rsidR="0061226A">
        <w:t xml:space="preserve"> nastąpiło przed tą datą, a w pozostałych przypadkach z chwilą doręczenia odpisu pozwu (art. 3 projektu)</w:t>
      </w:r>
      <w:r w:rsidR="008F3C18">
        <w:t>.</w:t>
      </w:r>
      <w:r>
        <w:t xml:space="preserve"> Postępowania w przedmiocie wniesionych i nierozpoznanych w chwili wejścia życie ustawy zażaleń na postanowienia o udzieleniu lub odmowie udzielenia zabezpieczenia, zostaną umorzone z mocy prawa</w:t>
      </w:r>
      <w:r w:rsidR="0061226A">
        <w:t xml:space="preserve"> na takich sam</w:t>
      </w:r>
      <w:r w:rsidR="008F3C18">
        <w:t>ych</w:t>
      </w:r>
      <w:r w:rsidR="0061226A">
        <w:t xml:space="preserve"> zasad</w:t>
      </w:r>
      <w:r w:rsidR="008F3C18">
        <w:t>ach</w:t>
      </w:r>
      <w:r>
        <w:t xml:space="preserve">. </w:t>
      </w:r>
      <w:r w:rsidR="00F91730">
        <w:t>Jeżeli</w:t>
      </w:r>
      <w:r>
        <w:t xml:space="preserve"> zażalenia zostały przekazane do sądów odwoławczych, akta sprawy zostaną zwrócone do sądu pierwszej instancji, aby umożliwić </w:t>
      </w:r>
      <w:r w:rsidR="00B908DB">
        <w:t xml:space="preserve">sprawne </w:t>
      </w:r>
      <w:r>
        <w:t>dalsze procedowanie sprawy.</w:t>
      </w:r>
    </w:p>
    <w:p w14:paraId="3F5E7900" w14:textId="2A2F5F6D" w:rsidR="00BA08A8" w:rsidRDefault="00B908DB">
      <w:pPr>
        <w:pStyle w:val="ARTartustawynprozporzdzenia"/>
      </w:pPr>
      <w:r>
        <w:t>A</w:t>
      </w:r>
      <w:r w:rsidR="00A5144B">
        <w:t>rt</w:t>
      </w:r>
      <w:r>
        <w:t>ykuł</w:t>
      </w:r>
      <w:r w:rsidR="00A5144B">
        <w:t xml:space="preserve"> 16 ust. 4</w:t>
      </w:r>
      <w:r>
        <w:t xml:space="preserve"> uzupełnia powyższą regulację</w:t>
      </w:r>
      <w:r w:rsidR="00A5144B">
        <w:t>,</w:t>
      </w:r>
      <w:r>
        <w:t xml:space="preserve"> stanowiąc</w:t>
      </w:r>
      <w:r w:rsidR="00083DF5">
        <w:t>, że</w:t>
      </w:r>
      <w:r w:rsidR="00A5144B">
        <w:t xml:space="preserve"> zażalenie na postanowienie o udzieleniu lub odmowie udzielenia zabezpieczenia w sposób opisany w ust. 2 pkt 1, wniesione po dniu wejścia w życie ustawy, pozostawia się w aktach sprawy bez rozpoznania. Unormowanie to dotyczy sytuacji, w której przed wejściem w życie ustawy zostanie wydane postanowienie o udzieleniu lub odmowie zabezpieczenia, natomiast zażalenie na to postanowienie zostanie wniesione po wejściu w życie nowych przepisów.</w:t>
      </w:r>
    </w:p>
    <w:p w14:paraId="2654BAC3" w14:textId="758DF6B3" w:rsidR="00BA08A8" w:rsidRDefault="00A5144B">
      <w:pPr>
        <w:pStyle w:val="NIEARTTEKSTtekstnieartykuowanynppodstprawnarozplubpreambua"/>
      </w:pPr>
      <w:r>
        <w:t>Ze względu na niezakończenie postępowania zażaleniowego w obrocie pozostaną postanowienia w przedmiocie zabezpieczenia zgodne lub niezgodne co do skutków</w:t>
      </w:r>
      <w:r w:rsidR="008F3C18">
        <w:t xml:space="preserve"> </w:t>
      </w:r>
      <w:r w:rsidR="00EE2306">
        <w:t>z art. 16 projektu ustawy</w:t>
      </w:r>
      <w:r>
        <w:t>. Nie stanowi to jednak istotnego problemu</w:t>
      </w:r>
      <w:r w:rsidR="00083DF5">
        <w:t xml:space="preserve"> w praktyce</w:t>
      </w:r>
      <w:r>
        <w:t xml:space="preserve">, ponieważ proponowane rozwiązanie </w:t>
      </w:r>
      <w:r w:rsidRPr="00E15578">
        <w:rPr>
          <w:i/>
          <w:iCs/>
        </w:rPr>
        <w:t>ex lege</w:t>
      </w:r>
      <w:r>
        <w:t xml:space="preserve"> będzie miało pierwszeństwo przed skutkami orzeczeń sądowych.</w:t>
      </w:r>
      <w:r w:rsidR="00083DF5">
        <w:t xml:space="preserve"> Oznacza to, że</w:t>
      </w:r>
      <w:r w:rsidR="00D56535">
        <w:t xml:space="preserve"> </w:t>
      </w:r>
      <w:r w:rsidR="00492C42">
        <w:t>u</w:t>
      </w:r>
      <w:r w:rsidR="00D56535">
        <w:t>regulowanie</w:t>
      </w:r>
      <w:r w:rsidR="00492C42">
        <w:t xml:space="preserve"> art. 3 projektowanej ustawy będzie – zabezpieczając interesy konsumenta poprzez w szczególności wstrzymanie obowiązku spłaty kredytu – miało zastosowanie także w sytuacji, w której jego wniosek o zabezpieczenie został oddalony (zarówno prawomocnie, jak i nieprawomocnie). Uregulowanie art. 3 znajdzie zastosowanie także wówczas, gdy konsument </w:t>
      </w:r>
      <w:r w:rsidR="00492C42">
        <w:lastRenderedPageBreak/>
        <w:t xml:space="preserve">wcześniej uzyskał prawomocne postanowienie o zabezpieczeniu w sposób określony w tym przepisie – w takiej sytuacji ex lege znajdą zastosowanie skutki wynikające z art. 3, a prawomocne postanowienie o zabezpieczenie (w zakresie, w jakim jego sposób jest skutkami wynikającymi z art. 3) stanie się bezprzedmiotowe. Rzecz jasna, jeżeli zakres zabezpieczenia uzyskanego przez konsumenta wykracza poza regulację art. 3, w tym zakresie prawomocne postanowienie o zabezpieczeniu będzie </w:t>
      </w:r>
      <w:r w:rsidR="008E2D42">
        <w:t>obowiązywać</w:t>
      </w:r>
      <w:r w:rsidR="00492C42">
        <w:t>.</w:t>
      </w:r>
    </w:p>
    <w:p w14:paraId="1B8D8270" w14:textId="585395EA" w:rsidR="00BA08A8" w:rsidRDefault="008F3C18">
      <w:pPr>
        <w:pStyle w:val="ARTartustawynprozporzdzenia"/>
      </w:pPr>
      <w:r>
        <w:t xml:space="preserve">Zaproponowane </w:t>
      </w:r>
      <w:r w:rsidR="00A5144B" w:rsidRPr="00003B3B">
        <w:t>rozwiązania powinny znacząco skrócić czas oczekiwania na rozstrzygnięcia w trwających już sprawach frankowych, przyczyniając się do usprawnienia postępowań sądowych w tych sprawach.</w:t>
      </w:r>
      <w:r w:rsidR="00431542" w:rsidRPr="00003B3B">
        <w:t xml:space="preserve"> Jednocześnie odciążą</w:t>
      </w:r>
      <w:r>
        <w:t xml:space="preserve"> one znacząco</w:t>
      </w:r>
      <w:r w:rsidR="00431542" w:rsidRPr="00003B3B">
        <w:t xml:space="preserve"> sądy, zwłaszcza apelacyjne, co </w:t>
      </w:r>
      <w:r w:rsidR="00003B3B" w:rsidRPr="00E15578">
        <w:t>doprowadzi do</w:t>
      </w:r>
      <w:r w:rsidR="00431542" w:rsidRPr="00003B3B">
        <w:t xml:space="preserve"> przyspieszenia rozpoznawania wszystkich innych spraw.</w:t>
      </w:r>
    </w:p>
    <w:p w14:paraId="1ED1D3FD" w14:textId="41D66451" w:rsidR="00BA08A8" w:rsidRDefault="003A3999">
      <w:pPr>
        <w:pStyle w:val="NIEARTTEKSTtekstnieartykuowanynppodstprawnarozplubpreambua"/>
      </w:pPr>
      <w:r>
        <w:t>3</w:t>
      </w:r>
      <w:r w:rsidR="00A5144B" w:rsidRPr="003A7FB5">
        <w:t>. Stosownie do projektowanego art. 4 ust. 1, sprawę dotyczącą kredytu frankowego sąd pierwszej instancji będzie mógł rozpoznać na posiedzeniu niejawnym również</w:t>
      </w:r>
      <w:r w:rsidR="00255D53">
        <w:t>,</w:t>
      </w:r>
      <w:r w:rsidR="00A5144B" w:rsidRPr="003A7FB5">
        <w:t xml:space="preserve"> </w:t>
      </w:r>
      <w:r w:rsidR="00003B3B" w:rsidRPr="003A7FB5">
        <w:t>jeśli</w:t>
      </w:r>
      <w:r w:rsidR="00A5144B" w:rsidRPr="003A7FB5">
        <w:t xml:space="preserve"> strona</w:t>
      </w:r>
      <w:r w:rsidR="00A5144B">
        <w:t xml:space="preserve"> złożyła wniosek o wysłuchanie na rozprawie. Ma to sprzyjać </w:t>
      </w:r>
      <w:r w:rsidR="00003B3B">
        <w:t xml:space="preserve">usprawnieniu </w:t>
      </w:r>
      <w:r w:rsidR="00A5144B">
        <w:t>postępowania. Jeśli strona przed skierowaniem sprawy na posiedzenie niejawne (np. w pozwie lub w odpowiedzi na pozew) złoży wniosek o wysłuchanie na rozprawie (art. 4 ust. 2 projektu)</w:t>
      </w:r>
      <w:r w:rsidR="00003B3B">
        <w:t>,</w:t>
      </w:r>
      <w:r w:rsidR="00A5144B">
        <w:t xml:space="preserve"> przewodniczący, kierując sprawę do rozpoznania na posiedzeniu niejawnym, będzie zobowiązany do poinformowania o tym stron i wskazania zasadniczych powodów uzasadniających rozpoznanie sprawy na posiedzeniu niejawnym. Dodatkowo</w:t>
      </w:r>
      <w:r w:rsidR="00003B3B">
        <w:t>,</w:t>
      </w:r>
      <w:r w:rsidR="00A5144B">
        <w:t xml:space="preserve"> strony uzyskają co najmniej dwutygodniowy termin na zajęcie ostatecznego stanowiska w sprawie w piśmie procesowym, przed wydaniem przez sąd wyroku. Taka konstrukcja projektowanego przepisu ma charakter gwarancyjny</w:t>
      </w:r>
      <w:r w:rsidR="00E15578">
        <w:t xml:space="preserve"> -</w:t>
      </w:r>
      <w:r w:rsidR="00A5144B">
        <w:t xml:space="preserve"> </w:t>
      </w:r>
      <w:r w:rsidR="00E15578" w:rsidRPr="00E15578">
        <w:t>wprowadz</w:t>
      </w:r>
      <w:r w:rsidR="008B1D55">
        <w:t>a</w:t>
      </w:r>
      <w:r w:rsidR="00E15578" w:rsidRPr="00E15578">
        <w:t xml:space="preserve"> zabezpiecze</w:t>
      </w:r>
      <w:r w:rsidR="008B1D55">
        <w:t>nia</w:t>
      </w:r>
      <w:r w:rsidR="00E15578" w:rsidRPr="00E15578">
        <w:t xml:space="preserve"> procesow</w:t>
      </w:r>
      <w:r w:rsidR="008B1D55">
        <w:t>e</w:t>
      </w:r>
      <w:r w:rsidR="00E15578" w:rsidRPr="00E15578">
        <w:t xml:space="preserve">, które zapewniają stronom informację o </w:t>
      </w:r>
      <w:r w:rsidR="00E15578">
        <w:t xml:space="preserve">motywach </w:t>
      </w:r>
      <w:r w:rsidR="00E15578" w:rsidRPr="00E15578">
        <w:t>decyzj</w:t>
      </w:r>
      <w:r w:rsidR="00E15578">
        <w:t>i</w:t>
      </w:r>
      <w:r w:rsidR="00E15578" w:rsidRPr="00E15578">
        <w:t xml:space="preserve"> sądu</w:t>
      </w:r>
      <w:r w:rsidR="00192101">
        <w:t xml:space="preserve"> o skierowaniu sprawy na posiedzenie niejawne</w:t>
      </w:r>
      <w:r w:rsidR="00E15578" w:rsidRPr="00E15578">
        <w:t xml:space="preserve"> oraz </w:t>
      </w:r>
      <w:r w:rsidR="00E15578">
        <w:t>gwarantują</w:t>
      </w:r>
      <w:r w:rsidR="00E15578" w:rsidRPr="00E15578">
        <w:t xml:space="preserve"> im możliwoś</w:t>
      </w:r>
      <w:r w:rsidR="00E15578">
        <w:t>ć</w:t>
      </w:r>
      <w:r w:rsidR="00E15578" w:rsidRPr="00E15578">
        <w:t xml:space="preserve"> </w:t>
      </w:r>
      <w:r w:rsidR="00E15578">
        <w:t>zajęcia stanowiska w sprawie przed wydanie</w:t>
      </w:r>
      <w:r w:rsidR="008B1D55">
        <w:t>m</w:t>
      </w:r>
      <w:r w:rsidR="00E15578">
        <w:t xml:space="preserve"> przez sąd orzeczenia. </w:t>
      </w:r>
      <w:r w:rsidR="00A5144B">
        <w:t>Przedstawione obowiązki nie będą dotyczyć sytuacji, w której przewodniczący zdecyduje się na rozpoznanie sprawy na posiedzeniu niejawnym, a żadna ze stron nie złożyła wniosku o wysłuchanie na rozprawie.</w:t>
      </w:r>
    </w:p>
    <w:p w14:paraId="72BE4775" w14:textId="64E34C96" w:rsidR="00BA08A8" w:rsidRDefault="00A5144B">
      <w:pPr>
        <w:pStyle w:val="NIEARTTEKSTtekstnieartykuowanynppodstprawnarozplubpreambua"/>
      </w:pPr>
      <w:r>
        <w:t xml:space="preserve">Jeszcze szersze możliwości w zakresie rozpoznania sprawy na posiedzeniu niejawnym przewidziano w postępowaniu </w:t>
      </w:r>
      <w:proofErr w:type="spellStart"/>
      <w:r>
        <w:t>drugoinstancyjnym</w:t>
      </w:r>
      <w:proofErr w:type="spellEnd"/>
      <w:r>
        <w:t xml:space="preserve">. Artykuł 11 pozwala rozpoznać sprawę w drugiej instancji na posiedzeniu niejawnym mimo złożenia przewidzianego w art. 374 </w:t>
      </w:r>
      <w:proofErr w:type="spellStart"/>
      <w:r>
        <w:t>zd</w:t>
      </w:r>
      <w:proofErr w:type="spellEnd"/>
      <w:r>
        <w:t>. 2 k.p.c. wniosku o przeprowadzenie rozprawy.</w:t>
      </w:r>
      <w:r w:rsidR="00192101" w:rsidRPr="00192101">
        <w:t xml:space="preserve"> W postępowaniu apelacyjnym zasadniczo nie dochodzi do ponownego ustalania stanu faktycznego sprawy, lecz do weryfikacji prawidłowości ustalenia faktów i zastosowania prawa przez sąd pierwszej instancji. </w:t>
      </w:r>
      <w:r w:rsidR="008B1D55">
        <w:t>P</w:t>
      </w:r>
      <w:r w:rsidR="00192101" w:rsidRPr="00192101">
        <w:t>ostępowania apelacyjne w sprawach frankowych charakteryzuj</w:t>
      </w:r>
      <w:r w:rsidR="008B1D55">
        <w:t>ą się natomiast</w:t>
      </w:r>
      <w:r w:rsidR="00192101" w:rsidRPr="00192101">
        <w:t xml:space="preserve"> wysokim stopniem powtarzalności zagadnień prawnych i faktycznych.</w:t>
      </w:r>
    </w:p>
    <w:p w14:paraId="08C83657" w14:textId="6F868BEF" w:rsidR="00BA08A8" w:rsidRDefault="00003B3B">
      <w:pPr>
        <w:pStyle w:val="NIEARTTEKSTtekstnieartykuowanynppodstprawnarozplubpreambua"/>
      </w:pPr>
      <w:r>
        <w:lastRenderedPageBreak/>
        <w:t>Artykuł</w:t>
      </w:r>
      <w:r w:rsidR="008E2D42">
        <w:t>y</w:t>
      </w:r>
      <w:r w:rsidR="00A5144B">
        <w:t xml:space="preserve"> 4 i 11 mają charakter fakultatywny. Przewodniczący albo sąd, uznając to za </w:t>
      </w:r>
      <w:r>
        <w:t>uzasadnione</w:t>
      </w:r>
      <w:r w:rsidR="00A5144B">
        <w:t>, będzie mógł skierować sprawę do rozpoznania na rozprawie.</w:t>
      </w:r>
    </w:p>
    <w:p w14:paraId="4F27B51F" w14:textId="06A8B98C" w:rsidR="009A6AC1" w:rsidRDefault="003A3999" w:rsidP="00687709">
      <w:pPr>
        <w:pStyle w:val="NIEARTTEKSTtekstnieartykuowanynppodstprawnarozplubpreambua"/>
        <w:ind w:firstLine="0"/>
      </w:pPr>
      <w:r>
        <w:t>4</w:t>
      </w:r>
      <w:r w:rsidR="00D5160D">
        <w:t xml:space="preserve">. </w:t>
      </w:r>
      <w:r w:rsidR="00DB35F7">
        <w:t xml:space="preserve">Jednym z celów projektu jest zapewnienie stronom instrumentów procesowych, które </w:t>
      </w:r>
      <w:r w:rsidR="00687709">
        <w:t xml:space="preserve">umożliwią sprawne rozliczenie wzajemnych należności w jednym postępowaniu. </w:t>
      </w:r>
      <w:r w:rsidR="008E2D42">
        <w:t>W ramach</w:t>
      </w:r>
      <w:r w:rsidR="00687709">
        <w:t xml:space="preserve"> rozwiązań </w:t>
      </w:r>
      <w:r w:rsidR="008E2D42">
        <w:t xml:space="preserve">wprowadzanych </w:t>
      </w:r>
      <w:r w:rsidR="00687709">
        <w:t>w tym zakresie</w:t>
      </w:r>
      <w:r w:rsidR="008E2D42">
        <w:t xml:space="preserve"> przewidziane</w:t>
      </w:r>
      <w:r w:rsidR="00687709">
        <w:t xml:space="preserve"> jest ułatwienie korzystania z zarzutu potrącenia</w:t>
      </w:r>
      <w:r w:rsidR="009A6AC1">
        <w:t>, czemu służy kompleksowa regulacja wprowadzona w art. 5</w:t>
      </w:r>
      <w:r w:rsidR="00687709">
        <w:t>. N</w:t>
      </w:r>
      <w:r w:rsidR="00DB35F7">
        <w:t>ależy</w:t>
      </w:r>
      <w:r w:rsidR="00687709">
        <w:t xml:space="preserve"> jednak ponownie</w:t>
      </w:r>
      <w:r w:rsidR="00D5160D">
        <w:t xml:space="preserve"> podkreślić, ż</w:t>
      </w:r>
      <w:r w:rsidR="00DB35F7">
        <w:t>e</w:t>
      </w:r>
      <w:r w:rsidR="00D5160D">
        <w:t xml:space="preserve"> </w:t>
      </w:r>
      <w:r w:rsidR="009A6AC1">
        <w:t xml:space="preserve">ustawa </w:t>
      </w:r>
      <w:r w:rsidR="00D5160D">
        <w:t>w nie ingeruje w przepisy materialnoprawne regulujące sytuację prawną konsumentów i kredytodawców</w:t>
      </w:r>
      <w:r w:rsidR="00687709">
        <w:t>.</w:t>
      </w:r>
      <w:r w:rsidR="00D5160D">
        <w:t xml:space="preserve"> </w:t>
      </w:r>
    </w:p>
    <w:p w14:paraId="6078E519" w14:textId="22A49FC0" w:rsidR="009A6AC1" w:rsidRDefault="009A6AC1" w:rsidP="009A6AC1">
      <w:pPr>
        <w:pStyle w:val="NIEARTTEKSTtekstnieartykuowanynppodstprawnarozplubpreambua"/>
      </w:pPr>
      <w:r>
        <w:t xml:space="preserve">Zgodnie z art. 5 ust. 1 i 2 zarzut potrącenia będzie można zgłaszać do zamknięcia rozprawy przed sądem drugiej instancji, a jeżeli sprawa podlega rozpoznaniu na posiedzeniu niejawnym, zarzut może zostać zgłoszony do wydania wyroku przez sąd drugiej instancji, a nie </w:t>
      </w:r>
      <w:r w:rsidR="008E2D42">
        <w:t xml:space="preserve">- </w:t>
      </w:r>
      <w:r>
        <w:t xml:space="preserve">jak dotychczas </w:t>
      </w:r>
      <w:r w:rsidR="008E2D42">
        <w:t xml:space="preserve">- </w:t>
      </w:r>
      <w:r>
        <w:t xml:space="preserve">wyłącznie </w:t>
      </w:r>
      <w:r w:rsidRPr="00033729">
        <w:t>nie później niż przy wdaniu się w spór co do istoty sprawy albo w terminie dwóch tygodni od dnia, gdy wierzytelność stała się wymagalna</w:t>
      </w:r>
      <w:r>
        <w:t>.</w:t>
      </w:r>
      <w:r w:rsidR="00EF0DCE">
        <w:t xml:space="preserve"> </w:t>
      </w:r>
      <w:r>
        <w:t>Co istotne, zgodnie z norma intertemporalną zawartą w art. 18 ust. 1 ustawy, wydłużenie terminu do zgłoszenia zarzutu potrącenia również przed sądem drugiej instancji ma zastosowanie do spraw będących w toku, co pozwoli na kompleksowe rozliczenie wzajemnych roszczeń w zawisłych już sprawach, w których termin wynikający z art. 203</w:t>
      </w:r>
      <w:r>
        <w:rPr>
          <w:rStyle w:val="IGindeksgrny"/>
        </w:rPr>
        <w:t>1</w:t>
      </w:r>
      <w:r>
        <w:t xml:space="preserve"> § 1 i 2 k</w:t>
      </w:r>
      <w:r w:rsidR="005373B8">
        <w:t>.</w:t>
      </w:r>
      <w:r>
        <w:t>p</w:t>
      </w:r>
      <w:r w:rsidR="005373B8">
        <w:t>.</w:t>
      </w:r>
      <w:r>
        <w:t>c</w:t>
      </w:r>
      <w:r w:rsidR="005373B8">
        <w:t>.</w:t>
      </w:r>
      <w:r>
        <w:t xml:space="preserve"> już upłynął. </w:t>
      </w:r>
    </w:p>
    <w:p w14:paraId="1AE227D1" w14:textId="11E2E1EA" w:rsidR="008D3C79" w:rsidRPr="008D3C79" w:rsidRDefault="008D3C79" w:rsidP="00BB0952">
      <w:pPr>
        <w:spacing w:line="360" w:lineRule="auto"/>
        <w:ind w:firstLine="510"/>
        <w:jc w:val="both"/>
        <w:rPr>
          <w:rFonts w:cs="Times"/>
          <w:szCs w:val="24"/>
        </w:rPr>
      </w:pPr>
      <w:r w:rsidRPr="00BE122C">
        <w:rPr>
          <w:rFonts w:ascii="Times" w:hAnsi="Times" w:cs="Times"/>
          <w:sz w:val="24"/>
          <w:szCs w:val="24"/>
        </w:rPr>
        <w:t>Możliwość zgłoszenia</w:t>
      </w:r>
      <w:r w:rsidR="008E2D42">
        <w:rPr>
          <w:rFonts w:ascii="Times" w:hAnsi="Times" w:cs="Times"/>
          <w:sz w:val="24"/>
          <w:szCs w:val="24"/>
        </w:rPr>
        <w:t xml:space="preserve"> – zarówno przez kredytodawcę, jak i kredytobiorcę –</w:t>
      </w:r>
      <w:r w:rsidRPr="00BE122C">
        <w:rPr>
          <w:rFonts w:ascii="Times" w:hAnsi="Times" w:cs="Times"/>
          <w:sz w:val="24"/>
          <w:szCs w:val="24"/>
        </w:rPr>
        <w:t xml:space="preserve"> zarzutu potrącenia aż do zakończenia postępowania w drugiej instancji ma zapewnić konsumentowi ochronę w sposób kompleksowy w jednym post</w:t>
      </w:r>
      <w:r w:rsidR="008E2D42">
        <w:rPr>
          <w:rFonts w:ascii="Times" w:hAnsi="Times" w:cs="Times"/>
          <w:sz w:val="24"/>
          <w:szCs w:val="24"/>
        </w:rPr>
        <w:t>ę</w:t>
      </w:r>
      <w:r w:rsidRPr="00BE122C">
        <w:rPr>
          <w:rFonts w:ascii="Times" w:hAnsi="Times" w:cs="Times"/>
          <w:sz w:val="24"/>
          <w:szCs w:val="24"/>
        </w:rPr>
        <w:t>powaniu bez narażania na dodatkowe niedogodności w związku z kolejnym post</w:t>
      </w:r>
      <w:r>
        <w:rPr>
          <w:rFonts w:ascii="Times" w:hAnsi="Times" w:cs="Times"/>
          <w:sz w:val="24"/>
          <w:szCs w:val="24"/>
        </w:rPr>
        <w:t>ę</w:t>
      </w:r>
      <w:r w:rsidRPr="00BE122C">
        <w:rPr>
          <w:rFonts w:ascii="Times" w:hAnsi="Times" w:cs="Times"/>
          <w:sz w:val="24"/>
          <w:szCs w:val="24"/>
        </w:rPr>
        <w:t>powaniem. Te rozwiązania eliminują stan niepewności konsumenta</w:t>
      </w:r>
      <w:r>
        <w:rPr>
          <w:rFonts w:ascii="Times" w:hAnsi="Times" w:cs="Times"/>
          <w:sz w:val="24"/>
          <w:szCs w:val="24"/>
        </w:rPr>
        <w:t>,</w:t>
      </w:r>
      <w:r w:rsidRPr="00BE122C">
        <w:rPr>
          <w:rFonts w:ascii="Times" w:hAnsi="Times" w:cs="Times"/>
          <w:sz w:val="24"/>
          <w:szCs w:val="24"/>
        </w:rPr>
        <w:t xml:space="preserve"> co do własnej sytuacji prawnej z uwagi na kolejny toczący się proces albo możliwość takiego procesu.</w:t>
      </w:r>
      <w:r w:rsidRPr="00CB6C8E">
        <w:rPr>
          <w:rFonts w:ascii="Times" w:hAnsi="Times" w:cs="Times"/>
          <w:sz w:val="24"/>
          <w:szCs w:val="24"/>
        </w:rPr>
        <w:t xml:space="preserve"> Rozwiązanie to w pełni realizuje standard ochrony wynikający z orzeczenia Trybunału Sprawiedliwości Unii Europejskiej w </w:t>
      </w:r>
      <w:r w:rsidRPr="00BB0952">
        <w:rPr>
          <w:rFonts w:ascii="Times" w:hAnsi="Times" w:cs="Times"/>
          <w:sz w:val="24"/>
          <w:szCs w:val="24"/>
        </w:rPr>
        <w:t>sprawie C-396/24</w:t>
      </w:r>
      <w:r w:rsidR="00596E52" w:rsidRPr="00BB0952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596E52" w:rsidRPr="00BB0952">
        <w:rPr>
          <w:rFonts w:ascii="Times" w:hAnsi="Times" w:cs="Times"/>
          <w:sz w:val="24"/>
          <w:szCs w:val="24"/>
        </w:rPr>
        <w:t>Lubrecz</w:t>
      </w:r>
      <w:r w:rsidR="003A3999">
        <w:rPr>
          <w:rFonts w:ascii="Times" w:hAnsi="Times" w:cs="Times"/>
          <w:sz w:val="24"/>
          <w:szCs w:val="24"/>
        </w:rPr>
        <w:t>l</w:t>
      </w:r>
      <w:r w:rsidR="00596E52" w:rsidRPr="00BB0952">
        <w:rPr>
          <w:rFonts w:ascii="Times" w:hAnsi="Times" w:cs="Times"/>
          <w:sz w:val="24"/>
          <w:szCs w:val="24"/>
        </w:rPr>
        <w:t>ik</w:t>
      </w:r>
      <w:proofErr w:type="spellEnd"/>
      <w:r w:rsidRPr="00BB0952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bCs/>
          <w:sz w:val="24"/>
          <w:szCs w:val="24"/>
        </w:rPr>
        <w:t xml:space="preserve"> w którym</w:t>
      </w:r>
      <w:r w:rsidRPr="00BE122C">
        <w:rPr>
          <w:rFonts w:ascii="Times" w:hAnsi="Times" w:cs="Times"/>
          <w:bCs/>
          <w:sz w:val="24"/>
          <w:szCs w:val="24"/>
        </w:rPr>
        <w:t xml:space="preserve"> </w:t>
      </w:r>
      <w:proofErr w:type="spellStart"/>
      <w:r w:rsidRPr="00BE122C">
        <w:rPr>
          <w:rFonts w:ascii="Times" w:hAnsi="Times" w:cs="Times"/>
          <w:bCs/>
          <w:sz w:val="24"/>
          <w:szCs w:val="24"/>
        </w:rPr>
        <w:t>TSUE</w:t>
      </w:r>
      <w:proofErr w:type="spellEnd"/>
      <w:r w:rsidRPr="00BE122C">
        <w:rPr>
          <w:rFonts w:ascii="Times" w:hAnsi="Times" w:cs="Times"/>
          <w:bCs/>
          <w:sz w:val="24"/>
          <w:szCs w:val="24"/>
        </w:rPr>
        <w:t xml:space="preserve"> wskazał, iż niezgodne z Dyrektywą 93/13/EWG jest żądanie od konsumenta zwrotu całej nominalnej kwoty udzielonego kredytu, niezależnie od dokonanych przez niego spłat i niezależnie od kwoty pozostałej do spłaty.</w:t>
      </w:r>
      <w:r w:rsidR="009B3DD6">
        <w:rPr>
          <w:rFonts w:ascii="Times" w:hAnsi="Times" w:cs="Times"/>
          <w:bCs/>
          <w:sz w:val="24"/>
          <w:szCs w:val="24"/>
        </w:rPr>
        <w:t xml:space="preserve"> Zakres zastosowania art. 5 będzie zależny od tego, w jakim zakresie sądy </w:t>
      </w:r>
      <w:r w:rsidR="00BC6F24">
        <w:rPr>
          <w:rFonts w:ascii="Times" w:hAnsi="Times" w:cs="Times"/>
          <w:bCs/>
          <w:sz w:val="24"/>
          <w:szCs w:val="24"/>
        </w:rPr>
        <w:t>polskie w swo</w:t>
      </w:r>
      <w:r w:rsidR="009B3DD6">
        <w:rPr>
          <w:rFonts w:ascii="Times" w:hAnsi="Times" w:cs="Times"/>
          <w:bCs/>
          <w:sz w:val="24"/>
          <w:szCs w:val="24"/>
        </w:rPr>
        <w:t xml:space="preserve">im orzecznictwie </w:t>
      </w:r>
      <w:r w:rsidR="00BC6F24">
        <w:rPr>
          <w:rFonts w:ascii="Times" w:hAnsi="Times" w:cs="Times"/>
          <w:bCs/>
          <w:sz w:val="24"/>
          <w:szCs w:val="24"/>
        </w:rPr>
        <w:t xml:space="preserve">będą uwzględniały stanowisko </w:t>
      </w:r>
      <w:proofErr w:type="spellStart"/>
      <w:r w:rsidR="00BC6F24">
        <w:rPr>
          <w:rFonts w:ascii="Times" w:hAnsi="Times" w:cs="Times"/>
          <w:bCs/>
          <w:sz w:val="24"/>
          <w:szCs w:val="24"/>
        </w:rPr>
        <w:t>TSUE</w:t>
      </w:r>
      <w:proofErr w:type="spellEnd"/>
      <w:r w:rsidR="00BC6F24">
        <w:rPr>
          <w:rFonts w:ascii="Times" w:hAnsi="Times" w:cs="Times"/>
          <w:bCs/>
          <w:sz w:val="24"/>
          <w:szCs w:val="24"/>
        </w:rPr>
        <w:t xml:space="preserve"> wyrażone w wyroku </w:t>
      </w:r>
      <w:r w:rsidR="00BC6F24" w:rsidRPr="00BC6F24">
        <w:rPr>
          <w:rFonts w:ascii="Times" w:hAnsi="Times" w:cs="Times"/>
          <w:bCs/>
          <w:sz w:val="24"/>
          <w:szCs w:val="24"/>
        </w:rPr>
        <w:t xml:space="preserve">w sprawie C-396/24 </w:t>
      </w:r>
      <w:proofErr w:type="spellStart"/>
      <w:r w:rsidR="00BC6F24" w:rsidRPr="00BC6F24">
        <w:rPr>
          <w:rFonts w:ascii="Times" w:hAnsi="Times" w:cs="Times"/>
          <w:bCs/>
          <w:sz w:val="24"/>
          <w:szCs w:val="24"/>
        </w:rPr>
        <w:t>Lubreczlik</w:t>
      </w:r>
      <w:proofErr w:type="spellEnd"/>
      <w:r w:rsidR="00BC6F24">
        <w:rPr>
          <w:rFonts w:ascii="Times" w:hAnsi="Times" w:cs="Times"/>
          <w:bCs/>
          <w:sz w:val="24"/>
          <w:szCs w:val="24"/>
        </w:rPr>
        <w:t>. Im będą to czynić szerzej, tym potrzeba korzystania z zarzutu potrącenia będzie mniejsza.</w:t>
      </w:r>
    </w:p>
    <w:p w14:paraId="15B0F73E" w14:textId="48018E5F" w:rsidR="00D5160D" w:rsidRPr="00BB0952" w:rsidRDefault="00D5160D" w:rsidP="008D3C79">
      <w:pPr>
        <w:pStyle w:val="NIEARTTEKSTtekstnieartykuowanynppodstprawnarozplubpreambua"/>
      </w:pPr>
      <w:r>
        <w:t>Artykuł 5 ust. 3 wyłącza w sprawach frankowych ograniczenia dotyczące korzystania z zarzutu potrącenia w procesie, wynikające z art. 203</w:t>
      </w:r>
      <w:r>
        <w:rPr>
          <w:rStyle w:val="IGindeksgrny"/>
          <w:rFonts w:eastAsiaTheme="majorEastAsia"/>
        </w:rPr>
        <w:t>1</w:t>
      </w:r>
      <w:r>
        <w:t xml:space="preserve"> § 1 i 2 k.p.c., czyli zarówno ograniczenia przedmiotowe, jak i temporalne. </w:t>
      </w:r>
      <w:r w:rsidRPr="00BB0952">
        <w:t xml:space="preserve">Pełnomocnicy – zarówno kredytobiorców, jak i </w:t>
      </w:r>
      <w:r w:rsidRPr="00BB0952">
        <w:lastRenderedPageBreak/>
        <w:t xml:space="preserve">kredytodawców – sygnalizowali, że ograniczenia te powodują, że w sprawach dotyczących kredytów frankowych strona pozwana obawia się zgłosić zarzut potrącenia, w związku z czym swojej wierzytelności wzajemnej dochodzi w odrębnym procesie. </w:t>
      </w:r>
    </w:p>
    <w:p w14:paraId="2C199189" w14:textId="1AFAD3E8" w:rsidR="00D5160D" w:rsidRPr="00490273" w:rsidRDefault="00822FB3" w:rsidP="00822FB3">
      <w:pPr>
        <w:pStyle w:val="NIEARTTEKSTtekstnieartykuowanynppodstprawnarozplubpreambua"/>
      </w:pPr>
      <w:r>
        <w:t>Zaznaczyć trzeba, że nie wyłączono w sprawach dotyczących kredytów frankowych zastosowania art. 203</w:t>
      </w:r>
      <w:r>
        <w:rPr>
          <w:rStyle w:val="IGindeksgrny"/>
          <w:rFonts w:eastAsiaTheme="majorEastAsia"/>
        </w:rPr>
        <w:t>1</w:t>
      </w:r>
      <w:r>
        <w:t xml:space="preserve"> § 3 k.p.c., przewidującego, że zarzut potrącenia może zostać podniesiony tylko w piśmie procesowym. Do pisma tego stosuje się odpowiednio przepisy dotyczące pozwu, z wyjątkiem przepisów dotyczących opłat. Konieczność zapewnienia sprawnego obiegu dokumentów w sprawach frankowych uzasadnia rozszerzenie obowiązku wzajemnego doręczania pism w toku sprawy</w:t>
      </w:r>
      <w:r w:rsidR="00EF0DCE">
        <w:t xml:space="preserve"> przez zawodowych pełnomocników</w:t>
      </w:r>
      <w:r>
        <w:t xml:space="preserve"> również w zakresie pism obejmujących zarzut potrącenia roszczenia co uregulowano w ust. 4 art. 5. Stąd też ustawa wyraźnie wskazuje, że pismo zawierające zarzut potrącenia roszczenia podlega bezpośrednim doręczeniom między pełnomocnikami  profesjonalnymi,  chyba że zarzut potrącenia zostanie podniesiony w pismach wymienionych w art. 132 § 1</w:t>
      </w:r>
      <w:r>
        <w:rPr>
          <w:vertAlign w:val="superscript"/>
        </w:rPr>
        <w:t>1</w:t>
      </w:r>
      <w:r>
        <w:t xml:space="preserve"> k.p.c. </w:t>
      </w:r>
    </w:p>
    <w:p w14:paraId="6BF10F0E" w14:textId="0FF52D98" w:rsidR="00D5160D" w:rsidRDefault="008D3C79" w:rsidP="00D5160D">
      <w:pPr>
        <w:pStyle w:val="NIEARTTEKSTtekstnieartykuowanynppodstprawnarozplubpreambua"/>
      </w:pPr>
      <w:r>
        <w:t>Wprowadzane u</w:t>
      </w:r>
      <w:r w:rsidR="00D5160D">
        <w:t>łatwienia korzystania z zarzutu potrącenia powinny przyczynić się do zmniejszenia liczby nowych spraw frankowych</w:t>
      </w:r>
      <w:r>
        <w:t>.</w:t>
      </w:r>
      <w:r w:rsidR="00D5160D">
        <w:t xml:space="preserve"> </w:t>
      </w:r>
      <w:r>
        <w:t>P</w:t>
      </w:r>
      <w:r w:rsidR="00D5160D">
        <w:t xml:space="preserve">ozwany będzie mógł swoją wierzytelność potrącić, </w:t>
      </w:r>
      <w:r>
        <w:t xml:space="preserve">w sposób niebudzący wątpliwości, </w:t>
      </w:r>
      <w:r w:rsidR="00D5160D">
        <w:t>zamiast wytaczać o nią odrębne powództwo.</w:t>
      </w:r>
    </w:p>
    <w:p w14:paraId="33AA45DD" w14:textId="452E2932" w:rsidR="00D5160D" w:rsidRDefault="00D5160D" w:rsidP="00D5160D">
      <w:pPr>
        <w:pStyle w:val="ARTartustawynprozporzdzenia"/>
      </w:pPr>
      <w:r>
        <w:t>Przepis ust. 5 art. 5 wprowadza gwarancje dla konsumentów, gdy chodzi o skutki rozszerzenia możliwości korzystania w sprawach frankowych z zarzutu potrącenia. Rozszerzenie możliwości zgłaszania zarzutu potrącenia stwarza ryzyko, w której konsumenci zostaną obciążeni kosztami procesu wskutek uwzględnienia zarzutu potrącenia. Ustęp 5 wyraźn</w:t>
      </w:r>
      <w:r w:rsidR="00542467">
        <w:t>i</w:t>
      </w:r>
      <w:r>
        <w:t>e regul</w:t>
      </w:r>
      <w:r w:rsidR="00542467">
        <w:t>uje</w:t>
      </w:r>
      <w:r>
        <w:t xml:space="preserve"> zasad</w:t>
      </w:r>
      <w:r w:rsidR="00542467">
        <w:t>y</w:t>
      </w:r>
      <w:r>
        <w:t xml:space="preserve"> ponoszenia kosztów postępowania w przypadku złożenia oświadczenia o potrąceniu przez kredytodawcę w trakcie postępowania</w:t>
      </w:r>
      <w:r w:rsidR="00542467">
        <w:t>.</w:t>
      </w:r>
      <w:r>
        <w:t xml:space="preserve"> </w:t>
      </w:r>
      <w:r w:rsidR="00542467">
        <w:t>P</w:t>
      </w:r>
      <w:r>
        <w:t>rzeciwdziała</w:t>
      </w:r>
      <w:r w:rsidR="00542467">
        <w:t xml:space="preserve"> on</w:t>
      </w:r>
      <w:r>
        <w:t xml:space="preserve"> obciążeniu kosztami konsumenta kosztami procesu w przypadku skutecznego skorzystania z wprowadzonej instytucji potrącenia przez bank, przy czym dotyczy to sytuacji, gdy konsument nie kwestionuje potrącenia co do zasady. Celem wprowadzenia te</w:t>
      </w:r>
      <w:r w:rsidR="00542467">
        <w:t xml:space="preserve">go rozwiązania </w:t>
      </w:r>
      <w:r>
        <w:t>jest umożliwienie kompleksowego rozliczenia roszczeń w ramach jednego procesu</w:t>
      </w:r>
      <w:r w:rsidR="00542467">
        <w:t>,</w:t>
      </w:r>
      <w:r>
        <w:t xml:space="preserve"> ale z zachowaniem dbałości o ekonomiczne interesy konsumenta, w zakresie części kosztów procesu odpowiadającej zakresowi skutecznego zarzutu potrącenia. </w:t>
      </w:r>
      <w:r w:rsidR="00542467">
        <w:t>P</w:t>
      </w:r>
      <w:r>
        <w:t>rzyjęte rozwiązani</w:t>
      </w:r>
      <w:r w:rsidR="00542467">
        <w:t>e</w:t>
      </w:r>
      <w:r>
        <w:t xml:space="preserve"> przewiduj</w:t>
      </w:r>
      <w:r w:rsidR="00542467">
        <w:t>e</w:t>
      </w:r>
      <w:r>
        <w:t xml:space="preserve"> możliwość kwestionowania przez konsumenta podniesionego zarzutu potrącenia co do wysokości bez wpływu na zasadę ponoszenia kosztów postępowania przez bank określoną w art. 5 ust</w:t>
      </w:r>
      <w:r w:rsidR="00542467">
        <w:t>.</w:t>
      </w:r>
      <w:r>
        <w:t xml:space="preserve"> 5. </w:t>
      </w:r>
    </w:p>
    <w:p w14:paraId="26470C46" w14:textId="2D528315" w:rsidR="00D5160D" w:rsidRPr="00BB0952" w:rsidRDefault="00542467" w:rsidP="00D5160D">
      <w:pPr>
        <w:pStyle w:val="ARTartustawynprozporzdzenia"/>
        <w:rPr>
          <w:strike/>
        </w:rPr>
      </w:pPr>
      <w:r>
        <w:t>R</w:t>
      </w:r>
      <w:r w:rsidR="00D5160D">
        <w:t xml:space="preserve">egulacja motywuje </w:t>
      </w:r>
      <w:r>
        <w:t xml:space="preserve">więc </w:t>
      </w:r>
      <w:r w:rsidR="00D5160D">
        <w:t xml:space="preserve">kredytodawców do wcześniejszego zgłaszania swoich roszczeń wzajemnych. Jednocześnie przepis chroni konsumentów przed ponoszeniem tej części kosztów </w:t>
      </w:r>
      <w:r w:rsidR="00D5160D">
        <w:lastRenderedPageBreak/>
        <w:t>postępowania, która mogłaby zostać na nich przeniesiona na skutek uwzględnienia zarzutu potrącenia zgłoszonego przez kredytobiorcę. Analogiczne rozwiązanie dotyczące spraw w toku przewidziano w art. 18 ust. 2</w:t>
      </w:r>
      <w:r w:rsidR="00BB0952">
        <w:t>.</w:t>
      </w:r>
    </w:p>
    <w:p w14:paraId="0EAE9CDE" w14:textId="6EC97B86" w:rsidR="00D5160D" w:rsidRDefault="003A3999" w:rsidP="00D5160D">
      <w:pPr>
        <w:pStyle w:val="NIEARTTEKSTtekstnieartykuowanynppodstprawnarozplubpreambua"/>
      </w:pPr>
      <w:r>
        <w:t>5</w:t>
      </w:r>
      <w:r w:rsidR="00D5160D">
        <w:t>. W myśl art. 6, w sprawach określonych w art. 1 sąd będzie mógł przesłuchać świadka poza salą sądową w ramach posiedzenia zdalnego</w:t>
      </w:r>
      <w:r w:rsidR="00542467">
        <w:t>,</w:t>
      </w:r>
      <w:r w:rsidR="00D5160D">
        <w:t xml:space="preserve"> pomimo złożenia sprzeciwu, o którym mowa w art. 263</w:t>
      </w:r>
      <w:r w:rsidR="00D5160D">
        <w:rPr>
          <w:rStyle w:val="IGindeksgrny"/>
          <w:rFonts w:eastAsiaTheme="majorEastAsia"/>
        </w:rPr>
        <w:t>1</w:t>
      </w:r>
      <w:r w:rsidR="00D5160D">
        <w:t xml:space="preserve"> k.p.c. Podkreślenia wymaga, iż wiążący charakter sprzeciwu </w:t>
      </w:r>
      <w:r w:rsidR="00832F4C">
        <w:t xml:space="preserve">strony </w:t>
      </w:r>
      <w:r w:rsidR="00D5160D">
        <w:t>co do zdalnego</w:t>
      </w:r>
      <w:r w:rsidR="00D5160D" w:rsidRPr="007D19E6">
        <w:t xml:space="preserve"> przesłuchani</w:t>
      </w:r>
      <w:r w:rsidR="00542467">
        <w:t>a</w:t>
      </w:r>
      <w:r w:rsidR="007346DD">
        <w:t>, o którym mowa w art. 263</w:t>
      </w:r>
      <w:r w:rsidR="007346DD">
        <w:rPr>
          <w:rStyle w:val="IGindeksgrny"/>
          <w:rFonts w:eastAsiaTheme="majorEastAsia"/>
        </w:rPr>
        <w:t>1</w:t>
      </w:r>
      <w:r w:rsidR="007346DD">
        <w:t xml:space="preserve"> k.p.c.</w:t>
      </w:r>
      <w:r w:rsidR="00832F4C">
        <w:t xml:space="preserve"> uzasadniony jest </w:t>
      </w:r>
      <w:r w:rsidR="00D5160D">
        <w:t>ogranicze</w:t>
      </w:r>
      <w:r w:rsidR="00CC08AB">
        <w:t>niem</w:t>
      </w:r>
      <w:r w:rsidR="00D5160D">
        <w:t xml:space="preserve"> możliwości oceny wiarygodności</w:t>
      </w:r>
      <w:r w:rsidR="00EF0DCE">
        <w:t xml:space="preserve"> zeznań</w:t>
      </w:r>
      <w:r w:rsidR="007346DD">
        <w:t>.</w:t>
      </w:r>
      <w:r w:rsidR="00D5160D">
        <w:t xml:space="preserve"> </w:t>
      </w:r>
      <w:r w:rsidR="007346DD">
        <w:t xml:space="preserve">Zazwyczaj wiąże się to </w:t>
      </w:r>
      <w:r w:rsidR="00D5160D">
        <w:t xml:space="preserve"> z charakter</w:t>
      </w:r>
      <w:r w:rsidR="007346DD">
        <w:t>em</w:t>
      </w:r>
      <w:r w:rsidR="00D5160D">
        <w:t xml:space="preserve"> i rodzaj</w:t>
      </w:r>
      <w:r w:rsidR="007346DD">
        <w:t>em</w:t>
      </w:r>
      <w:r w:rsidR="00D5160D">
        <w:t xml:space="preserve"> sporu podlegającego rozstrzygnięciu</w:t>
      </w:r>
      <w:r w:rsidR="00CC08AB">
        <w:t>, co znane jest stronie postępowania, stąd przyznane jej przez przepis art. 263</w:t>
      </w:r>
      <w:r w:rsidR="00CC08AB">
        <w:rPr>
          <w:vertAlign w:val="superscript"/>
        </w:rPr>
        <w:t xml:space="preserve">1 </w:t>
      </w:r>
      <w:r w:rsidR="00CC08AB">
        <w:t>k.p.c. prawo zgłoszenia sprzeciwu.</w:t>
      </w:r>
      <w:r w:rsidR="00D5160D">
        <w:t xml:space="preserve"> </w:t>
      </w:r>
      <w:r w:rsidR="007346DD">
        <w:t>W</w:t>
      </w:r>
      <w:r w:rsidR="00D5160D">
        <w:t xml:space="preserve"> przeważającej większości spraw frankowych problem ten nie występuje</w:t>
      </w:r>
      <w:r>
        <w:t>,</w:t>
      </w:r>
      <w:r w:rsidR="00D5160D">
        <w:t xml:space="preserve"> </w:t>
      </w:r>
      <w:r w:rsidR="007346DD">
        <w:t xml:space="preserve">ponieważ </w:t>
      </w:r>
      <w:r w:rsidR="00D5160D">
        <w:t>nie istnieją</w:t>
      </w:r>
      <w:r w:rsidR="007346DD">
        <w:t xml:space="preserve"> tu</w:t>
      </w:r>
      <w:r w:rsidR="00D5160D">
        <w:t xml:space="preserve"> szczególne uwarunkowania, które potencjalnie mogłyby rodzić tego typu problemy</w:t>
      </w:r>
      <w:r w:rsidR="0029514B">
        <w:t xml:space="preserve"> (szczególnie ze względu na osoby słuchane w charakterze świadka)</w:t>
      </w:r>
      <w:r w:rsidR="00D5160D">
        <w:t xml:space="preserve">. Stąd też zasadnym jest odstąpienie od wiążącego charakteru sprzeciwu, co nie ogranicza </w:t>
      </w:r>
      <w:r w:rsidR="007346DD">
        <w:t xml:space="preserve">jednak </w:t>
      </w:r>
      <w:r w:rsidR="00D5160D">
        <w:t xml:space="preserve">w żaden sposób sądu orzekającego co do wyboru formy przesłuchania i pozostawia to swobodnej </w:t>
      </w:r>
      <w:r w:rsidR="0029514B">
        <w:t>ocenie. Jednocześnie</w:t>
      </w:r>
      <w:r w:rsidR="007346DD">
        <w:t xml:space="preserve"> </w:t>
      </w:r>
      <w:r w:rsidR="00D5160D">
        <w:t xml:space="preserve">przeciwdziała to sytuacjom, gdy z innych </w:t>
      </w:r>
      <w:r w:rsidR="00255D53">
        <w:t>przyczyn</w:t>
      </w:r>
      <w:r w:rsidR="00D5160D">
        <w:t xml:space="preserve"> niż obawa o wiarygodność dowodu</w:t>
      </w:r>
      <w:r w:rsidR="007346DD">
        <w:t>,</w:t>
      </w:r>
      <w:r w:rsidR="00D5160D">
        <w:t xml:space="preserve"> sprzeciw jest przez strony składany. </w:t>
      </w:r>
    </w:p>
    <w:p w14:paraId="5BC4B668" w14:textId="584D0018" w:rsidR="00D5160D" w:rsidRDefault="003A3999" w:rsidP="00D5160D">
      <w:pPr>
        <w:pStyle w:val="NIEARTTEKSTtekstnieartykuowanynppodstprawnarozplubpreambua"/>
      </w:pPr>
      <w:r>
        <w:t>6</w:t>
      </w:r>
      <w:r w:rsidR="00D5160D">
        <w:t xml:space="preserve">. W art. 7 </w:t>
      </w:r>
      <w:r w:rsidR="007346DD">
        <w:t xml:space="preserve">wprowadza </w:t>
      </w:r>
      <w:r w:rsidR="008E2D42">
        <w:t xml:space="preserve">się </w:t>
      </w:r>
      <w:r w:rsidR="00D5160D">
        <w:t>wyraźne uregulowanie, że w sprawach dotyczących kredytów frankowych sąd będzie mógł przesłuchać strony na piśmie. Obecnie taką możliwość przewidziano jedynie w europejskim postępowaniu w sprawach drobnych roszczeń (art. 505</w:t>
      </w:r>
      <w:r w:rsidR="00D5160D">
        <w:rPr>
          <w:rStyle w:val="IGindeksgrny"/>
          <w:rFonts w:eastAsiaTheme="majorEastAsia"/>
        </w:rPr>
        <w:t>25</w:t>
      </w:r>
      <w:r w:rsidR="00D5160D">
        <w:t xml:space="preserve"> § 2 k.p.c.).</w:t>
      </w:r>
    </w:p>
    <w:p w14:paraId="790156C2" w14:textId="087A3FA6" w:rsidR="00CC08AB" w:rsidRPr="00CC08AB" w:rsidRDefault="00D5160D" w:rsidP="00CC08AB">
      <w:pPr>
        <w:pStyle w:val="NIEARTTEKSTtekstnieartykuowanynppodstprawnarozplubpreambua"/>
      </w:pPr>
      <w:r>
        <w:t>Odbieranie zeznań na piśmie nie tylko od świadków (ale i od stron</w:t>
      </w:r>
      <w:r w:rsidR="0029514B">
        <w:t>)</w:t>
      </w:r>
      <w:r>
        <w:t>, ma na celu uproszczenie postępowania i ułatwienie uzyskania przez sąd materiału dowodowego bez konieczności oczekiwania na dostępność sali rozpraw w sytuacji</w:t>
      </w:r>
      <w:r w:rsidR="007346DD">
        <w:t>,</w:t>
      </w:r>
      <w:r>
        <w:t xml:space="preserve"> gdy dowód na piśmie jest wystarczający. </w:t>
      </w:r>
    </w:p>
    <w:p w14:paraId="249691BE" w14:textId="6A14A557" w:rsidR="00D5160D" w:rsidRDefault="00D5160D" w:rsidP="00D5160D">
      <w:pPr>
        <w:pStyle w:val="NIEARTTEKSTtekstnieartykuowanynppodstprawnarozplubpreambua"/>
      </w:pPr>
      <w:r>
        <w:t>Zważywszy na schematyczny i jednolity co do zasady charakter spraw frankowych</w:t>
      </w:r>
      <w:r w:rsidR="00F84A2A">
        <w:t>,</w:t>
      </w:r>
      <w:r>
        <w:t xml:space="preserve"> przepis ten powinien mieć zastosowanie w przeważającej liczbie rozpoznawanych spraw. Wyjątkowo tylko może zachodzić konieczność bezpośredniego przesłuchania stron na rozprawie po odebraniu przyrzeczenia, stąd wyłączenie w art. 7 zdaniu pierwszym </w:t>
      </w:r>
      <w:r w:rsidRPr="00BE122C">
        <w:rPr>
          <w:i/>
          <w:iCs/>
        </w:rPr>
        <w:t>in fine</w:t>
      </w:r>
      <w:r>
        <w:t xml:space="preserve">. Za wyłączeniem sytuacji, gdy zachodzi konieczność przesłuchania stron po odebraniu przyrzeczenia przemawia charakter i cel tej instytucji, jak również dość wąskie jej zastosowanie w praktyce. Ma to zastosowanie wyłącznie wówczas, gdy </w:t>
      </w:r>
      <w:r w:rsidRPr="00437639">
        <w:t>przesłuchani</w:t>
      </w:r>
      <w:r>
        <w:t>e</w:t>
      </w:r>
      <w:r w:rsidRPr="00437639">
        <w:t xml:space="preserve"> bez przyrzeczenia</w:t>
      </w:r>
      <w:r>
        <w:t xml:space="preserve"> nie </w:t>
      </w:r>
      <w:r w:rsidRPr="00437639">
        <w:t xml:space="preserve">wyświetliło dostatecznie faktów istotnych dla rozstrzygnięcia </w:t>
      </w:r>
      <w:r>
        <w:t>(</w:t>
      </w:r>
      <w:r w:rsidRPr="006338E4">
        <w:t xml:space="preserve">zeznania są niewyczerpujące, z </w:t>
      </w:r>
      <w:r w:rsidRPr="006338E4">
        <w:lastRenderedPageBreak/>
        <w:t xml:space="preserve">uwzględnieniem </w:t>
      </w:r>
      <w:r>
        <w:t>tego przyczyny)</w:t>
      </w:r>
      <w:r w:rsidR="00F84A2A">
        <w:t>,</w:t>
      </w:r>
      <w:r>
        <w:t xml:space="preserve"> </w:t>
      </w:r>
      <w:r w:rsidRPr="00437639">
        <w:t>lub jeśli niezbędna jest ocena wiarygodności materiału dowodowego</w:t>
      </w:r>
      <w:r>
        <w:t xml:space="preserve"> (zachodzi </w:t>
      </w:r>
      <w:r w:rsidRPr="006338E4">
        <w:t>niespójność</w:t>
      </w:r>
      <w:r>
        <w:t xml:space="preserve"> lub </w:t>
      </w:r>
      <w:r w:rsidRPr="006338E4">
        <w:t>sprzeczność</w:t>
      </w:r>
      <w:r>
        <w:t xml:space="preserve">).  </w:t>
      </w:r>
    </w:p>
    <w:p w14:paraId="3F61F752" w14:textId="67697433" w:rsidR="00D5160D" w:rsidRPr="00BE122C" w:rsidRDefault="00D5160D" w:rsidP="00D5160D">
      <w:pPr>
        <w:pStyle w:val="NIEARTTEKSTtekstnieartykuowanynppodstprawnarozplubpreambua"/>
        <w:rPr>
          <w:strike/>
        </w:rPr>
      </w:pPr>
      <w:r>
        <w:t xml:space="preserve">Zgodnie z art. 12, przepisy art. 6-7 mają mieć odpowiednie zastosowanie w postępowaniu </w:t>
      </w:r>
      <w:proofErr w:type="spellStart"/>
      <w:r>
        <w:t>drugoinstancyjnym</w:t>
      </w:r>
      <w:proofErr w:type="spellEnd"/>
      <w:r>
        <w:t xml:space="preserve">, w którym również – w miarę potrzeby – będzie można uzupełnić materiał dowodowy w analogiczny sposób jak przed sądem I instancji. </w:t>
      </w:r>
    </w:p>
    <w:p w14:paraId="2C59E1B4" w14:textId="6A336EB2" w:rsidR="00D5160D" w:rsidRDefault="003A3999" w:rsidP="00D5160D">
      <w:pPr>
        <w:pStyle w:val="ARTartustawynprozporzdzenia"/>
      </w:pPr>
      <w:r>
        <w:t>7</w:t>
      </w:r>
      <w:r w:rsidR="00D5160D">
        <w:t>. Artykuł 8 projektu ma na celu zmniejszenie liczby postępowań sądowych w sprawach dotyczących kredytów frankowych,</w:t>
      </w:r>
      <w:r w:rsidR="008E2D42">
        <w:t xml:space="preserve"> poprzez</w:t>
      </w:r>
      <w:r w:rsidR="00D5160D">
        <w:t xml:space="preserve"> częściową eliminację problemów związanych z wzajemną zależnością roszczeń konsumenta i kredytodawcy wynikających z rozliczenia należności dotyczących tej samej umowy kredytowej.</w:t>
      </w:r>
      <w:r w:rsidR="00F84A2A">
        <w:t xml:space="preserve"> Jego celem jest więc także stworzenie mechanizmów procesowych, które umożliwią stronom kompleksowe rozliczenie wzajemnych roszczeń w ramach jednego postępowania.</w:t>
      </w:r>
    </w:p>
    <w:p w14:paraId="0F3472DC" w14:textId="7F057C17" w:rsidR="00D5160D" w:rsidRDefault="00D5160D" w:rsidP="00D5160D">
      <w:pPr>
        <w:pStyle w:val="NIEARTTEKSTtekstnieartykuowanynppodstprawnarozplubpreambua"/>
      </w:pPr>
      <w:r>
        <w:t xml:space="preserve">Artykuł 8 przedłuża termin na wytoczenie powództwa wzajemnego do zakończenia postępowania w pierwszej instancji. </w:t>
      </w:r>
    </w:p>
    <w:p w14:paraId="6A272BCD" w14:textId="03AB834A" w:rsidR="00D5160D" w:rsidRDefault="00D5160D" w:rsidP="00D5160D">
      <w:pPr>
        <w:pStyle w:val="ARTartustawynprozporzdzenia"/>
      </w:pPr>
      <w:r>
        <w:t xml:space="preserve">Projekt </w:t>
      </w:r>
      <w:r w:rsidR="00F84A2A">
        <w:t xml:space="preserve">przyjmuje </w:t>
      </w:r>
      <w:r>
        <w:t>założeni</w:t>
      </w:r>
      <w:r w:rsidR="00F84A2A">
        <w:t>e</w:t>
      </w:r>
      <w:r>
        <w:t>, że powództwo wzajemne znajdzie zastosowanie</w:t>
      </w:r>
      <w:r w:rsidR="00F84A2A">
        <w:t>, gdy</w:t>
      </w:r>
      <w:r>
        <w:t xml:space="preserve"> skorzystanie z potrącenia wzajemnych należności może okazać się niewystarczające. Dotyczy to sytuacji, gdy w ocenie pozwanego przysługuje mu roszczenie wyższe niż wierzytelność dochodzona przez powoda. W takich przypadkach pozwany nie może na skutek potrącenia doprowadzić do ostatecznego rozliczenia i zamiast wytaczać odrębnego powództwa będzie mógł dochodzić nadwyżki swojego roszczenia w drodze powództwa wzajemnego. Skutkować to będzie</w:t>
      </w:r>
      <w:r w:rsidR="00F84A2A">
        <w:t xml:space="preserve"> </w:t>
      </w:r>
      <w:r>
        <w:t xml:space="preserve">kompleksowym rozliczeniem stron. </w:t>
      </w:r>
    </w:p>
    <w:p w14:paraId="7BC8350E" w14:textId="7AC58565" w:rsidR="00D5160D" w:rsidRDefault="00D5160D" w:rsidP="00D5160D">
      <w:pPr>
        <w:pStyle w:val="NIEARTTEKSTtekstnieartykuowanynppodstprawnarozplubpreambua"/>
      </w:pPr>
      <w:r>
        <w:t xml:space="preserve">Projektowany art. 8 ust. 1 </w:t>
      </w:r>
      <w:r w:rsidR="008E2D42">
        <w:t xml:space="preserve">przedłuża </w:t>
      </w:r>
      <w:r>
        <w:t xml:space="preserve">termin przewidziany w art. 204 § 1 k.p.c., zgodnie z którym powództwo wzajemne </w:t>
      </w:r>
      <w:r w:rsidRPr="003E7D75">
        <w:t>można wytoczyć nie później niż w odpowiedzi na pozew, a jeżeli jej nie złożono - w sprzeciwie od wyroku zaocznego albo przy rozpoczęciu pierwszego posiedzenia, o którym zawiadomiono albo na które wezwano pozwanego</w:t>
      </w:r>
      <w:r>
        <w:t>. Projektowany w ustawie przepis umożliwia wniesienie powództwa wzajemnego aż do zamknięcia rozprawy przed sądem pierwszej instancji, a w przypadku rozpoznawania sprawy na posiedzeniu niejawnym – aż do wydania wyroku przez sąd pierwszej instancji. Art. 8 ust. 2 przyznaje sądom możliwość wyłączenia powództwa wzajemnego do oddzielnego rozpoznania i rozstrzygnięcia, jeżeli jego rozpatrzenie łącznie z powództwem głównym mogłoby doprowadzić do nadmiernej zwłoki w postępowaniu.</w:t>
      </w:r>
      <w:r w:rsidR="008315F5">
        <w:t xml:space="preserve"> </w:t>
      </w:r>
      <w:r w:rsidR="008315F5" w:rsidRPr="008315F5">
        <w:t xml:space="preserve">Przepis ten zabezpiecza przed sytuacjami, w których powództwo wzajemne może tamować rozpoznanie powództwa głównego, w szczególności, gdy nie ma możliwości rozpatrzenia obu powództw na wyznaczonym już terminie rozprawy z uwagi na </w:t>
      </w:r>
      <w:r w:rsidR="008315F5" w:rsidRPr="008315F5">
        <w:lastRenderedPageBreak/>
        <w:t>moment złożenia powództwa wzajemnego</w:t>
      </w:r>
      <w:r w:rsidR="00504BCF">
        <w:t xml:space="preserve"> czy precedensowy charakter sprawy objętej tym powództwem</w:t>
      </w:r>
      <w:r w:rsidR="008315F5" w:rsidRPr="008315F5">
        <w:t>.</w:t>
      </w:r>
      <w:r w:rsidR="008315F5">
        <w:t xml:space="preserve"> </w:t>
      </w:r>
      <w:r>
        <w:t xml:space="preserve">Stąd też konieczność wyposażenia </w:t>
      </w:r>
      <w:r w:rsidR="00F84A2A">
        <w:t>s</w:t>
      </w:r>
      <w:r>
        <w:t>ąd</w:t>
      </w:r>
      <w:r w:rsidR="00F84A2A">
        <w:t>ów</w:t>
      </w:r>
      <w:r>
        <w:t xml:space="preserve"> w narzędzie do zarządzania przebiegiem postępowania z uwzględnieniem konkretnych okoliczności sprawy. </w:t>
      </w:r>
      <w:r w:rsidR="007B3B56">
        <w:t>Biorąc jednak pod uwagę</w:t>
      </w:r>
      <w:r>
        <w:t xml:space="preserve"> jednolitą sytuację prawną konsumentów</w:t>
      </w:r>
      <w:r w:rsidR="007B3B56">
        <w:t xml:space="preserve"> w sprawach frankowych,</w:t>
      </w:r>
      <w:r>
        <w:t xml:space="preserve"> okoliczności takie występować mogą w incydentalnych sprawach.  </w:t>
      </w:r>
    </w:p>
    <w:p w14:paraId="4AA85545" w14:textId="77777777" w:rsidR="00D5160D" w:rsidRDefault="00D5160D" w:rsidP="00D5160D">
      <w:pPr>
        <w:pStyle w:val="ARTartustawynprozporzdzenia"/>
      </w:pPr>
      <w:r>
        <w:t>Ustęp 3 art. 8 projektu ustala właściwość sądu dla powództwa wzajemnego, wiążąc ją z właściwością sądu dla powództwa głównego, niezależnie od wartości przedmiotu sporu. Takie unormowanie służy koncentracji postępowania przed jednym sądem.</w:t>
      </w:r>
    </w:p>
    <w:p w14:paraId="31745C4D" w14:textId="55A8DC78" w:rsidR="00D5160D" w:rsidRDefault="003A3999" w:rsidP="00D5160D">
      <w:pPr>
        <w:pStyle w:val="NIEARTTEKSTtekstnieartykuowanynppodstprawnarozplubpreambua"/>
      </w:pPr>
      <w:r>
        <w:t>8</w:t>
      </w:r>
      <w:r w:rsidR="00D5160D">
        <w:t xml:space="preserve">. W razie cofnięcia pozwu ze skutkiem prawnym </w:t>
      </w:r>
      <w:r w:rsidR="008A11DD">
        <w:t xml:space="preserve">przed </w:t>
      </w:r>
      <w:r w:rsidR="00D5160D">
        <w:t>wydani</w:t>
      </w:r>
      <w:r w:rsidR="008A11DD">
        <w:t>em</w:t>
      </w:r>
      <w:r w:rsidR="00D5160D">
        <w:t xml:space="preserve"> wyroku, postanowienie o umorzeniu postępowania oraz o kosztach procesu będzie mógł wydać referendarz sądowy (art. 9). Podobne uprawnienia przyznaje się referendarzowi w razie cofnięcia apelacji (art. 13). Uregulowania te mają na celu usprawnienie i przyspieszenie formalnego kończenia spraw dotyczących kredytów frankowych, w których doszło do cofnięcia – odpowiednio – pozwu albo apelacji. W tych wypadkach wydawanie postanowień o umorzeniu postępowania nie stanowi wymiaru sprawiedliwości, a zatem może zostać powierzone referendarzom sądowym. Referendarzom nie nadaje się natomiast uprawnienia do wydania orzeczenia uchylającego wyrok sądu. W konsekwencji referendarze sądowi będą mogli na podstawie art. 9 umorzyć postępowanie jedynie do czasu wydania przez sąd wyroku w pierwszej instancji. W przypadku cofnięcia pozwu po wydaniu przez sąd pierwszej instancji wyroku (art. 332 § 2 k.p.c. i 386 § 3 k.p.c.) czynności w przedmiocie cofnięcia pozwu pozostają zastrzeżone dla sądu.</w:t>
      </w:r>
    </w:p>
    <w:p w14:paraId="5805D175" w14:textId="3E9E3A0C" w:rsidR="00D5160D" w:rsidRDefault="003A3999" w:rsidP="00D5160D">
      <w:pPr>
        <w:pStyle w:val="NIEARTTEKSTtekstnieartykuowanynppodstprawnarozplubpreambua"/>
      </w:pPr>
      <w:r>
        <w:t>9</w:t>
      </w:r>
      <w:r w:rsidR="00D5160D">
        <w:t>. Zgodnie z art. 10, w sprawach dotyczących kredytów frankowych sąd drugiej instancji będzie orzekał w postępowaniu apelacyjnym w składzie jednego sędziego. W myśl jednak art. 367</w:t>
      </w:r>
      <w:r w:rsidR="00D5160D">
        <w:rPr>
          <w:vertAlign w:val="superscript"/>
        </w:rPr>
        <w:t>1</w:t>
      </w:r>
      <w:r w:rsidR="00D5160D">
        <w:t xml:space="preserve"> § 3 k.p.c. w sprawach nietypowych</w:t>
      </w:r>
      <w:r w:rsidR="007B3B56">
        <w:t>,</w:t>
      </w:r>
      <w:r w:rsidR="00D5160D">
        <w:t xml:space="preserve"> prezes sądu będzie mógł zarządzić rozpoznanie sprawy w składzie trzech sędziów, jeżeli uzna to za wskazane ze względu na szczególną zawiłość lub precedensowy charakter sprawy.</w:t>
      </w:r>
    </w:p>
    <w:p w14:paraId="72416D63" w14:textId="77777777" w:rsidR="00D5160D" w:rsidRDefault="00D5160D" w:rsidP="00D5160D">
      <w:pPr>
        <w:pStyle w:val="NIEARTTEKSTtekstnieartykuowanynppodstprawnarozplubpreambua"/>
      </w:pPr>
      <w:r>
        <w:t xml:space="preserve">Także w składzie jednego sędziego będą w sprawach określonych w art. 1 rozpoznawane zażalenia – zarówno poziome, jak i </w:t>
      </w:r>
      <w:proofErr w:type="spellStart"/>
      <w:r>
        <w:t>dewolutywne</w:t>
      </w:r>
      <w:proofErr w:type="spellEnd"/>
      <w:r>
        <w:t>.</w:t>
      </w:r>
    </w:p>
    <w:p w14:paraId="530E60C8" w14:textId="6F6D623B" w:rsidR="00D5160D" w:rsidRDefault="00D5160D" w:rsidP="00D5160D">
      <w:pPr>
        <w:pStyle w:val="NIEARTTEKSTtekstnieartykuowanynppodstprawnarozplubpreambua"/>
      </w:pPr>
      <w:r>
        <w:t>Uregulowania te mają na celu usprawnienie i przyspieszenie postępowań w sprawach dotyczących kredytów frankowych oraz efektywniejszego wykorzystania</w:t>
      </w:r>
      <w:r w:rsidR="007B3B56">
        <w:t xml:space="preserve"> </w:t>
      </w:r>
      <w:r w:rsidRPr="00BF4637">
        <w:t>zasobów kadrowych. </w:t>
      </w:r>
      <w:r>
        <w:t xml:space="preserve"> </w:t>
      </w:r>
      <w:r w:rsidR="007E2FE0">
        <w:t xml:space="preserve">Projekt ustawy nie traci </w:t>
      </w:r>
      <w:r w:rsidR="007E2FE0" w:rsidRPr="007E2FE0">
        <w:t>z pola widzenia, iż zasada kolegialności, jako jedn</w:t>
      </w:r>
      <w:r w:rsidR="007E2FE0">
        <w:t>ej</w:t>
      </w:r>
      <w:r w:rsidR="007E2FE0" w:rsidRPr="007E2FE0">
        <w:t xml:space="preserve"> z naczelnych zasad wymiaru sprawiedliwości</w:t>
      </w:r>
      <w:r w:rsidR="007E2FE0">
        <w:t>, która</w:t>
      </w:r>
      <w:r w:rsidR="007E2FE0" w:rsidRPr="007E2FE0">
        <w:t xml:space="preserve"> ma na celu zapewnienie wyższej jakości </w:t>
      </w:r>
      <w:r w:rsidR="007E2FE0" w:rsidRPr="007E2FE0">
        <w:lastRenderedPageBreak/>
        <w:t>orzeczeń poprzez wieloosobową analizę i rozpoznanie spraw</w:t>
      </w:r>
      <w:r w:rsidR="007E2FE0">
        <w:t>. P</w:t>
      </w:r>
      <w:r w:rsidR="007E2FE0" w:rsidRPr="007E2FE0">
        <w:t>odkreślić należy, iż w sprawach objętych zakresem przedmiotowym ustawy stan prawny i sytuacja prawna konsumentów została ustandaryzowana przez Trybunał Sprawiedliwości Unii Europejskiej i zasadniczo jest ona jednolita. Zawsze jednak – w sprawach nietypowych – pozostaje możliwość zarządzenia rozpoznania sprawy w składzie kolegialnym.</w:t>
      </w:r>
    </w:p>
    <w:p w14:paraId="69A3AF32" w14:textId="77777777" w:rsidR="00D5160D" w:rsidRDefault="00D5160D" w:rsidP="00D5160D">
      <w:pPr>
        <w:pStyle w:val="ARTartustawynprozporzdzenia"/>
        <w:ind w:firstLine="0"/>
      </w:pPr>
      <w:r>
        <w:t>Rozwiązania zawarte w art.11-13 zostały omówione w punktach czwartym (art. 11), szóstym (art. 12) i ósmym (art. 13) uzasadnienia projektu.</w:t>
      </w:r>
    </w:p>
    <w:p w14:paraId="47850980" w14:textId="375185C1" w:rsidR="00D5160D" w:rsidRDefault="007B0E1C" w:rsidP="00D5160D">
      <w:pPr>
        <w:pStyle w:val="NIEARTTEKSTtekstnieartykuowanynppodstprawnarozplubpreambua"/>
      </w:pPr>
      <w:r>
        <w:t>1</w:t>
      </w:r>
      <w:r w:rsidR="003A3999">
        <w:t>0</w:t>
      </w:r>
      <w:r w:rsidR="00D5160D">
        <w:t xml:space="preserve">. </w:t>
      </w:r>
      <w:r w:rsidR="007B3B56">
        <w:t>A</w:t>
      </w:r>
      <w:r w:rsidR="00D5160D">
        <w:t>rt</w:t>
      </w:r>
      <w:r w:rsidR="007B3B56">
        <w:t>ykuł</w:t>
      </w:r>
      <w:r w:rsidR="00D5160D">
        <w:t xml:space="preserve"> 14 przewid</w:t>
      </w:r>
      <w:r w:rsidR="007B3B56">
        <w:t>uje</w:t>
      </w:r>
      <w:r w:rsidR="00D5160D">
        <w:t xml:space="preserve"> zachęty w zakresie opłat </w:t>
      </w:r>
      <w:r w:rsidR="007B3B56">
        <w:t>d</w:t>
      </w:r>
      <w:r w:rsidR="00D5160D">
        <w:t>o cofania pozwów oraz środków zaskarżenia.</w:t>
      </w:r>
    </w:p>
    <w:p w14:paraId="55CA4266" w14:textId="77777777" w:rsidR="00D5160D" w:rsidRDefault="00D5160D" w:rsidP="00D5160D">
      <w:pPr>
        <w:pStyle w:val="NIEARTTEKSTtekstnieartykuowanynppodstprawnarozplubpreambua"/>
      </w:pPr>
      <w:r>
        <w:t>Zgodnie z ogólnymi regulacjami ustawy o kosztach sądowych w sprawach cywilnych, jeżeli do cofnięcia pozwu albo środka zaskarżenia dochodzi po określonej fazie postępowania – rozpoczęciu posiedzenia w pierwszej bądź drugiej instancji albo przyjęciu skargi kasacyjnej do rozpoznania – nie przysługuje zwrot opłaty (choćby w części).</w:t>
      </w:r>
    </w:p>
    <w:p w14:paraId="4B622729" w14:textId="604B766D" w:rsidR="00D5160D" w:rsidRDefault="00D5160D" w:rsidP="00D5160D">
      <w:pPr>
        <w:pStyle w:val="NIEARTTEKSTtekstnieartykuowanynppodstprawnarozplubpreambua"/>
      </w:pPr>
      <w:r>
        <w:t xml:space="preserve">W myśl proponowanego art. 14, jeżeli strona cofnie pozew albo środek zaskarżenia w terminie 6 miesięcy od wejścia w życie ustawy, będzie jej przysługiwał zwrot połowy opłaty – chociaż według zasad ogólnych nie przysługiwałby, bo cofnięcie nastąpiło po określonym etapie postępowania. </w:t>
      </w:r>
      <w:r w:rsidR="007E2FE0" w:rsidRPr="007E2FE0">
        <w:t xml:space="preserve">Polubowne załatwienie sprawy, które najczęściej skutkuje cofnięciem pozwu lub środka zaskarżenia, uzasadnia wprowadzenie preferencyjnego mechanizmu częściowego zwrotu opłat sądowych w okresie pierwszych sześciu miesięcy od daty wejścia w życie niniejszej ustawy. Analogiczne uprzywilejowanie powinno obejmować również cofnięcie środków zaskarżenia wynikające z ponownej oceny stron co do prawdopodobieństwa uwzględnienia zarzutów. </w:t>
      </w:r>
      <w:r w:rsidR="00227BEB">
        <w:t>Nadto s</w:t>
      </w:r>
      <w:r w:rsidR="00227BEB" w:rsidRPr="00227BEB">
        <w:t xml:space="preserve">korzystanie przez strony z możliwość szczególnych rozwiązań o jakich mowa w art. 5 i art. 8 ustawy winno być premiowane obniżeniem opłat sądowych ponoszonych przez strony, poprzez ich zwrot w połowie – w okresie pierwszych sześciu miesięcy od daty wejścia w życie niniejszej ustawy. Okres ten jest wystarczający, ponieważ ma na celu zachęcenie stron do kompleksowego rozliczenia już w toczących się postępowaniach, w których nie było już możliwości skorzystania z wprowadzanych rozwiązań, z uwagi na upływ zakreślonych terminów. </w:t>
      </w:r>
      <w:r w:rsidR="007E2FE0" w:rsidRPr="007E2FE0">
        <w:t>Przyjęte rozwiązanie przyczyni się do odciążenia sądów przez redukcję liczby spraw podlegających rozpoznaniu merytorycznemu.</w:t>
      </w:r>
    </w:p>
    <w:p w14:paraId="0F851D26" w14:textId="4D84FDA0" w:rsidR="00D5160D" w:rsidRDefault="00D5160D" w:rsidP="00D5160D">
      <w:pPr>
        <w:pStyle w:val="NIEARTTEKSTtekstnieartykuowanynppodstprawnarozplubpreambua"/>
      </w:pPr>
      <w:r>
        <w:t>1</w:t>
      </w:r>
      <w:r w:rsidR="003A3999">
        <w:t>1</w:t>
      </w:r>
      <w:r>
        <w:t xml:space="preserve">. Dodanie zdania drugiego do art. 18 ust. 1 ustawy z dnia 9 marca 2023 r. o zmianie ustawy - Kodeks postępowania cywilnego oraz niektórych innych ustaw (Dz. U. poz. 614) ma na celu usunięcie luki prawnej. Obowiązujący przepis przewiduje właściwość wyłączną sądu </w:t>
      </w:r>
      <w:r>
        <w:lastRenderedPageBreak/>
        <w:t>w sprawach dotyczących kredytów frankowych wytaczanych przez konsumenta według miejsca zamieszkania powoda, jednak nie reguluje sytuacji, w której konsument w dacie wytaczania powództwa nie posiada miejsca zamieszkania w Polsce. Projektowane rozwiązanie wprowadza zasadę, że w takich przypadkach właściwy jest sąd według ostatniego miejsca zamieszkania powoda w Polsce. Przyjęte rozwiązanie ma również na celu ograniczenie konieczności rozstrzygania przez Sąd Najwyższy zagadnień związanych z ustaleniem właściwości miejscowej (art. 45 k.p.c.).</w:t>
      </w:r>
    </w:p>
    <w:p w14:paraId="00BBF8B3" w14:textId="0202CC07" w:rsidR="00D5160D" w:rsidRDefault="00D5160D" w:rsidP="00D5160D">
      <w:pPr>
        <w:pStyle w:val="NIEARTTEKSTtekstnieartykuowanynppodstprawnarozplubpreambua"/>
      </w:pPr>
      <w:r>
        <w:t>1</w:t>
      </w:r>
      <w:r w:rsidR="003A3999">
        <w:t>2</w:t>
      </w:r>
      <w:r>
        <w:t xml:space="preserve">. Podstawową regułą intertemporalną nowelizacji jest bezpośrednie zastosowanie przepisów nowych do spraw trwających w dniu jej wejścia w życie (art. 16 ust. 1). Wyjątek dotyczy składu sądu w postępowaniu </w:t>
      </w:r>
      <w:proofErr w:type="spellStart"/>
      <w:r>
        <w:t>drugoinstancyjnym</w:t>
      </w:r>
      <w:proofErr w:type="spellEnd"/>
      <w:r>
        <w:t xml:space="preserve"> i polega na tym, że jeżeli na podstawie przepisów dotychczasowych wyznaczono do rozpoznania sprawy skład trzech sędziów, sąd rozpoznaje ją w takim składzie (chociaż w art. 10 projektu przewidziano orzekanie w drugiej instancji w składzie jednego sędziego).</w:t>
      </w:r>
    </w:p>
    <w:p w14:paraId="46409FDA" w14:textId="1525379D" w:rsidR="00D5160D" w:rsidRDefault="00D5160D" w:rsidP="00D5160D">
      <w:pPr>
        <w:pStyle w:val="NIEARTTEKSTtekstnieartykuowanynppodstprawnarozplubpreambua"/>
      </w:pPr>
      <w:r>
        <w:t>Cel wprowadzenia szczególnych regulacji intertemporalnych art. 16 ust. 2-4 i art. 18 omówiono wcześniej.</w:t>
      </w:r>
    </w:p>
    <w:p w14:paraId="38414A36" w14:textId="540F69D5" w:rsidR="00D5160D" w:rsidRDefault="00D5160D" w:rsidP="00D5160D">
      <w:pPr>
        <w:pStyle w:val="NIEARTTEKSTtekstnieartykuowanynppodstprawnarozplubpreambua"/>
      </w:pPr>
      <w:r>
        <w:t>1</w:t>
      </w:r>
      <w:r w:rsidR="003A3999">
        <w:t>3</w:t>
      </w:r>
      <w:r>
        <w:t>. Projektowany art. 17 nakłada na kredytodawców</w:t>
      </w:r>
      <w:r w:rsidRPr="002F3729">
        <w:t xml:space="preserve"> </w:t>
      </w:r>
      <w:r>
        <w:t xml:space="preserve">obowiązek, aby poinformowali instytucje utworzone na podstawie art. 105 ust. 4 ustawy z dnia 29 sierpnia 1997 r. - Prawo bankowe, instytucje finansowe będące podmiotami zależnymi od banków, biura informacji gospodarczej działające na podstawie ustawy z dnia 9 kwietnia 2010 r. o udostępnianiu informacji gospodarczych i wymianie danych gospodarczych oraz instytucje pożyczkowe i podmioty wymienione w art. 59d ustawy z dnia 12 maja 2011 r. o kredycie konsumenckim o wstrzymaniu obowiązku spełniania świadczeń. Obowiązek ten dotyczy wyłącznie tych podmiotów, które otrzymały dane konsumenta o niespełnianiu świadczeń z umowy kredytu, z której roszczenia są dochodzone przez konsumenta. Jest to szczególnie istotne w sprawach wszczętych i niezakończonych przed dniem wejścia w życie ustawy, w których wcześniej kredytodawca przekazał informacje o niespełnianiu tych świadczeń. Dzięki temu rozwiązaniu dane konsumentów zostaną wykreślone, co zapobiega negatywnym skutkom oceny ich zdolności kredytowej, wynikającym z niezgodnych z aktualnym stanem prawnym informacji. Reguluje się także terminy, w których kredytodawca oraz wymienione podmioty przetwarzające dane konsumenta muszą wykonać nałożone obowiązki. Kredytodawca będzie miał dwa miesiące od dnia wejścia w życie ustawy albo od dnia doręczenia pozwu (jeśli pozwu konsumenta nie doręczono przed dniem wejścia w życie ustawy) na poinformowanie odpowiednich podmiotów o wstrzymaniu obowiązku spełniania świadczeń przez konsumenta, </w:t>
      </w:r>
      <w:r>
        <w:lastRenderedPageBreak/>
        <w:t xml:space="preserve">natomiast powiadomione instytucje i biura będą miały jeden miesiąc od dnia otrzymania powiadomienia na wykreślenie danych ze zbiorów, w </w:t>
      </w:r>
      <w:r w:rsidRPr="00B7677B">
        <w:t xml:space="preserve">których są one przetwarzane. Dopuszczenie możliwości przekazywania powiadomień w drodze </w:t>
      </w:r>
      <w:r w:rsidRPr="009B16AD">
        <w:t>teletransmisji</w:t>
      </w:r>
      <w:r>
        <w:t xml:space="preserve"> dodatkowo usprawni proces aktualizacji danych i minimalizuje ryzyko opóźnień.</w:t>
      </w:r>
    </w:p>
    <w:p w14:paraId="3BC8BAA8" w14:textId="751D6870" w:rsidR="00D5160D" w:rsidRDefault="00D5160D" w:rsidP="00D5160D">
      <w:pPr>
        <w:pStyle w:val="NIEARTTEKSTtekstnieartykuowanynppodstprawnarozplubpreambua"/>
      </w:pPr>
      <w:r>
        <w:t>1</w:t>
      </w:r>
      <w:r w:rsidR="005A16E7">
        <w:t>4</w:t>
      </w:r>
      <w:r>
        <w:t xml:space="preserve">. W art. 19 przewidziano powtórzenie w Sądzie Najwyższym tzw. </w:t>
      </w:r>
      <w:proofErr w:type="spellStart"/>
      <w:r>
        <w:t>przedsądów</w:t>
      </w:r>
      <w:proofErr w:type="spellEnd"/>
      <w:r>
        <w:t xml:space="preserve"> w sprawach frankowych, w których skarga kasacyjna została złożona przez kredytodawcę (bank). Ma to uzasadnienie w fakcie, że w wielu takich sprawach – już po przyjęciu skarg kasacyjnych – zdezaktualizowały się wskazane w nich zagadnienia prawne oraz rozbieżności w orzecznictwie, czyli określone w art. 398</w:t>
      </w:r>
      <w:r>
        <w:rPr>
          <w:rStyle w:val="IGindeksgrny"/>
          <w:rFonts w:eastAsiaTheme="majorEastAsia"/>
        </w:rPr>
        <w:t>9</w:t>
      </w:r>
      <w:r>
        <w:t xml:space="preserve"> § 1 pkt 1 i 2 k.p.c. przesłanki przyjęcia skargi kasacyjnej do rozpoznania. Biorąc pod uwagę publiczny cel skargi kasacyjnej (rozstrzyganie wątpliwości prawnych i ujednolicanie orzecznictwa), nie ma już uzasadnienia do rozpoznawania takich skarg kasacyjnych przez Sąd Najwyższy.</w:t>
      </w:r>
    </w:p>
    <w:p w14:paraId="1EAD8BFC" w14:textId="77777777" w:rsidR="00D5160D" w:rsidRDefault="00D5160D" w:rsidP="00D5160D">
      <w:pPr>
        <w:pStyle w:val="NIEARTTEKSTtekstnieartykuowanynppodstprawnarozplubpreambua"/>
      </w:pPr>
      <w:r>
        <w:t xml:space="preserve">W związku z tym proponuje się, by Sąd Najwyższy w ramach powtórnego </w:t>
      </w:r>
      <w:proofErr w:type="spellStart"/>
      <w:r>
        <w:t>przedsądu</w:t>
      </w:r>
      <w:proofErr w:type="spellEnd"/>
      <w:r>
        <w:t xml:space="preserve"> mógł zmienić postanowienie o przyjęciu do rozpoznania skargi kasacyjnej i odmówić przyjęcia jej do rozpoznania, jeżeli w sprawie nie występuje już zagadnienie prawne lub nie istnieje potrzeba wykładni przepisów prawnych budzących poważne wątpliwości lub wywołujących rozbieżności w orzecznictwie sądów. W celu zagwarantowania praw stron wprowadzone zostanie zastrzeżenie, że w ramach powtórnego </w:t>
      </w:r>
      <w:proofErr w:type="spellStart"/>
      <w:r>
        <w:t>przedsądu</w:t>
      </w:r>
      <w:proofErr w:type="spellEnd"/>
      <w:r>
        <w:t xml:space="preserve"> nie będzie można odmówić przyjęcia skargi kasacyjnej do rozpoznania, jeżeli zachodzą okoliczności określone w art. 398</w:t>
      </w:r>
      <w:r>
        <w:rPr>
          <w:rStyle w:val="IGindeksgrny"/>
          <w:rFonts w:eastAsiaTheme="majorEastAsia"/>
        </w:rPr>
        <w:t>9</w:t>
      </w:r>
      <w:r>
        <w:t xml:space="preserve"> § 1 pkt 3 lub 4 k.p.c.</w:t>
      </w:r>
    </w:p>
    <w:p w14:paraId="02E00AEF" w14:textId="77777777" w:rsidR="00D5160D" w:rsidRDefault="00D5160D" w:rsidP="00D5160D">
      <w:pPr>
        <w:pStyle w:val="NIEARTTEKSTtekstnieartykuowanynppodstprawnarozplubpreambua"/>
      </w:pPr>
      <w:r>
        <w:t xml:space="preserve">Z art. 19 ust. 2 wynika, że postanowienie, o którym mowa w ust. 1, Sąd Najwyższy wydaje na posiedzeniu niejawnym w składzie jednego sędziego. </w:t>
      </w:r>
    </w:p>
    <w:p w14:paraId="681011C4" w14:textId="77777777" w:rsidR="00D5160D" w:rsidRDefault="00D5160D" w:rsidP="00D5160D">
      <w:pPr>
        <w:pStyle w:val="NIEARTTEKSTtekstnieartykuowanynppodstprawnarozplubpreambua"/>
      </w:pPr>
      <w:r>
        <w:t xml:space="preserve">Przepis art. 19 ust. 3 przewiduje, że w razie odmowy przyjęcia skargi kasacyjnej do rozpoznania w ramach powtórnego </w:t>
      </w:r>
      <w:proofErr w:type="spellStart"/>
      <w:r>
        <w:t>przedsądu</w:t>
      </w:r>
      <w:proofErr w:type="spellEnd"/>
      <w:r>
        <w:t xml:space="preserve"> skarżącemu nie przysługuje zwrot opłaty na podstawie art. 79 ust. 1 pkt 2 lit. b ustawy z dnia 28 lipca 2005 r. o kosztach sądowych w sprawach cywilnych. Nie pogarsza to jego sytuacji, ponieważ w razie oddalenia skargi kasacyjnej zwrot opłaty także by nie przysługiwał. Dodać należy, że skarżący może odzyskać zwrot części opłaty, jeżeli – nie czekając na powtórny </w:t>
      </w:r>
      <w:proofErr w:type="spellStart"/>
      <w:r>
        <w:t>przedsąd</w:t>
      </w:r>
      <w:proofErr w:type="spellEnd"/>
      <w:r>
        <w:t xml:space="preserve"> – w ciągu 6 miesięcy od wejścia ustawy w życie cofnie skargę kasacyjną (por. art. 14 ust. 3).</w:t>
      </w:r>
    </w:p>
    <w:p w14:paraId="03DF394C" w14:textId="238728FC" w:rsidR="00D5160D" w:rsidRDefault="00D5160D" w:rsidP="005A16E7">
      <w:pPr>
        <w:pStyle w:val="ARTartustawynprozporzdzenia"/>
      </w:pPr>
      <w:r>
        <w:t>1</w:t>
      </w:r>
      <w:r w:rsidR="005A16E7">
        <w:t>5</w:t>
      </w:r>
      <w:r>
        <w:t xml:space="preserve">. Przewiduje się, że ustawa wejdzie w życie po </w:t>
      </w:r>
      <w:r w:rsidR="00977871">
        <w:t xml:space="preserve">czternastodniowej </w:t>
      </w:r>
      <w:r>
        <w:rPr>
          <w:i/>
          <w:iCs/>
        </w:rPr>
        <w:t>vacatio legis</w:t>
      </w:r>
      <w:r>
        <w:t xml:space="preserve"> (art. 21). </w:t>
      </w:r>
    </w:p>
    <w:p w14:paraId="25A5C3D8" w14:textId="00D2CDEC" w:rsidR="00D5160D" w:rsidRDefault="003A3999" w:rsidP="00D5160D">
      <w:pPr>
        <w:pStyle w:val="ARTartustawynprozporzdzenia"/>
      </w:pPr>
      <w:r>
        <w:t>1</w:t>
      </w:r>
      <w:r w:rsidR="005A16E7">
        <w:t>6</w:t>
      </w:r>
      <w:r>
        <w:t xml:space="preserve">. </w:t>
      </w:r>
      <w:r w:rsidR="00D5160D">
        <w:t xml:space="preserve">Przedmiot projektowanej regulacji nie jest objęty zakresem prawa Unii Europejskiej i nie podlega przedstawieniu właściwym organom i instytucjom Unii Europejskiej, w tym </w:t>
      </w:r>
      <w:r w:rsidR="00D5160D">
        <w:lastRenderedPageBreak/>
        <w:t>Europejskiemu Bankowi Centralnemu, o których mowa w § 27 ust. 4 uchwały nr 190 Rady Ministrów z dnia 29 października 2013 r. – Regulamin pracy Rady Ministrów (M. P. z 2022 r. poz. 348).</w:t>
      </w:r>
    </w:p>
    <w:p w14:paraId="635707E3" w14:textId="77777777" w:rsidR="00D5160D" w:rsidRDefault="00D5160D" w:rsidP="00D5160D">
      <w:pPr>
        <w:pStyle w:val="NIEARTTEKSTtekstnieartykuowanynppodstprawnarozplubpreambua"/>
      </w:pPr>
      <w:r>
        <w:t xml:space="preserve">Zgodnie z § 4 rozporządzenia Rady Ministrów z dnia 23 grudnia 2002 r. w sprawie sposobu funkcjonowania krajowego systemu notyfikacji norm i aktów prawnych (Dz. U. poz. 2039, z </w:t>
      </w:r>
      <w:proofErr w:type="spellStart"/>
      <w:r>
        <w:t>późn</w:t>
      </w:r>
      <w:proofErr w:type="spellEnd"/>
      <w:r>
        <w:t xml:space="preserve">. zm.) projektowana ustawa nie podlega notyfikacji Komisji Europejskiej. </w:t>
      </w:r>
    </w:p>
    <w:p w14:paraId="1CD6882D" w14:textId="77777777" w:rsidR="00D5160D" w:rsidRDefault="00D5160D" w:rsidP="00D5160D">
      <w:pPr>
        <w:pStyle w:val="ARTartustawynprozporzdzenia"/>
      </w:pPr>
      <w:r>
        <w:t>Projekt ustawy, zgodnie z art. 5 ustawy z dnia 7 lipca 2005 r. o działalności lobbingowej w procesie stanowienia prawa (Dz. U. z 2017 r. poz. 248) oraz § 52 ust. 1 uchwały nr 190 Rady Ministrów z dnia 29 października 2013 r. – Regulamin pracy Rady Ministrów, podlega udostępnieniu w Biuletynie Informacji Publicznej na stronie podmiotowej Rządowego Centrum Legislacji w serwisie Rządowy Proces Legislacyjny.</w:t>
      </w:r>
    </w:p>
    <w:p w14:paraId="6D32F1B9" w14:textId="77777777" w:rsidR="00D5160D" w:rsidRDefault="00D5160D" w:rsidP="00D5160D">
      <w:pPr>
        <w:pStyle w:val="NIEARTTEKSTtekstnieartykuowanynppodstprawnarozplubpreambua"/>
      </w:pPr>
      <w:r>
        <w:t xml:space="preserve">W celu spełnienia wymogów, o których mowa w § 42 ust. 1 uchwały Nr 190 Rady Ministrów z dnia 29 października 2013 r. – Regulamin pracy Rady Ministrów, projekt ustawy zostanie skierowany do koordynatora </w:t>
      </w:r>
      <w:proofErr w:type="spellStart"/>
      <w:r>
        <w:t>OSR</w:t>
      </w:r>
      <w:proofErr w:type="spellEnd"/>
      <w:r>
        <w:t xml:space="preserve">. </w:t>
      </w:r>
    </w:p>
    <w:p w14:paraId="609236CA" w14:textId="298AA99D" w:rsidR="00BA08A8" w:rsidRDefault="00D5160D" w:rsidP="00542467">
      <w:pPr>
        <w:pStyle w:val="NIEARTTEKSTtekstnieartykuowanynppodstprawnarozplubpreambua"/>
      </w:pPr>
      <w:r>
        <w:t xml:space="preserve">Projekt nie dotyczy warunków określonych w uchwale nr 20 Rady Ministrów z dnia </w:t>
      </w:r>
      <w:r>
        <w:br/>
        <w:t>18 lutego 2014 r. w sprawie zaleceń ujednolicenia terminów wejścia w życie niektórych aktów normatywnych (</w:t>
      </w:r>
      <w:proofErr w:type="spellStart"/>
      <w:r>
        <w:t>M.P</w:t>
      </w:r>
      <w:proofErr w:type="spellEnd"/>
      <w:r>
        <w:t>. poz. 205).</w:t>
      </w:r>
    </w:p>
    <w:sectPr w:rsidR="00BA08A8">
      <w:footerReference w:type="even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4988E" w14:textId="77777777" w:rsidR="00545506" w:rsidRDefault="00545506" w:rsidP="008B1D55">
      <w:pPr>
        <w:spacing w:after="0" w:line="240" w:lineRule="auto"/>
      </w:pPr>
      <w:r>
        <w:separator/>
      </w:r>
    </w:p>
  </w:endnote>
  <w:endnote w:type="continuationSeparator" w:id="0">
    <w:p w14:paraId="1E365D02" w14:textId="77777777" w:rsidR="00545506" w:rsidRDefault="00545506" w:rsidP="008B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059">
    <w:altName w:val="Calibri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965666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45E5D7C" w14:textId="014550BD" w:rsidR="008E251A" w:rsidRDefault="008E251A" w:rsidP="00D11D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D1FB48E" w14:textId="77777777" w:rsidR="008E251A" w:rsidRDefault="008E251A" w:rsidP="006D38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642235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55EEF2E" w14:textId="07AE96DD" w:rsidR="008E251A" w:rsidRDefault="008E251A" w:rsidP="00D11D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7E03DDBF" w14:textId="77777777" w:rsidR="008E251A" w:rsidRDefault="008E251A" w:rsidP="006D38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F44D3" w14:textId="77777777" w:rsidR="00545506" w:rsidRDefault="00545506" w:rsidP="008B1D55">
      <w:pPr>
        <w:spacing w:after="0" w:line="240" w:lineRule="auto"/>
      </w:pPr>
      <w:r>
        <w:separator/>
      </w:r>
    </w:p>
  </w:footnote>
  <w:footnote w:type="continuationSeparator" w:id="0">
    <w:p w14:paraId="0F242370" w14:textId="77777777" w:rsidR="00545506" w:rsidRDefault="00545506" w:rsidP="008B1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A8"/>
    <w:rsid w:val="00003B3B"/>
    <w:rsid w:val="0003162F"/>
    <w:rsid w:val="00051E20"/>
    <w:rsid w:val="00061BF8"/>
    <w:rsid w:val="00067B1F"/>
    <w:rsid w:val="0008264D"/>
    <w:rsid w:val="00083DF5"/>
    <w:rsid w:val="00087298"/>
    <w:rsid w:val="000A4939"/>
    <w:rsid w:val="000B185F"/>
    <w:rsid w:val="000B56E2"/>
    <w:rsid w:val="000B747D"/>
    <w:rsid w:val="000B78D1"/>
    <w:rsid w:val="000D58C3"/>
    <w:rsid w:val="00144981"/>
    <w:rsid w:val="00145E9E"/>
    <w:rsid w:val="001527A9"/>
    <w:rsid w:val="00153E48"/>
    <w:rsid w:val="001557A8"/>
    <w:rsid w:val="00176F46"/>
    <w:rsid w:val="00183A95"/>
    <w:rsid w:val="00192101"/>
    <w:rsid w:val="001953B8"/>
    <w:rsid w:val="001E2060"/>
    <w:rsid w:val="00203035"/>
    <w:rsid w:val="00205F58"/>
    <w:rsid w:val="00227016"/>
    <w:rsid w:val="00227BEB"/>
    <w:rsid w:val="002407E0"/>
    <w:rsid w:val="00255D53"/>
    <w:rsid w:val="00270D3F"/>
    <w:rsid w:val="002758C0"/>
    <w:rsid w:val="00280BEF"/>
    <w:rsid w:val="0028393E"/>
    <w:rsid w:val="00283C89"/>
    <w:rsid w:val="0029514B"/>
    <w:rsid w:val="002A5CAE"/>
    <w:rsid w:val="002F3729"/>
    <w:rsid w:val="00342013"/>
    <w:rsid w:val="00370D10"/>
    <w:rsid w:val="003763A4"/>
    <w:rsid w:val="003A3999"/>
    <w:rsid w:val="003A7FB5"/>
    <w:rsid w:val="003E3DF7"/>
    <w:rsid w:val="00404E59"/>
    <w:rsid w:val="00417131"/>
    <w:rsid w:val="00423085"/>
    <w:rsid w:val="00431542"/>
    <w:rsid w:val="0043200D"/>
    <w:rsid w:val="00466F60"/>
    <w:rsid w:val="00471803"/>
    <w:rsid w:val="00474756"/>
    <w:rsid w:val="00487E42"/>
    <w:rsid w:val="00492C42"/>
    <w:rsid w:val="00497E13"/>
    <w:rsid w:val="004A1DCE"/>
    <w:rsid w:val="004B6E83"/>
    <w:rsid w:val="004C7ACD"/>
    <w:rsid w:val="004F6DCF"/>
    <w:rsid w:val="005000B7"/>
    <w:rsid w:val="00504BCF"/>
    <w:rsid w:val="005302F1"/>
    <w:rsid w:val="005373B8"/>
    <w:rsid w:val="00542467"/>
    <w:rsid w:val="00545506"/>
    <w:rsid w:val="0054778F"/>
    <w:rsid w:val="005733E4"/>
    <w:rsid w:val="005765B3"/>
    <w:rsid w:val="00576A4A"/>
    <w:rsid w:val="00596E52"/>
    <w:rsid w:val="005A16E7"/>
    <w:rsid w:val="005A47A7"/>
    <w:rsid w:val="005A6BAB"/>
    <w:rsid w:val="005B7EB8"/>
    <w:rsid w:val="005F1184"/>
    <w:rsid w:val="005F11DC"/>
    <w:rsid w:val="006018E1"/>
    <w:rsid w:val="006036C4"/>
    <w:rsid w:val="00610C4D"/>
    <w:rsid w:val="0061226A"/>
    <w:rsid w:val="00626A49"/>
    <w:rsid w:val="00631ED9"/>
    <w:rsid w:val="00656618"/>
    <w:rsid w:val="00663B78"/>
    <w:rsid w:val="00663BE7"/>
    <w:rsid w:val="00663DCC"/>
    <w:rsid w:val="006714A9"/>
    <w:rsid w:val="00683E3C"/>
    <w:rsid w:val="00687709"/>
    <w:rsid w:val="006969E4"/>
    <w:rsid w:val="006A78B9"/>
    <w:rsid w:val="006B7D92"/>
    <w:rsid w:val="006D382B"/>
    <w:rsid w:val="006E7707"/>
    <w:rsid w:val="006F0E8A"/>
    <w:rsid w:val="006F101C"/>
    <w:rsid w:val="00706CDA"/>
    <w:rsid w:val="0072188A"/>
    <w:rsid w:val="007346DD"/>
    <w:rsid w:val="00737BAF"/>
    <w:rsid w:val="0074777D"/>
    <w:rsid w:val="00754BA1"/>
    <w:rsid w:val="007773D9"/>
    <w:rsid w:val="00780933"/>
    <w:rsid w:val="00784698"/>
    <w:rsid w:val="007861F9"/>
    <w:rsid w:val="007872FB"/>
    <w:rsid w:val="00787CC4"/>
    <w:rsid w:val="00787D29"/>
    <w:rsid w:val="007B0E1C"/>
    <w:rsid w:val="007B3B56"/>
    <w:rsid w:val="007B676B"/>
    <w:rsid w:val="007E075E"/>
    <w:rsid w:val="007E2FE0"/>
    <w:rsid w:val="00801D00"/>
    <w:rsid w:val="008113BB"/>
    <w:rsid w:val="00822FB3"/>
    <w:rsid w:val="0082630F"/>
    <w:rsid w:val="008315F5"/>
    <w:rsid w:val="00832F4C"/>
    <w:rsid w:val="00832F57"/>
    <w:rsid w:val="0084701B"/>
    <w:rsid w:val="008747A1"/>
    <w:rsid w:val="00875545"/>
    <w:rsid w:val="00887AFF"/>
    <w:rsid w:val="008A11DD"/>
    <w:rsid w:val="008B1D55"/>
    <w:rsid w:val="008D3C79"/>
    <w:rsid w:val="008D484B"/>
    <w:rsid w:val="008E014F"/>
    <w:rsid w:val="008E251A"/>
    <w:rsid w:val="008E2D42"/>
    <w:rsid w:val="008E2E15"/>
    <w:rsid w:val="008F3C18"/>
    <w:rsid w:val="009058CF"/>
    <w:rsid w:val="00917EF9"/>
    <w:rsid w:val="00920F37"/>
    <w:rsid w:val="00930E97"/>
    <w:rsid w:val="0093725C"/>
    <w:rsid w:val="009572E7"/>
    <w:rsid w:val="009656FC"/>
    <w:rsid w:val="00974BFE"/>
    <w:rsid w:val="00977871"/>
    <w:rsid w:val="009814DC"/>
    <w:rsid w:val="009826B8"/>
    <w:rsid w:val="00986F31"/>
    <w:rsid w:val="009A6AC1"/>
    <w:rsid w:val="009B16AD"/>
    <w:rsid w:val="009B3DD6"/>
    <w:rsid w:val="009B6517"/>
    <w:rsid w:val="009C6606"/>
    <w:rsid w:val="009D37A5"/>
    <w:rsid w:val="00A04E1C"/>
    <w:rsid w:val="00A11EAD"/>
    <w:rsid w:val="00A219E2"/>
    <w:rsid w:val="00A23AAC"/>
    <w:rsid w:val="00A272C0"/>
    <w:rsid w:val="00A32CAE"/>
    <w:rsid w:val="00A335A9"/>
    <w:rsid w:val="00A339BE"/>
    <w:rsid w:val="00A356F4"/>
    <w:rsid w:val="00A5144B"/>
    <w:rsid w:val="00A51847"/>
    <w:rsid w:val="00A70123"/>
    <w:rsid w:val="00A832EE"/>
    <w:rsid w:val="00AA1E4B"/>
    <w:rsid w:val="00AA5B6C"/>
    <w:rsid w:val="00AB628F"/>
    <w:rsid w:val="00B01AA6"/>
    <w:rsid w:val="00B26990"/>
    <w:rsid w:val="00B31593"/>
    <w:rsid w:val="00B47D46"/>
    <w:rsid w:val="00B60180"/>
    <w:rsid w:val="00B61470"/>
    <w:rsid w:val="00B62AC5"/>
    <w:rsid w:val="00B64E94"/>
    <w:rsid w:val="00B6732F"/>
    <w:rsid w:val="00B72554"/>
    <w:rsid w:val="00B7677B"/>
    <w:rsid w:val="00B8143B"/>
    <w:rsid w:val="00B908DB"/>
    <w:rsid w:val="00B91E3C"/>
    <w:rsid w:val="00B94189"/>
    <w:rsid w:val="00BA08A8"/>
    <w:rsid w:val="00BB0952"/>
    <w:rsid w:val="00BC6F24"/>
    <w:rsid w:val="00BD3DAE"/>
    <w:rsid w:val="00C01C02"/>
    <w:rsid w:val="00C05A88"/>
    <w:rsid w:val="00C07E22"/>
    <w:rsid w:val="00C2329D"/>
    <w:rsid w:val="00C23827"/>
    <w:rsid w:val="00C23B59"/>
    <w:rsid w:val="00C40448"/>
    <w:rsid w:val="00C42062"/>
    <w:rsid w:val="00C50524"/>
    <w:rsid w:val="00C533F1"/>
    <w:rsid w:val="00C536A5"/>
    <w:rsid w:val="00C56B76"/>
    <w:rsid w:val="00C66F65"/>
    <w:rsid w:val="00C6784F"/>
    <w:rsid w:val="00C7699E"/>
    <w:rsid w:val="00C97F96"/>
    <w:rsid w:val="00CA1638"/>
    <w:rsid w:val="00CA2CA8"/>
    <w:rsid w:val="00CA40EE"/>
    <w:rsid w:val="00CA73A5"/>
    <w:rsid w:val="00CA7CE1"/>
    <w:rsid w:val="00CB2425"/>
    <w:rsid w:val="00CC08AB"/>
    <w:rsid w:val="00CC50DD"/>
    <w:rsid w:val="00CD33F2"/>
    <w:rsid w:val="00CE4E84"/>
    <w:rsid w:val="00D0470E"/>
    <w:rsid w:val="00D04A3E"/>
    <w:rsid w:val="00D4537F"/>
    <w:rsid w:val="00D5160D"/>
    <w:rsid w:val="00D528C5"/>
    <w:rsid w:val="00D55490"/>
    <w:rsid w:val="00D56535"/>
    <w:rsid w:val="00D7456F"/>
    <w:rsid w:val="00D754D4"/>
    <w:rsid w:val="00D819EC"/>
    <w:rsid w:val="00DB35F7"/>
    <w:rsid w:val="00DC2210"/>
    <w:rsid w:val="00DC7ECC"/>
    <w:rsid w:val="00DE6AB7"/>
    <w:rsid w:val="00DF1557"/>
    <w:rsid w:val="00E15578"/>
    <w:rsid w:val="00E17DF7"/>
    <w:rsid w:val="00E53822"/>
    <w:rsid w:val="00E6516C"/>
    <w:rsid w:val="00E730DF"/>
    <w:rsid w:val="00E7332A"/>
    <w:rsid w:val="00E82412"/>
    <w:rsid w:val="00E975C7"/>
    <w:rsid w:val="00EA422A"/>
    <w:rsid w:val="00EA467C"/>
    <w:rsid w:val="00EB7A01"/>
    <w:rsid w:val="00EC72EF"/>
    <w:rsid w:val="00ED3C0B"/>
    <w:rsid w:val="00ED3F91"/>
    <w:rsid w:val="00EE122A"/>
    <w:rsid w:val="00EE2306"/>
    <w:rsid w:val="00EE6657"/>
    <w:rsid w:val="00EF0DCE"/>
    <w:rsid w:val="00EF2AAD"/>
    <w:rsid w:val="00F10CC2"/>
    <w:rsid w:val="00F340C0"/>
    <w:rsid w:val="00F84A2A"/>
    <w:rsid w:val="00F91730"/>
    <w:rsid w:val="00F97C58"/>
    <w:rsid w:val="00FA4658"/>
    <w:rsid w:val="00FB35C5"/>
    <w:rsid w:val="00FB5873"/>
    <w:rsid w:val="00FC2A5A"/>
    <w:rsid w:val="00FF105D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4751"/>
  <w15:docId w15:val="{344CD544-C159-4B56-B7B2-47F89F9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817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817"/>
    <w:pPr>
      <w:keepNext/>
      <w:keepLines/>
      <w:suppressAutoHyphens w:val="0"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3817"/>
    <w:pPr>
      <w:keepNext/>
      <w:keepLines/>
      <w:suppressAutoHyphens w:val="0"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817"/>
    <w:pPr>
      <w:keepNext/>
      <w:keepLines/>
      <w:suppressAutoHyphens w:val="0"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817"/>
    <w:pPr>
      <w:keepNext/>
      <w:keepLines/>
      <w:suppressAutoHyphens w:val="0"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3817"/>
    <w:pPr>
      <w:keepNext/>
      <w:keepLines/>
      <w:suppressAutoHyphens w:val="0"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3817"/>
    <w:pPr>
      <w:keepNext/>
      <w:keepLines/>
      <w:suppressAutoHyphens w:val="0"/>
      <w:spacing w:before="40" w:after="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3817"/>
    <w:pPr>
      <w:keepNext/>
      <w:keepLines/>
      <w:suppressAutoHyphens w:val="0"/>
      <w:spacing w:before="40" w:after="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3817"/>
    <w:pPr>
      <w:keepNext/>
      <w:keepLines/>
      <w:suppressAutoHyphens w:val="0"/>
      <w:spacing w:after="0"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3817"/>
    <w:pPr>
      <w:keepNext/>
      <w:keepLines/>
      <w:suppressAutoHyphens w:val="0"/>
      <w:spacing w:after="0"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3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3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3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33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33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33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33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33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3381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338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3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3381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33817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33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3817"/>
    <w:rPr>
      <w:b/>
      <w:bCs/>
      <w:smallCaps/>
      <w:color w:val="0F4761" w:themeColor="accent1" w:themeShade="BF"/>
      <w:spacing w:val="5"/>
    </w:rPr>
  </w:style>
  <w:style w:type="character" w:customStyle="1" w:styleId="IGindeksgrny">
    <w:name w:val="_IG_ – indeks górny"/>
    <w:basedOn w:val="Domylnaczcionkaakapitu"/>
    <w:qFormat/>
    <w:rsid w:val="0093381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933817"/>
    <w:rPr>
      <w:b/>
    </w:rPr>
  </w:style>
  <w:style w:type="character" w:styleId="Numerwiersza">
    <w:name w:val="line number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B299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Noto Sans Devanagari"/>
    </w:rPr>
  </w:style>
  <w:style w:type="paragraph" w:customStyle="1" w:styleId="Gwkaistopkauser">
    <w:name w:val="Główka i stopka (user)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3381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3817"/>
    <w:pPr>
      <w:suppressAutoHyphens w:val="0"/>
      <w:spacing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933817"/>
    <w:pPr>
      <w:suppressAutoHyphens w:val="0"/>
      <w:spacing w:before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933817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customStyle="1" w:styleId="ARTartustawynprozporzdzenia">
    <w:name w:val="ART(§) – art. ustawy (§ np. rozporządzenia)"/>
    <w:uiPriority w:val="11"/>
    <w:qFormat/>
    <w:rsid w:val="00933817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33817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qFormat/>
    <w:rsid w:val="00933817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lang w:eastAsia="pl-PL"/>
      <w14:ligatures w14:val="none"/>
    </w:rPr>
  </w:style>
  <w:style w:type="paragraph" w:customStyle="1" w:styleId="OZNPROJEKTUwskazaniedatylubwersjiprojektu">
    <w:name w:val="OZN_PROJEKTU – wskazanie daty lub wersji projektu"/>
    <w:next w:val="Normalny"/>
    <w:qFormat/>
    <w:rsid w:val="00FB7264"/>
    <w:pPr>
      <w:spacing w:line="360" w:lineRule="auto"/>
      <w:jc w:val="right"/>
    </w:pPr>
    <w:rPr>
      <w:rFonts w:ascii="Times New Roman" w:eastAsia="Times New Roman" w:hAnsi="Times New Roman" w:cs="Arial"/>
      <w:kern w:val="0"/>
      <w:szCs w:val="20"/>
      <w:u w:val="single"/>
      <w:lang w:eastAsia="pl-PL"/>
      <w14:ligatures w14:val="none"/>
    </w:rPr>
  </w:style>
  <w:style w:type="paragraph" w:customStyle="1" w:styleId="Komentarzuser">
    <w:name w:val="Komentarz (user)"/>
    <w:basedOn w:val="Normalny"/>
    <w:qFormat/>
    <w:pPr>
      <w:spacing w:before="56" w:after="0"/>
      <w:ind w:left="56" w:right="56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DB2990"/>
    <w:pPr>
      <w:suppressAutoHyphens w:val="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B299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B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D55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8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 err="1"/>
              <a:t>Sąd</a:t>
            </a:r>
            <a:r>
              <a:rPr lang="pl-PL" dirty="0"/>
              <a:t>y</a:t>
            </a:r>
            <a:r>
              <a:rPr lang="en-US" dirty="0"/>
              <a:t> </a:t>
            </a:r>
            <a:r>
              <a:rPr lang="pl-PL" dirty="0"/>
              <a:t>a</a:t>
            </a:r>
            <a:r>
              <a:rPr lang="en-US" dirty="0" err="1"/>
              <a:t>pelacyjne</a:t>
            </a:r>
            <a:r>
              <a:rPr lang="pl-PL" dirty="0"/>
              <a:t> </a:t>
            </a:r>
            <a:r>
              <a:rPr lang="en-US" dirty="0"/>
              <a:t> </a:t>
            </a:r>
            <a:endParaRPr lang="pl-PL" dirty="0"/>
          </a:p>
          <a:p>
            <a:pPr>
              <a:defRPr/>
            </a:pPr>
            <a:r>
              <a:rPr lang="en-US" dirty="0"/>
              <a:t>Rep</a:t>
            </a:r>
            <a:r>
              <a:rPr lang="pl-PL" dirty="0" err="1"/>
              <a:t>ertorium</a:t>
            </a:r>
            <a:r>
              <a:rPr lang="en-US" dirty="0"/>
              <a:t> A</a:t>
            </a:r>
            <a:r>
              <a:rPr lang="pl-PL" dirty="0"/>
              <a:t>C</a:t>
            </a:r>
            <a:r>
              <a:rPr lang="en-US" dirty="0"/>
              <a:t>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30703460640201946"/>
          <c:w val="0.56954851530263528"/>
          <c:h val="0.64754475327611072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Sądy Apelacyjne Rep. Aca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8B8-49A0-9650-0A5356470D1C}"/>
              </c:ext>
            </c:extLst>
          </c:dPt>
          <c:dPt>
            <c:idx val="1"/>
            <c:bubble3D val="0"/>
            <c:spPr>
              <a:solidFill>
                <a:schemeClr val="accent4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8B8-49A0-9650-0A5356470D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sprawy CHF (049cf)  - 57 910</c:v>
                </c:pt>
                <c:pt idx="1">
                  <c:v>pozostałe sprawy   - 19 680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57910</c:v>
                </c:pt>
                <c:pt idx="1">
                  <c:v>19680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B8-49A0-9650-0A5356470D1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38B8-49A0-9650-0A5356470D1C}"/>
              </c:ext>
            </c:extLst>
          </c:dPt>
          <c:dPt>
            <c:idx val="1"/>
            <c:bubble3D val="0"/>
            <c:spPr>
              <a:solidFill>
                <a:schemeClr val="accent4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38B8-49A0-9650-0A5356470D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sprawy CHF (049cf)  - 57 910</c:v>
                </c:pt>
                <c:pt idx="1">
                  <c:v>pozostałe sprawy   - 19 680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9-38B8-49A0-9650-0A5356470D1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58459114919541977"/>
          <c:y val="0.54608800453303996"/>
          <c:w val="0.41329271405547263"/>
          <c:h val="0.4473438844434584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dirty="0"/>
              <a:t>Sądy okręgowe   </a:t>
            </a:r>
          </a:p>
          <a:p>
            <a:pPr>
              <a:defRPr/>
            </a:pPr>
            <a:r>
              <a:rPr lang="pl-PL" dirty="0"/>
              <a:t>Repertorium C </a:t>
            </a:r>
          </a:p>
          <a:p>
            <a:pPr>
              <a:defRPr/>
            </a:pPr>
            <a:r>
              <a:rPr lang="pl-PL" sz="1800" dirty="0"/>
              <a:t>(I Instancja)</a:t>
            </a:r>
          </a:p>
        </c:rich>
      </c:tx>
      <c:layout>
        <c:manualLayout>
          <c:xMode val="edge"/>
          <c:yMode val="edge"/>
          <c:x val="0.2476001865461715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31238291086848546"/>
          <c:w val="0.54138488903103166"/>
          <c:h val="0.64704071288946208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Sądy Okręgowe -  Repertorium C ( I Instancja)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4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79F-460A-A596-A284A493F6F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79F-460A-A596-A284A493F6F3}"/>
              </c:ext>
            </c:extLst>
          </c:dPt>
          <c:dPt>
            <c:idx val="2"/>
            <c:bubble3D val="0"/>
            <c:spPr>
              <a:solidFill>
                <a:schemeClr val="accent4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79F-460A-A596-A284A493F6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sprawy CHF (049cf)  - 130 438</c:v>
                </c:pt>
                <c:pt idx="1">
                  <c:v>o rozwód 62 168</c:v>
                </c:pt>
                <c:pt idx="2">
                  <c:v>pozostałe sprawy  105 852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130438</c:v>
                </c:pt>
                <c:pt idx="1">
                  <c:v>62168</c:v>
                </c:pt>
                <c:pt idx="2">
                  <c:v>105852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79F-460A-A596-A284A493F6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567203259566329"/>
          <c:y val="0.56270604056475815"/>
          <c:w val="0.43279674043367106"/>
          <c:h val="0.412426091659147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3FD2-BD7C-43EA-93E0-0199C892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8365</Words>
  <Characters>50194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Mateusz  (DL)</dc:creator>
  <cp:keywords/>
  <dc:description/>
  <cp:lastModifiedBy>Mariański Piotr</cp:lastModifiedBy>
  <cp:revision>2</cp:revision>
  <cp:lastPrinted>2025-06-17T07:06:00Z</cp:lastPrinted>
  <dcterms:created xsi:type="dcterms:W3CDTF">2025-07-02T04:25:00Z</dcterms:created>
  <dcterms:modified xsi:type="dcterms:W3CDTF">2025-07-02T04:25:00Z</dcterms:modified>
  <dc:language>pl-PL</dc:language>
</cp:coreProperties>
</file>