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104C" w14:textId="77777777" w:rsidR="0045488A" w:rsidRPr="00A06DE5" w:rsidRDefault="0045488A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  <w:lang w:val="en-GB"/>
        </w:rPr>
      </w:pPr>
    </w:p>
    <w:p w14:paraId="092B9DE2" w14:textId="77777777" w:rsidR="00407060" w:rsidRPr="00A06DE5" w:rsidRDefault="00407060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  <w:lang w:val="en-GB"/>
        </w:rPr>
      </w:pPr>
    </w:p>
    <w:p w14:paraId="160445F8" w14:textId="08623CE4" w:rsidR="003624D0" w:rsidRPr="00E61461" w:rsidRDefault="00645C3C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  <w:lang w:val="en-GB"/>
        </w:rPr>
      </w:pPr>
      <w:r w:rsidRPr="00E61461">
        <w:rPr>
          <w:rFonts w:ascii="Verdana" w:hAnsi="Verdana"/>
          <w:sz w:val="20"/>
          <w:szCs w:val="20"/>
          <w:lang w:val="en-GB"/>
        </w:rPr>
        <w:t>Resolution No.</w:t>
      </w:r>
      <w:r w:rsidR="003624D0" w:rsidRPr="00E61461">
        <w:rPr>
          <w:rFonts w:ascii="Verdana" w:hAnsi="Verdana"/>
          <w:sz w:val="20"/>
          <w:szCs w:val="20"/>
          <w:lang w:val="en-GB"/>
        </w:rPr>
        <w:t xml:space="preserve"> </w:t>
      </w:r>
      <w:r w:rsidR="00DE5D11" w:rsidRPr="00E61461">
        <w:rPr>
          <w:rFonts w:ascii="Verdana" w:hAnsi="Verdana"/>
          <w:sz w:val="20"/>
          <w:szCs w:val="20"/>
          <w:lang w:val="en-GB"/>
        </w:rPr>
        <w:t>68</w:t>
      </w:r>
      <w:r w:rsidR="003624D0" w:rsidRPr="00E61461">
        <w:rPr>
          <w:rFonts w:ascii="Verdana" w:hAnsi="Verdana"/>
          <w:sz w:val="20"/>
          <w:szCs w:val="20"/>
          <w:lang w:val="en-GB"/>
        </w:rPr>
        <w:t>/</w:t>
      </w:r>
      <w:r w:rsidR="00DE5D11" w:rsidRPr="00E61461">
        <w:rPr>
          <w:rFonts w:ascii="Verdana" w:hAnsi="Verdana"/>
          <w:sz w:val="20"/>
          <w:szCs w:val="20"/>
          <w:lang w:val="en-GB"/>
        </w:rPr>
        <w:t>2287</w:t>
      </w:r>
      <w:r w:rsidR="003624D0" w:rsidRPr="00E61461">
        <w:rPr>
          <w:rFonts w:ascii="Verdana" w:hAnsi="Verdana"/>
          <w:sz w:val="20"/>
          <w:szCs w:val="20"/>
          <w:lang w:val="en-GB"/>
        </w:rPr>
        <w:t>/202</w:t>
      </w:r>
      <w:r w:rsidR="00054F49" w:rsidRPr="00E61461">
        <w:rPr>
          <w:rFonts w:ascii="Verdana" w:hAnsi="Verdana"/>
          <w:sz w:val="20"/>
          <w:szCs w:val="20"/>
          <w:lang w:val="en-GB"/>
        </w:rPr>
        <w:t>5</w:t>
      </w:r>
    </w:p>
    <w:p w14:paraId="3CFCEC3F" w14:textId="04701202" w:rsidR="003624D0" w:rsidRPr="00E61461" w:rsidRDefault="00645C3C" w:rsidP="003624D0">
      <w:pPr>
        <w:spacing w:after="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E61461">
        <w:rPr>
          <w:rFonts w:ascii="Verdana" w:hAnsi="Verdana"/>
          <w:sz w:val="20"/>
          <w:szCs w:val="20"/>
          <w:lang w:val="en-GB"/>
        </w:rPr>
        <w:t>of the Warsaw Stock Exchange Supervisory Board</w:t>
      </w:r>
    </w:p>
    <w:p w14:paraId="4E000CB8" w14:textId="3BC24DAA" w:rsidR="003624D0" w:rsidRPr="00E61461" w:rsidRDefault="00645C3C" w:rsidP="003624D0">
      <w:pPr>
        <w:spacing w:after="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E61461">
        <w:rPr>
          <w:rFonts w:ascii="Verdana" w:hAnsi="Verdana"/>
          <w:sz w:val="20"/>
          <w:szCs w:val="20"/>
          <w:lang w:val="en-GB"/>
        </w:rPr>
        <w:t>dated</w:t>
      </w:r>
      <w:r w:rsidR="00E2584A" w:rsidRPr="00E61461">
        <w:rPr>
          <w:rFonts w:ascii="Verdana" w:hAnsi="Verdana"/>
          <w:sz w:val="20"/>
          <w:szCs w:val="20"/>
          <w:lang w:val="en-GB"/>
        </w:rPr>
        <w:t xml:space="preserve"> 3 </w:t>
      </w:r>
      <w:r w:rsidRPr="00E61461">
        <w:rPr>
          <w:rFonts w:ascii="Verdana" w:hAnsi="Verdana"/>
          <w:sz w:val="20"/>
          <w:szCs w:val="20"/>
          <w:lang w:val="en-GB"/>
        </w:rPr>
        <w:t>July</w:t>
      </w:r>
      <w:r w:rsidR="00083463" w:rsidRPr="00E61461">
        <w:rPr>
          <w:rFonts w:ascii="Verdana" w:hAnsi="Verdana"/>
          <w:sz w:val="20"/>
          <w:szCs w:val="20"/>
          <w:lang w:val="en-GB"/>
        </w:rPr>
        <w:t xml:space="preserve"> </w:t>
      </w:r>
      <w:r w:rsidR="003624D0" w:rsidRPr="00E61461">
        <w:rPr>
          <w:rFonts w:ascii="Verdana" w:hAnsi="Verdana"/>
          <w:sz w:val="20"/>
          <w:szCs w:val="20"/>
          <w:lang w:val="en-GB"/>
        </w:rPr>
        <w:t>202</w:t>
      </w:r>
      <w:r w:rsidR="00054F49" w:rsidRPr="00E61461">
        <w:rPr>
          <w:rFonts w:ascii="Verdana" w:hAnsi="Verdana"/>
          <w:sz w:val="20"/>
          <w:szCs w:val="20"/>
          <w:lang w:val="en-GB"/>
        </w:rPr>
        <w:t>5</w:t>
      </w:r>
      <w:r w:rsidR="003624D0" w:rsidRPr="00E61461">
        <w:rPr>
          <w:rFonts w:ascii="Verdana" w:hAnsi="Verdana"/>
          <w:sz w:val="20"/>
          <w:szCs w:val="20"/>
          <w:lang w:val="en-GB"/>
        </w:rPr>
        <w:t xml:space="preserve"> </w:t>
      </w:r>
    </w:p>
    <w:p w14:paraId="72F4D4E5" w14:textId="69A67590" w:rsidR="003624D0" w:rsidRPr="00E61461" w:rsidRDefault="00645C3C" w:rsidP="00F91844">
      <w:pPr>
        <w:spacing w:before="120" w:after="60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E61461">
        <w:rPr>
          <w:rFonts w:ascii="Verdana" w:hAnsi="Verdana"/>
          <w:sz w:val="20"/>
          <w:szCs w:val="20"/>
          <w:lang w:val="en-GB"/>
        </w:rPr>
        <w:t>amending the Exchange Rules</w:t>
      </w:r>
    </w:p>
    <w:p w14:paraId="434B8414" w14:textId="7F204383" w:rsidR="00645C3C" w:rsidRPr="00E61461" w:rsidRDefault="00645C3C" w:rsidP="00A87365">
      <w:pPr>
        <w:spacing w:after="24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E61461">
        <w:rPr>
          <w:rFonts w:ascii="Verdana" w:hAnsi="Verdana"/>
          <w:sz w:val="20"/>
          <w:szCs w:val="20"/>
          <w:lang w:val="en-GB"/>
        </w:rPr>
        <w:t>Pursuant to § 18(2)(9) of the Exchange Articles of Association, the Exchange Supervisory Board hereby resolves as follows:</w:t>
      </w:r>
    </w:p>
    <w:p w14:paraId="2C95BD88" w14:textId="5DA6B41C" w:rsidR="003624D0" w:rsidRPr="00E61461" w:rsidRDefault="003624D0" w:rsidP="00A87365">
      <w:pPr>
        <w:spacing w:after="12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E61461">
        <w:rPr>
          <w:rFonts w:ascii="Verdana" w:hAnsi="Verdana"/>
          <w:sz w:val="20"/>
          <w:szCs w:val="20"/>
          <w:lang w:val="en-GB"/>
        </w:rPr>
        <w:t>§ 1</w:t>
      </w:r>
    </w:p>
    <w:p w14:paraId="6108DE8C" w14:textId="4D05677A" w:rsidR="00645C3C" w:rsidRPr="00E61461" w:rsidRDefault="00645C3C" w:rsidP="00E6387A">
      <w:p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Exhibit No. 1 (“Exchange fees charged </w:t>
      </w:r>
      <w:r w:rsidR="00FD1EB7" w:rsidRPr="00E61461">
        <w:rPr>
          <w:rFonts w:ascii="Verdana" w:hAnsi="Verdana" w:cs="Arial"/>
          <w:sz w:val="20"/>
          <w:szCs w:val="20"/>
          <w:lang w:val="en-GB"/>
        </w:rPr>
        <w:t>from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="00FD1EB7" w:rsidRPr="00E61461">
        <w:rPr>
          <w:rFonts w:ascii="Verdana" w:hAnsi="Verdana" w:cs="Arial"/>
          <w:sz w:val="20"/>
          <w:szCs w:val="20"/>
          <w:lang w:val="en-GB"/>
        </w:rPr>
        <w:t>E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xchange </w:t>
      </w:r>
      <w:r w:rsidR="00FD1EB7" w:rsidRPr="00E61461">
        <w:rPr>
          <w:rFonts w:ascii="Verdana" w:hAnsi="Verdana" w:cs="Arial"/>
          <w:sz w:val="20"/>
          <w:szCs w:val="20"/>
          <w:lang w:val="en-GB"/>
        </w:rPr>
        <w:t>M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embers”) </w:t>
      </w:r>
      <w:r w:rsidR="00FD1EB7" w:rsidRPr="00E61461">
        <w:rPr>
          <w:rFonts w:ascii="Verdana" w:hAnsi="Verdana" w:cs="Arial"/>
          <w:sz w:val="20"/>
          <w:szCs w:val="20"/>
          <w:lang w:val="en-GB"/>
        </w:rPr>
        <w:t>to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 the Exchange Rules, adopted by Resolution No. 1/1110/2006 of the Warsaw Stock Exchange Supervisory Board dated 4 January 2006 (as amended), shall be amended as follows:</w:t>
      </w:r>
    </w:p>
    <w:p w14:paraId="3598AA7A" w14:textId="5D0E185F" w:rsidR="00B835AE" w:rsidRPr="00E61461" w:rsidRDefault="00645C3C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>in point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 1.1.1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>the phrase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>“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>(CCG)”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 shall be deleted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; </w:t>
      </w:r>
    </w:p>
    <w:p w14:paraId="5FB39B27" w14:textId="00C9E32F" w:rsidR="00B835AE" w:rsidRPr="00E61461" w:rsidRDefault="00645C3C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>1.1.2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>the phrase “</w:t>
      </w:r>
      <w:r w:rsidR="00B835AE" w:rsidRPr="00E61461">
        <w:rPr>
          <w:rFonts w:ascii="Verdana" w:hAnsi="Verdana"/>
          <w:sz w:val="20"/>
          <w:szCs w:val="20"/>
          <w:lang w:val="en-GB"/>
        </w:rPr>
        <w:t>(CCG Drop Copy)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>”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 shall be deleted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; </w:t>
      </w:r>
    </w:p>
    <w:p w14:paraId="3B2C802D" w14:textId="5C1D406A" w:rsidR="00B835AE" w:rsidRPr="00E61461" w:rsidRDefault="00645C3C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>1.2.1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>the phrase “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>(CCG)”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 shall be deleted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; </w:t>
      </w:r>
    </w:p>
    <w:p w14:paraId="77058E53" w14:textId="693D0124" w:rsidR="00B835AE" w:rsidRPr="00E61461" w:rsidRDefault="00645C3C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>1.2.2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>the phrase “</w:t>
      </w:r>
      <w:r w:rsidR="00B835AE" w:rsidRPr="00E61461">
        <w:rPr>
          <w:rFonts w:ascii="Verdana" w:hAnsi="Verdana"/>
          <w:sz w:val="20"/>
          <w:szCs w:val="20"/>
          <w:lang w:val="en-GB"/>
        </w:rPr>
        <w:t>(CCG Drop Copy)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>”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 shall be deleted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; </w:t>
      </w:r>
    </w:p>
    <w:p w14:paraId="44480D35" w14:textId="0EA26A6C" w:rsidR="00B835AE" w:rsidRPr="00E61461" w:rsidRDefault="00645C3C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>1.3.1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B835AE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the phrase “PLN </w:t>
      </w:r>
      <w:r w:rsidR="00B835AE" w:rsidRPr="00E61461">
        <w:rPr>
          <w:rFonts w:ascii="Verdana" w:hAnsi="Verdana"/>
          <w:sz w:val="20"/>
          <w:szCs w:val="20"/>
          <w:lang w:val="en-GB"/>
        </w:rPr>
        <w:t>1</w:t>
      </w:r>
      <w:r w:rsidRPr="00E61461">
        <w:rPr>
          <w:rFonts w:ascii="Verdana" w:hAnsi="Verdana"/>
          <w:sz w:val="20"/>
          <w:szCs w:val="20"/>
          <w:lang w:val="en-GB"/>
        </w:rPr>
        <w:t>,</w:t>
      </w:r>
      <w:r w:rsidR="00B835AE" w:rsidRPr="00E61461">
        <w:rPr>
          <w:rFonts w:ascii="Verdana" w:hAnsi="Verdana"/>
          <w:sz w:val="20"/>
          <w:szCs w:val="20"/>
          <w:lang w:val="en-GB"/>
        </w:rPr>
        <w:t>800</w:t>
      </w:r>
      <w:r w:rsidRPr="00E61461">
        <w:rPr>
          <w:rFonts w:ascii="Verdana" w:hAnsi="Verdana"/>
          <w:sz w:val="20"/>
          <w:szCs w:val="20"/>
          <w:lang w:val="en-GB"/>
        </w:rPr>
        <w:t xml:space="preserve"> </w:t>
      </w:r>
      <w:r w:rsidR="00B835AE" w:rsidRPr="00E61461">
        <w:rPr>
          <w:rFonts w:ascii="Verdana" w:hAnsi="Verdana"/>
          <w:sz w:val="20"/>
          <w:szCs w:val="20"/>
          <w:lang w:val="en-GB"/>
        </w:rPr>
        <w:t xml:space="preserve">– </w:t>
      </w:r>
      <w:r w:rsidRPr="00E61461">
        <w:rPr>
          <w:rFonts w:ascii="Verdana" w:hAnsi="Verdana"/>
          <w:sz w:val="20"/>
          <w:szCs w:val="20"/>
          <w:lang w:val="en-GB"/>
        </w:rPr>
        <w:t>PLN</w:t>
      </w:r>
      <w:r w:rsidR="00A06DE5" w:rsidRPr="00E61461">
        <w:rPr>
          <w:rFonts w:ascii="Verdana" w:hAnsi="Verdana"/>
          <w:sz w:val="20"/>
          <w:szCs w:val="20"/>
          <w:lang w:val="en-GB"/>
        </w:rPr>
        <w:t xml:space="preserve"> </w:t>
      </w:r>
      <w:r w:rsidR="00B835AE" w:rsidRPr="00E61461">
        <w:rPr>
          <w:rFonts w:ascii="Verdana" w:hAnsi="Verdana"/>
          <w:sz w:val="20"/>
          <w:szCs w:val="20"/>
          <w:lang w:val="en-GB"/>
        </w:rPr>
        <w:t>2</w:t>
      </w:r>
      <w:r w:rsidR="00A06DE5" w:rsidRPr="00E61461">
        <w:rPr>
          <w:rFonts w:ascii="Verdana" w:hAnsi="Verdana"/>
          <w:sz w:val="20"/>
          <w:szCs w:val="20"/>
          <w:lang w:val="en-GB"/>
        </w:rPr>
        <w:t>,</w:t>
      </w:r>
      <w:r w:rsidR="00B835AE" w:rsidRPr="00E61461">
        <w:rPr>
          <w:rFonts w:ascii="Verdana" w:hAnsi="Verdana"/>
          <w:sz w:val="20"/>
          <w:szCs w:val="20"/>
          <w:lang w:val="en-GB"/>
        </w:rPr>
        <w:t xml:space="preserve">100 </w:t>
      </w:r>
      <w:r w:rsidRPr="00E61461">
        <w:rPr>
          <w:rFonts w:ascii="Verdana" w:hAnsi="Verdana"/>
          <w:sz w:val="20"/>
          <w:szCs w:val="20"/>
          <w:lang w:val="en-GB"/>
        </w:rPr>
        <w:t>depending on the type of available access solution</w:t>
      </w:r>
      <w:r w:rsidR="00B835AE" w:rsidRPr="00E61461">
        <w:rPr>
          <w:rFonts w:ascii="Verdana" w:hAnsi="Verdana"/>
          <w:sz w:val="20"/>
          <w:szCs w:val="20"/>
          <w:lang w:val="en-GB"/>
        </w:rPr>
        <w:t xml:space="preserve">” </w:t>
      </w:r>
      <w:r w:rsidRPr="00E61461">
        <w:rPr>
          <w:rFonts w:ascii="Verdana" w:hAnsi="Verdana"/>
          <w:sz w:val="20"/>
          <w:szCs w:val="20"/>
          <w:lang w:val="en-GB"/>
        </w:rPr>
        <w:t>shall be replaced with the phrase</w:t>
      </w:r>
      <w:r w:rsidR="00AF19A4" w:rsidRPr="00E61461">
        <w:rPr>
          <w:rFonts w:ascii="Verdana" w:hAnsi="Verdana"/>
          <w:sz w:val="20"/>
          <w:szCs w:val="20"/>
          <w:lang w:val="en-GB"/>
        </w:rPr>
        <w:t xml:space="preserve"> </w:t>
      </w:r>
      <w:r w:rsidRPr="00E61461">
        <w:rPr>
          <w:rFonts w:ascii="Verdana" w:hAnsi="Verdana"/>
          <w:sz w:val="20"/>
          <w:szCs w:val="20"/>
          <w:lang w:val="en-GB"/>
        </w:rPr>
        <w:t xml:space="preserve">“PLN </w:t>
      </w:r>
      <w:r w:rsidR="00AF19A4" w:rsidRPr="00E61461">
        <w:rPr>
          <w:rFonts w:ascii="Verdana" w:hAnsi="Verdana"/>
          <w:sz w:val="20"/>
          <w:szCs w:val="20"/>
          <w:lang w:val="en-GB"/>
        </w:rPr>
        <w:t>2</w:t>
      </w:r>
      <w:r w:rsidRPr="00E61461">
        <w:rPr>
          <w:rFonts w:ascii="Verdana" w:hAnsi="Verdana"/>
          <w:sz w:val="20"/>
          <w:szCs w:val="20"/>
          <w:lang w:val="en-GB"/>
        </w:rPr>
        <w:t>,</w:t>
      </w:r>
      <w:r w:rsidR="00AF19A4" w:rsidRPr="00E61461">
        <w:rPr>
          <w:rFonts w:ascii="Verdana" w:hAnsi="Verdana"/>
          <w:sz w:val="20"/>
          <w:szCs w:val="20"/>
          <w:lang w:val="en-GB"/>
        </w:rPr>
        <w:t xml:space="preserve">500”; </w:t>
      </w:r>
    </w:p>
    <w:p w14:paraId="1A77E48B" w14:textId="1F597D59" w:rsidR="00AF19A4" w:rsidRPr="00E61461" w:rsidRDefault="00DB067A" w:rsidP="00AF19A4">
      <w:p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6) </w:t>
      </w:r>
      <w:r w:rsidR="00645C3C" w:rsidRPr="00E61461">
        <w:rPr>
          <w:rFonts w:ascii="Verdana" w:hAnsi="Verdana" w:cs="Arial"/>
          <w:sz w:val="20"/>
          <w:szCs w:val="20"/>
          <w:lang w:val="en-GB"/>
        </w:rPr>
        <w:t xml:space="preserve">point 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2.2.1 </w:t>
      </w:r>
      <w:r w:rsidR="00645C3C" w:rsidRPr="00E61461">
        <w:rPr>
          <w:rFonts w:ascii="Verdana" w:hAnsi="Verdana"/>
          <w:sz w:val="20"/>
          <w:szCs w:val="20"/>
          <w:lang w:val="en-GB"/>
        </w:rPr>
        <w:t>shall be replaced with the following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: 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883"/>
        <w:gridCol w:w="2798"/>
        <w:gridCol w:w="4819"/>
      </w:tblGrid>
      <w:tr w:rsidR="00AF19A4" w:rsidRPr="00E61461" w14:paraId="277DADD3" w14:textId="77777777" w:rsidTr="00AF19A4">
        <w:trPr>
          <w:trHeight w:val="284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99"/>
              <w:right w:val="single" w:sz="4" w:space="0" w:color="auto"/>
            </w:tcBorders>
          </w:tcPr>
          <w:p w14:paraId="4BED59B0" w14:textId="77777777" w:rsidR="00AF19A4" w:rsidRPr="00E61461" w:rsidRDefault="00AF19A4" w:rsidP="00C80929">
            <w:pPr>
              <w:spacing w:before="120" w:after="0" w:line="240" w:lineRule="auto"/>
              <w:rPr>
                <w:sz w:val="19"/>
                <w:szCs w:val="19"/>
                <w:lang w:val="en-GB"/>
              </w:rPr>
            </w:pPr>
            <w:r w:rsidRPr="00E61461">
              <w:rPr>
                <w:sz w:val="19"/>
                <w:szCs w:val="19"/>
                <w:lang w:val="en-GB"/>
              </w:rPr>
              <w:t xml:space="preserve">2.2.1.  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2F9F" w14:textId="577DF872" w:rsidR="00AF19A4" w:rsidRPr="00E61461" w:rsidRDefault="00645C3C" w:rsidP="00AF19A4">
            <w:pPr>
              <w:spacing w:before="120" w:after="0" w:line="240" w:lineRule="auto"/>
              <w:rPr>
                <w:sz w:val="19"/>
                <w:szCs w:val="19"/>
                <w:lang w:val="en-GB"/>
              </w:rPr>
            </w:pPr>
            <w:r w:rsidRPr="00E61461">
              <w:rPr>
                <w:rFonts w:cs="Calibri"/>
                <w:sz w:val="19"/>
                <w:szCs w:val="19"/>
                <w:lang w:val="en-GB"/>
              </w:rPr>
              <w:t>For messages sent by the Exchange Member in the quarter</w:t>
            </w:r>
            <w:r w:rsidR="00AF19A4" w:rsidRPr="00E61461">
              <w:rPr>
                <w:rFonts w:cs="Calibri"/>
                <w:sz w:val="19"/>
                <w:szCs w:val="19"/>
                <w:lang w:val="en-GB"/>
              </w:rPr>
              <w:t xml:space="preserve"> </w:t>
            </w:r>
            <w:r w:rsidR="00AF19A4" w:rsidRPr="00E61461">
              <w:rPr>
                <w:rFonts w:cs="Calibri"/>
                <w:sz w:val="19"/>
                <w:szCs w:val="19"/>
                <w:lang w:val="en-GB"/>
              </w:rPr>
              <w:br/>
            </w:r>
            <w:r w:rsidR="00AF19A4" w:rsidRPr="00E61461">
              <w:rPr>
                <w:sz w:val="19"/>
                <w:szCs w:val="19"/>
                <w:lang w:val="en-GB"/>
              </w:rPr>
              <w:t>(</w:t>
            </w:r>
            <w:r w:rsidRPr="00E61461">
              <w:rPr>
                <w:sz w:val="19"/>
                <w:szCs w:val="19"/>
                <w:lang w:val="en-GB"/>
              </w:rPr>
              <w:t>subject to points</w:t>
            </w:r>
            <w:r w:rsidR="00AF19A4" w:rsidRPr="00E61461">
              <w:rPr>
                <w:sz w:val="19"/>
                <w:szCs w:val="19"/>
                <w:lang w:val="en-GB"/>
              </w:rPr>
              <w:t xml:space="preserve">  IV </w:t>
            </w:r>
            <w:r w:rsidRPr="00E61461">
              <w:rPr>
                <w:sz w:val="19"/>
                <w:szCs w:val="19"/>
                <w:lang w:val="en-GB"/>
              </w:rPr>
              <w:t>and</w:t>
            </w:r>
            <w:r w:rsidR="00AF19A4" w:rsidRPr="00E61461">
              <w:rPr>
                <w:sz w:val="19"/>
                <w:szCs w:val="19"/>
                <w:lang w:val="en-GB"/>
              </w:rPr>
              <w:t xml:space="preserve"> V)</w:t>
            </w:r>
          </w:p>
          <w:p w14:paraId="55EDA986" w14:textId="77777777" w:rsidR="00AF19A4" w:rsidRPr="00E61461" w:rsidRDefault="00AF19A4" w:rsidP="00C80929">
            <w:pPr>
              <w:spacing w:after="0" w:line="240" w:lineRule="auto"/>
              <w:rPr>
                <w:sz w:val="19"/>
                <w:szCs w:val="19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5"/>
              <w:gridCol w:w="3085"/>
            </w:tblGrid>
            <w:tr w:rsidR="00AF19A4" w:rsidRPr="00E61461" w14:paraId="6F92C7B6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7D028" w14:textId="2DB93AC4" w:rsidR="00AF19A4" w:rsidRPr="00E61461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  <w:t xml:space="preserve">     </w:t>
                  </w:r>
                  <w:r w:rsidR="00645C3C" w:rsidRPr="00E61461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  <w:t>Number of messages</w:t>
                  </w:r>
                  <w:r w:rsidRPr="00E61461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  <w:t xml:space="preserve"> (</w:t>
                  </w:r>
                  <w:r w:rsidR="00645C3C" w:rsidRPr="00E61461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  <w:t>in total</w:t>
                  </w:r>
                  <w:r w:rsidRPr="00E61461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  <w:t>)</w:t>
                  </w:r>
                </w:p>
                <w:p w14:paraId="46A964C6" w14:textId="77777777" w:rsidR="00AF19A4" w:rsidRPr="00E61461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BDC64" w14:textId="1A51141B" w:rsidR="00AF19A4" w:rsidRPr="00E61461" w:rsidRDefault="00645C3C" w:rsidP="00AF19A4">
                  <w:pPr>
                    <w:spacing w:after="240" w:line="240" w:lineRule="auto"/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  <w:t>Quarterly fee</w:t>
                  </w:r>
                  <w:r w:rsidR="00AF19A4" w:rsidRPr="00E61461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val="en-GB" w:eastAsia="pl-PL"/>
                    </w:rPr>
                    <w:t xml:space="preserve"> </w:t>
                  </w:r>
                </w:p>
              </w:tc>
            </w:tr>
            <w:tr w:rsidR="00AF19A4" w:rsidRPr="00E61461" w14:paraId="1B861749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473CC" w14:textId="108F412B" w:rsidR="00AF19A4" w:rsidRPr="00E61461" w:rsidRDefault="00645C3C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no more than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 360 000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B3B7D" w14:textId="193835A3" w:rsidR="00AF19A4" w:rsidRPr="00E61461" w:rsidRDefault="00645C3C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PLN 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0</w:t>
                  </w: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.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05 </w:t>
                  </w: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per message</w:t>
                  </w:r>
                </w:p>
              </w:tc>
            </w:tr>
            <w:tr w:rsidR="00AF19A4" w:rsidRPr="00E61461" w14:paraId="5994E45B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7FC14" w14:textId="77777777" w:rsidR="00AF19A4" w:rsidRPr="00E61461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360 001 - 4 500 000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E335A" w14:textId="68BDD3A2" w:rsidR="00AF19A4" w:rsidRPr="00E61461" w:rsidRDefault="00645C3C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PLN 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18</w:t>
                  </w: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,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000 </w:t>
                  </w:r>
                </w:p>
              </w:tc>
            </w:tr>
            <w:tr w:rsidR="00AF19A4" w:rsidRPr="00E61461" w14:paraId="51A51629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94DAD" w14:textId="77777777" w:rsidR="00AF19A4" w:rsidRPr="00E61461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4 500 001 - 9 000 000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5BECA" w14:textId="4E9F24A3" w:rsidR="00AF19A4" w:rsidRPr="00E61461" w:rsidRDefault="00645C3C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PLN 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36</w:t>
                  </w: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,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000 </w:t>
                  </w:r>
                </w:p>
              </w:tc>
            </w:tr>
            <w:tr w:rsidR="00AF19A4" w:rsidRPr="00E61461" w14:paraId="368B84F5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00760" w14:textId="77777777" w:rsidR="00AF19A4" w:rsidRPr="00E61461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9 000 001 - 15 000 000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7B79B" w14:textId="15E16BCB" w:rsidR="00AF19A4" w:rsidRPr="00E61461" w:rsidRDefault="00645C3C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PLN 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54</w:t>
                  </w: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,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000 </w:t>
                  </w:r>
                </w:p>
              </w:tc>
            </w:tr>
            <w:tr w:rsidR="00AF19A4" w:rsidRPr="00E61461" w14:paraId="72841BC3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88811" w14:textId="219CFAF1" w:rsidR="00AF19A4" w:rsidRPr="00E61461" w:rsidRDefault="00645C3C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more than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 15 000 000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8BE95" w14:textId="518EC8C6" w:rsidR="00AF19A4" w:rsidRPr="00E61461" w:rsidRDefault="00645C3C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</w:pP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PLN 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72</w:t>
                  </w:r>
                  <w:r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>,</w:t>
                  </w:r>
                  <w:r w:rsidR="00AF19A4" w:rsidRPr="00E61461">
                    <w:rPr>
                      <w:rFonts w:eastAsia="Times New Roman" w:cs="Calibri"/>
                      <w:sz w:val="19"/>
                      <w:szCs w:val="19"/>
                      <w:lang w:val="en-GB" w:eastAsia="pl-PL"/>
                    </w:rPr>
                    <w:t xml:space="preserve">000 </w:t>
                  </w:r>
                </w:p>
              </w:tc>
            </w:tr>
          </w:tbl>
          <w:p w14:paraId="552FD7FB" w14:textId="77777777" w:rsidR="00AF19A4" w:rsidRPr="00E61461" w:rsidRDefault="00AF19A4" w:rsidP="00AF19A4">
            <w:pPr>
              <w:spacing w:after="0" w:line="240" w:lineRule="auto"/>
              <w:ind w:left="-2291"/>
              <w:jc w:val="right"/>
              <w:rPr>
                <w:sz w:val="19"/>
                <w:szCs w:val="19"/>
                <w:lang w:val="en-GB"/>
              </w:rPr>
            </w:pPr>
          </w:p>
        </w:tc>
      </w:tr>
    </w:tbl>
    <w:p w14:paraId="43E8901C" w14:textId="710CE562" w:rsidR="00AF19A4" w:rsidRPr="00E61461" w:rsidRDefault="00AF19A4" w:rsidP="00AF19A4">
      <w:p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</w:p>
    <w:p w14:paraId="16C8E321" w14:textId="33BE2CA6" w:rsidR="00670159" w:rsidRPr="00E61461" w:rsidRDefault="00670159" w:rsidP="00AF19A4">
      <w:p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</w:p>
    <w:p w14:paraId="1CFB9C5F" w14:textId="1E45BAF3" w:rsidR="006F2ADC" w:rsidRPr="00E61461" w:rsidRDefault="00645C3C" w:rsidP="00E6257D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lastRenderedPageBreak/>
        <w:t>points</w:t>
      </w:r>
      <w:r w:rsidR="006F2ADC" w:rsidRPr="00E61461">
        <w:rPr>
          <w:rFonts w:ascii="Verdana" w:hAnsi="Verdana" w:cs="Arial"/>
          <w:sz w:val="20"/>
          <w:szCs w:val="20"/>
          <w:lang w:val="en-GB"/>
        </w:rPr>
        <w:t xml:space="preserve"> 3.7, 4.3 </w:t>
      </w:r>
      <w:r w:rsidRPr="00E61461">
        <w:rPr>
          <w:rFonts w:ascii="Verdana" w:hAnsi="Verdana" w:cs="Arial"/>
          <w:sz w:val="20"/>
          <w:szCs w:val="20"/>
          <w:lang w:val="en-GB"/>
        </w:rPr>
        <w:t>and</w:t>
      </w:r>
      <w:r w:rsidR="006F2ADC" w:rsidRPr="00E61461">
        <w:rPr>
          <w:rFonts w:ascii="Verdana" w:hAnsi="Verdana" w:cs="Arial"/>
          <w:sz w:val="20"/>
          <w:szCs w:val="20"/>
          <w:lang w:val="en-GB"/>
        </w:rPr>
        <w:t xml:space="preserve"> 4.4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 shall be deleted</w:t>
      </w:r>
      <w:r w:rsidR="006F2ADC" w:rsidRPr="00E61461">
        <w:rPr>
          <w:rFonts w:ascii="Verdana" w:hAnsi="Verdana" w:cs="Arial"/>
          <w:sz w:val="20"/>
          <w:szCs w:val="20"/>
          <w:lang w:val="en-GB"/>
        </w:rPr>
        <w:t xml:space="preserve">; </w:t>
      </w:r>
    </w:p>
    <w:p w14:paraId="67122641" w14:textId="677B5A43" w:rsidR="00207BBD" w:rsidRPr="00E61461" w:rsidRDefault="00645C3C" w:rsidP="00E6257D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>in point</w:t>
      </w:r>
      <w:r w:rsidR="004C3B16" w:rsidRPr="00E61461">
        <w:rPr>
          <w:rFonts w:ascii="Verdana" w:hAnsi="Verdana" w:cs="Arial"/>
          <w:sz w:val="20"/>
          <w:szCs w:val="20"/>
          <w:lang w:val="en-GB"/>
        </w:rPr>
        <w:t xml:space="preserve"> 6.6.1</w:t>
      </w:r>
      <w:r w:rsidR="00207BBD" w:rsidRPr="00E61461">
        <w:rPr>
          <w:rFonts w:ascii="Verdana" w:hAnsi="Verdana" w:cs="Arial"/>
          <w:sz w:val="20"/>
          <w:szCs w:val="20"/>
          <w:lang w:val="en-GB"/>
        </w:rPr>
        <w:t>:</w:t>
      </w:r>
    </w:p>
    <w:p w14:paraId="207751B2" w14:textId="7903A3DD" w:rsidR="004C3B16" w:rsidRPr="00E61461" w:rsidRDefault="00645C3C" w:rsidP="00207BBD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the introductory sentence shall </w:t>
      </w:r>
      <w:r w:rsidRPr="00E61461">
        <w:rPr>
          <w:rFonts w:ascii="Verdana" w:hAnsi="Verdana"/>
          <w:sz w:val="20"/>
          <w:szCs w:val="20"/>
          <w:lang w:val="en-GB"/>
        </w:rPr>
        <w:t>be replaced with the following</w:t>
      </w:r>
      <w:r w:rsidR="004C3B16" w:rsidRPr="00E61461">
        <w:rPr>
          <w:rFonts w:ascii="Verdana" w:hAnsi="Verdana" w:cs="Arial"/>
          <w:sz w:val="20"/>
          <w:szCs w:val="20"/>
          <w:lang w:val="en-GB"/>
        </w:rPr>
        <w:t>:</w:t>
      </w:r>
      <w:r w:rsidR="00207BBD" w:rsidRPr="00E61461">
        <w:rPr>
          <w:rFonts w:ascii="Verdana" w:hAnsi="Verdana" w:cs="Arial"/>
          <w:sz w:val="20"/>
          <w:szCs w:val="20"/>
          <w:lang w:val="en-GB"/>
        </w:rPr>
        <w:t xml:space="preserve">  </w:t>
      </w:r>
    </w:p>
    <w:p w14:paraId="1B65FD95" w14:textId="06D2786B" w:rsidR="004C3B16" w:rsidRPr="00E61461" w:rsidRDefault="00645C3C" w:rsidP="00BE5EEF">
      <w:pPr>
        <w:pStyle w:val="Akapitzlist"/>
        <w:tabs>
          <w:tab w:val="left" w:pos="338"/>
        </w:tabs>
        <w:spacing w:before="120" w:after="120" w:line="360" w:lineRule="auto"/>
        <w:ind w:left="697"/>
        <w:jc w:val="both"/>
        <w:rPr>
          <w:rFonts w:ascii="Verdana" w:hAnsi="Verdana"/>
          <w:bCs/>
          <w:color w:val="000000"/>
          <w:sz w:val="20"/>
          <w:szCs w:val="20"/>
          <w:lang w:val="en-GB"/>
        </w:rPr>
      </w:pPr>
      <w:r w:rsidRPr="00E61461">
        <w:rPr>
          <w:rFonts w:ascii="Verdana" w:hAnsi="Verdana"/>
          <w:bCs/>
          <w:color w:val="000000"/>
          <w:sz w:val="20"/>
          <w:szCs w:val="20"/>
          <w:lang w:val="en-GB"/>
        </w:rPr>
        <w:t>“For use of active access profiles in the</w:t>
      </w:r>
      <w:r w:rsidR="004C3B16" w:rsidRPr="00E61461">
        <w:rPr>
          <w:rFonts w:ascii="Verdana" w:hAnsi="Verdana"/>
          <w:bCs/>
          <w:color w:val="000000"/>
          <w:sz w:val="20"/>
          <w:szCs w:val="20"/>
          <w:lang w:val="en-GB"/>
        </w:rPr>
        <w:t xml:space="preserve"> RMA</w:t>
      </w:r>
      <w:r w:rsidRPr="00E61461">
        <w:rPr>
          <w:rFonts w:ascii="Verdana" w:hAnsi="Verdana"/>
          <w:bCs/>
          <w:color w:val="000000"/>
          <w:sz w:val="20"/>
          <w:szCs w:val="20"/>
          <w:lang w:val="en-GB"/>
        </w:rPr>
        <w:t xml:space="preserve"> service</w:t>
      </w:r>
      <w:r w:rsidR="004C3B16" w:rsidRPr="00E61461">
        <w:rPr>
          <w:rFonts w:ascii="Verdana" w:hAnsi="Verdana"/>
          <w:bCs/>
          <w:color w:val="000000"/>
          <w:sz w:val="20"/>
          <w:szCs w:val="20"/>
          <w:lang w:val="en-GB"/>
        </w:rPr>
        <w:t xml:space="preserve"> (</w:t>
      </w:r>
      <w:r w:rsidRPr="00E61461">
        <w:rPr>
          <w:rFonts w:ascii="Verdana" w:hAnsi="Verdana"/>
          <w:bCs/>
          <w:color w:val="000000"/>
          <w:sz w:val="20"/>
          <w:szCs w:val="20"/>
          <w:lang w:val="en-GB"/>
        </w:rPr>
        <w:t>“</w:t>
      </w:r>
      <w:r w:rsidR="004C3B16" w:rsidRPr="00E61461">
        <w:rPr>
          <w:rFonts w:ascii="Verdana" w:hAnsi="Verdana"/>
          <w:bCs/>
          <w:color w:val="000000"/>
          <w:sz w:val="20"/>
          <w:szCs w:val="20"/>
          <w:lang w:val="en-GB"/>
        </w:rPr>
        <w:t xml:space="preserve">Active GUI RMA”):”;  </w:t>
      </w:r>
    </w:p>
    <w:p w14:paraId="6C4F19B0" w14:textId="07D95CB2" w:rsidR="00670159" w:rsidRPr="00E61461" w:rsidRDefault="00645C3C" w:rsidP="00207BBD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6.6.1.a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the phrase “PLN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1</w:t>
      </w:r>
      <w:r w:rsidRPr="00E61461">
        <w:rPr>
          <w:rFonts w:ascii="Verdana" w:hAnsi="Verdana" w:cs="Arial"/>
          <w:sz w:val="20"/>
          <w:szCs w:val="20"/>
          <w:lang w:val="en-GB"/>
        </w:rPr>
        <w:t>,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650</w:t>
      </w:r>
      <w:r w:rsidR="00670159" w:rsidRPr="00E61461">
        <w:rPr>
          <w:rFonts w:ascii="Verdana" w:hAnsi="Verdana"/>
          <w:sz w:val="20"/>
          <w:szCs w:val="20"/>
          <w:lang w:val="en-GB"/>
        </w:rPr>
        <w:t xml:space="preserve">” </w:t>
      </w:r>
      <w:r w:rsidRPr="00E61461">
        <w:rPr>
          <w:rFonts w:ascii="Verdana" w:hAnsi="Verdana"/>
          <w:sz w:val="20"/>
          <w:szCs w:val="20"/>
          <w:lang w:val="en-GB"/>
        </w:rPr>
        <w:t xml:space="preserve">shall be replaced with the phrase “PLN </w:t>
      </w:r>
      <w:r w:rsidR="00670159" w:rsidRPr="00E61461">
        <w:rPr>
          <w:rFonts w:ascii="Verdana" w:hAnsi="Verdana"/>
          <w:sz w:val="20"/>
          <w:szCs w:val="20"/>
          <w:lang w:val="en-GB"/>
        </w:rPr>
        <w:t>1</w:t>
      </w:r>
      <w:r w:rsidRPr="00E61461">
        <w:rPr>
          <w:rFonts w:ascii="Verdana" w:hAnsi="Verdana"/>
          <w:sz w:val="20"/>
          <w:szCs w:val="20"/>
          <w:lang w:val="en-GB"/>
        </w:rPr>
        <w:t>,</w:t>
      </w:r>
      <w:r w:rsidR="00670159" w:rsidRPr="00E61461">
        <w:rPr>
          <w:rFonts w:ascii="Verdana" w:hAnsi="Verdana"/>
          <w:sz w:val="20"/>
          <w:szCs w:val="20"/>
          <w:lang w:val="en-GB"/>
        </w:rPr>
        <w:t xml:space="preserve">000”; </w:t>
      </w:r>
    </w:p>
    <w:p w14:paraId="3280DDFD" w14:textId="38C5D9A1" w:rsidR="00670159" w:rsidRPr="00E61461" w:rsidRDefault="00645C3C" w:rsidP="00207BBD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6.6.1.b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the phrase “PLN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825</w:t>
      </w:r>
      <w:r w:rsidR="00670159" w:rsidRPr="00E61461">
        <w:rPr>
          <w:rFonts w:ascii="Verdana" w:hAnsi="Verdana"/>
          <w:sz w:val="20"/>
          <w:szCs w:val="20"/>
          <w:lang w:val="en-GB"/>
        </w:rPr>
        <w:t xml:space="preserve">” </w:t>
      </w:r>
      <w:r w:rsidRPr="00E61461">
        <w:rPr>
          <w:rFonts w:ascii="Verdana" w:hAnsi="Verdana"/>
          <w:sz w:val="20"/>
          <w:szCs w:val="20"/>
          <w:lang w:val="en-GB"/>
        </w:rPr>
        <w:t xml:space="preserve">shall be replaced with the phrase “PLN </w:t>
      </w:r>
      <w:r w:rsidR="00670159" w:rsidRPr="00E61461">
        <w:rPr>
          <w:rFonts w:ascii="Verdana" w:hAnsi="Verdana"/>
          <w:sz w:val="20"/>
          <w:szCs w:val="20"/>
          <w:lang w:val="en-GB"/>
        </w:rPr>
        <w:t xml:space="preserve">500”; </w:t>
      </w:r>
    </w:p>
    <w:p w14:paraId="01D59EC5" w14:textId="10BC2A13" w:rsidR="004C3B16" w:rsidRPr="00E61461" w:rsidRDefault="00645C3C" w:rsidP="00E6257D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4C3B16" w:rsidRPr="00E61461">
        <w:rPr>
          <w:rFonts w:ascii="Verdana" w:hAnsi="Verdana" w:cs="Arial"/>
          <w:sz w:val="20"/>
          <w:szCs w:val="20"/>
          <w:lang w:val="en-GB"/>
        </w:rPr>
        <w:t>6.6.2:</w:t>
      </w:r>
    </w:p>
    <w:p w14:paraId="37438D3D" w14:textId="58CE520A" w:rsidR="00207BBD" w:rsidRPr="00E61461" w:rsidRDefault="00645C3C" w:rsidP="00207BBD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Verdana" w:hAnsi="Verdana" w:cs="Arial"/>
          <w:bCs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the introductory sentence shall </w:t>
      </w:r>
      <w:r w:rsidRPr="00E61461">
        <w:rPr>
          <w:rFonts w:ascii="Verdana" w:hAnsi="Verdana"/>
          <w:sz w:val="20"/>
          <w:szCs w:val="20"/>
          <w:lang w:val="en-GB"/>
        </w:rPr>
        <w:t>be replaced with the following</w:t>
      </w:r>
      <w:r w:rsidR="00207BBD" w:rsidRPr="00E61461">
        <w:rPr>
          <w:rFonts w:ascii="Verdana" w:hAnsi="Verdana" w:cs="Arial"/>
          <w:sz w:val="20"/>
          <w:szCs w:val="20"/>
          <w:lang w:val="en-GB"/>
        </w:rPr>
        <w:t xml:space="preserve">:  </w:t>
      </w:r>
    </w:p>
    <w:p w14:paraId="4B5B1F89" w14:textId="29F33B85" w:rsidR="004C3B16" w:rsidRPr="00E61461" w:rsidRDefault="00645C3C" w:rsidP="00207BBD">
      <w:pPr>
        <w:pStyle w:val="Akapitzlist"/>
        <w:spacing w:after="240" w:line="360" w:lineRule="auto"/>
        <w:ind w:left="700"/>
        <w:jc w:val="both"/>
        <w:rPr>
          <w:rFonts w:ascii="Verdana" w:hAnsi="Verdana" w:cs="Arial"/>
          <w:bCs/>
          <w:sz w:val="20"/>
          <w:szCs w:val="20"/>
          <w:lang w:val="en-GB"/>
        </w:rPr>
      </w:pPr>
      <w:r w:rsidRPr="00E61461">
        <w:rPr>
          <w:rFonts w:ascii="Verdana" w:hAnsi="Verdana"/>
          <w:bCs/>
          <w:color w:val="000000"/>
          <w:sz w:val="20"/>
          <w:szCs w:val="20"/>
          <w:lang w:val="en-GB"/>
        </w:rPr>
        <w:t>“For use of passive access profiles in the RMA service (“</w:t>
      </w:r>
      <w:r w:rsidR="004C3B16" w:rsidRPr="00E61461">
        <w:rPr>
          <w:rFonts w:ascii="Verdana" w:hAnsi="Verdana"/>
          <w:bCs/>
          <w:color w:val="000000"/>
          <w:sz w:val="20"/>
          <w:szCs w:val="20"/>
          <w:lang w:val="en-GB"/>
        </w:rPr>
        <w:t xml:space="preserve">Passive GUI RMA”):”; </w:t>
      </w:r>
    </w:p>
    <w:p w14:paraId="14D112E5" w14:textId="193ABB79" w:rsidR="00670159" w:rsidRPr="00E61461" w:rsidRDefault="00645C3C" w:rsidP="00207BBD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6.6.2.a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the phrase “PLN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1</w:t>
      </w:r>
      <w:r w:rsidRPr="00E61461">
        <w:rPr>
          <w:rFonts w:ascii="Verdana" w:hAnsi="Verdana" w:cs="Arial"/>
          <w:sz w:val="20"/>
          <w:szCs w:val="20"/>
          <w:lang w:val="en-GB"/>
        </w:rPr>
        <w:t>,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100</w:t>
      </w:r>
      <w:r w:rsidR="00670159" w:rsidRPr="00E61461">
        <w:rPr>
          <w:rFonts w:ascii="Verdana" w:hAnsi="Verdana"/>
          <w:sz w:val="20"/>
          <w:szCs w:val="20"/>
          <w:lang w:val="en-GB"/>
        </w:rPr>
        <w:t xml:space="preserve">” </w:t>
      </w:r>
      <w:r w:rsidRPr="00E61461">
        <w:rPr>
          <w:rFonts w:ascii="Verdana" w:hAnsi="Verdana"/>
          <w:sz w:val="20"/>
          <w:szCs w:val="20"/>
          <w:lang w:val="en-GB"/>
        </w:rPr>
        <w:t xml:space="preserve">shall be replaced with the phrase “PLN </w:t>
      </w:r>
      <w:r w:rsidR="00670159" w:rsidRPr="00E61461">
        <w:rPr>
          <w:rFonts w:ascii="Verdana" w:hAnsi="Verdana"/>
          <w:sz w:val="20"/>
          <w:szCs w:val="20"/>
          <w:lang w:val="en-GB"/>
        </w:rPr>
        <w:t xml:space="preserve">500”; </w:t>
      </w:r>
    </w:p>
    <w:p w14:paraId="21C3B6F8" w14:textId="7D36DD75" w:rsidR="00670159" w:rsidRPr="00E61461" w:rsidRDefault="00645C3C" w:rsidP="00207BBD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 w:cs="Arial"/>
          <w:sz w:val="20"/>
          <w:szCs w:val="20"/>
          <w:lang w:val="en-GB"/>
        </w:rPr>
        <w:t xml:space="preserve">in point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6.6.2.b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the phrase “PLN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550</w:t>
      </w:r>
      <w:r w:rsidR="00670159" w:rsidRPr="00E61461">
        <w:rPr>
          <w:rFonts w:ascii="Verdana" w:hAnsi="Verdana"/>
          <w:sz w:val="20"/>
          <w:szCs w:val="20"/>
          <w:lang w:val="en-GB"/>
        </w:rPr>
        <w:t xml:space="preserve">” </w:t>
      </w:r>
      <w:r w:rsidRPr="00E61461">
        <w:rPr>
          <w:rFonts w:ascii="Verdana" w:hAnsi="Verdana"/>
          <w:sz w:val="20"/>
          <w:szCs w:val="20"/>
          <w:lang w:val="en-GB"/>
        </w:rPr>
        <w:t xml:space="preserve">shall be replaced with the phrase “PLN </w:t>
      </w:r>
      <w:r w:rsidR="00670159" w:rsidRPr="00E61461">
        <w:rPr>
          <w:rFonts w:ascii="Verdana" w:hAnsi="Verdana"/>
          <w:sz w:val="20"/>
          <w:szCs w:val="20"/>
          <w:lang w:val="en-GB"/>
        </w:rPr>
        <w:t>200”;</w:t>
      </w:r>
    </w:p>
    <w:p w14:paraId="4E930FE6" w14:textId="3CDABCCD" w:rsidR="00670159" w:rsidRPr="00E61461" w:rsidRDefault="00645C3C" w:rsidP="00E6257D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E61461">
        <w:rPr>
          <w:rFonts w:ascii="Verdana" w:hAnsi="Verdana"/>
          <w:sz w:val="20"/>
          <w:szCs w:val="20"/>
          <w:lang w:val="en-GB"/>
        </w:rPr>
        <w:t>after point</w:t>
      </w:r>
      <w:r w:rsidR="00670159" w:rsidRPr="00E61461">
        <w:rPr>
          <w:rFonts w:ascii="Verdana" w:hAnsi="Verdana"/>
          <w:sz w:val="20"/>
          <w:szCs w:val="20"/>
          <w:lang w:val="en-GB"/>
        </w:rPr>
        <w:t xml:space="preserve">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6.6.2.b</w:t>
      </w:r>
      <w:r w:rsidR="00A06DE5" w:rsidRPr="00E61461">
        <w:rPr>
          <w:rFonts w:ascii="Verdana" w:hAnsi="Verdana" w:cs="Arial"/>
          <w:sz w:val="20"/>
          <w:szCs w:val="20"/>
          <w:lang w:val="en-GB"/>
        </w:rPr>
        <w:t>,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E61461">
        <w:rPr>
          <w:rFonts w:ascii="Verdana" w:hAnsi="Verdana"/>
          <w:sz w:val="20"/>
          <w:szCs w:val="20"/>
          <w:lang w:val="en-GB"/>
        </w:rPr>
        <w:t xml:space="preserve">point 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>6.6.3</w:t>
      </w:r>
      <w:r w:rsidRPr="00E61461">
        <w:rPr>
          <w:rFonts w:ascii="Verdana" w:hAnsi="Verdana" w:cs="Arial"/>
          <w:sz w:val="20"/>
          <w:szCs w:val="20"/>
          <w:lang w:val="en-GB"/>
        </w:rPr>
        <w:t xml:space="preserve"> shall be added as follows</w:t>
      </w:r>
      <w:r w:rsidR="00670159" w:rsidRPr="00E61461">
        <w:rPr>
          <w:rFonts w:ascii="Verdana" w:hAnsi="Verdana" w:cs="Arial"/>
          <w:sz w:val="20"/>
          <w:szCs w:val="20"/>
          <w:lang w:val="en-GB"/>
        </w:rPr>
        <w:t xml:space="preserve">: </w:t>
      </w:r>
    </w:p>
    <w:tbl>
      <w:tblPr>
        <w:tblW w:w="78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370"/>
        <w:gridCol w:w="1769"/>
      </w:tblGrid>
      <w:tr w:rsidR="00670159" w:rsidRPr="00E61461" w:rsidDel="00FC2677" w14:paraId="14088911" w14:textId="77777777" w:rsidTr="00207BBD">
        <w:trPr>
          <w:trHeight w:val="533"/>
        </w:trPr>
        <w:tc>
          <w:tcPr>
            <w:tcW w:w="290" w:type="dxa"/>
          </w:tcPr>
          <w:p w14:paraId="73F5277F" w14:textId="77777777" w:rsidR="00670159" w:rsidRPr="00E61461" w:rsidRDefault="00670159" w:rsidP="00C80929">
            <w:pPr>
              <w:spacing w:after="0" w:line="240" w:lineRule="auto"/>
              <w:contextualSpacing/>
              <w:rPr>
                <w:lang w:val="en-GB"/>
              </w:rPr>
            </w:pPr>
            <w:r w:rsidRPr="00E61461">
              <w:rPr>
                <w:lang w:val="en-GB"/>
              </w:rPr>
              <w:t>6.6.3</w:t>
            </w:r>
          </w:p>
        </w:tc>
        <w:tc>
          <w:tcPr>
            <w:tcW w:w="5668" w:type="dxa"/>
          </w:tcPr>
          <w:p w14:paraId="1EF91FB6" w14:textId="4A34B742" w:rsidR="00670159" w:rsidRPr="00E61461" w:rsidRDefault="00645C3C" w:rsidP="00C80929">
            <w:pPr>
              <w:tabs>
                <w:tab w:val="left" w:pos="338"/>
              </w:tabs>
              <w:spacing w:after="0" w:line="240" w:lineRule="auto"/>
              <w:contextualSpacing/>
              <w:jc w:val="both"/>
              <w:rPr>
                <w:color w:val="000000"/>
                <w:lang w:val="en-GB"/>
              </w:rPr>
            </w:pPr>
            <w:r w:rsidRPr="00E61461">
              <w:rPr>
                <w:color w:val="000000"/>
                <w:lang w:val="en-GB"/>
              </w:rPr>
              <w:t>For Exchange Member’s access to the RMA service</w:t>
            </w:r>
          </w:p>
          <w:p w14:paraId="5642443C" w14:textId="77777777" w:rsidR="00670159" w:rsidRPr="00E61461" w:rsidRDefault="00670159" w:rsidP="00C80929">
            <w:pPr>
              <w:tabs>
                <w:tab w:val="left" w:pos="338"/>
              </w:tabs>
              <w:spacing w:after="120" w:line="360" w:lineRule="auto"/>
              <w:contextualSpacing/>
              <w:jc w:val="both"/>
              <w:rPr>
                <w:color w:val="000000"/>
                <w:lang w:val="en-GB"/>
              </w:rPr>
            </w:pPr>
          </w:p>
        </w:tc>
        <w:tc>
          <w:tcPr>
            <w:tcW w:w="1843" w:type="dxa"/>
          </w:tcPr>
          <w:p w14:paraId="474097B3" w14:textId="502A1210" w:rsidR="00670159" w:rsidRPr="00E61461" w:rsidDel="00FC2677" w:rsidRDefault="00645C3C" w:rsidP="00C80929">
            <w:pPr>
              <w:spacing w:after="0" w:line="240" w:lineRule="auto"/>
              <w:contextualSpacing/>
              <w:jc w:val="right"/>
              <w:rPr>
                <w:lang w:val="en-GB"/>
              </w:rPr>
            </w:pPr>
            <w:r w:rsidRPr="00E61461">
              <w:rPr>
                <w:color w:val="000000"/>
                <w:lang w:val="en-GB"/>
              </w:rPr>
              <w:t xml:space="preserve">PLN </w:t>
            </w:r>
            <w:r w:rsidR="00670159" w:rsidRPr="00E61461">
              <w:rPr>
                <w:color w:val="000000"/>
                <w:lang w:val="en-GB"/>
              </w:rPr>
              <w:t>4</w:t>
            </w:r>
            <w:r w:rsidRPr="00E61461">
              <w:rPr>
                <w:color w:val="000000"/>
                <w:lang w:val="en-GB"/>
              </w:rPr>
              <w:t>,</w:t>
            </w:r>
            <w:r w:rsidR="00670159" w:rsidRPr="00E61461">
              <w:rPr>
                <w:color w:val="000000"/>
                <w:lang w:val="en-GB"/>
              </w:rPr>
              <w:t xml:space="preserve">000 </w:t>
            </w:r>
          </w:p>
        </w:tc>
      </w:tr>
    </w:tbl>
    <w:p w14:paraId="63CC3280" w14:textId="77777777" w:rsidR="00E6387A" w:rsidRPr="00E61461" w:rsidRDefault="00E6387A" w:rsidP="003624D0">
      <w:pPr>
        <w:pStyle w:val="Default"/>
        <w:spacing w:after="120" w:line="360" w:lineRule="auto"/>
        <w:jc w:val="center"/>
        <w:rPr>
          <w:color w:val="auto"/>
          <w:sz w:val="22"/>
          <w:szCs w:val="22"/>
          <w:lang w:val="en-GB"/>
        </w:rPr>
      </w:pPr>
    </w:p>
    <w:p w14:paraId="612B9B24" w14:textId="2E89E282" w:rsidR="00CA6D97" w:rsidRPr="00E61461" w:rsidRDefault="00645C3C" w:rsidP="00A06DE5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E61461">
        <w:rPr>
          <w:rFonts w:ascii="Verdana" w:hAnsi="Verdana"/>
          <w:sz w:val="20"/>
          <w:szCs w:val="20"/>
          <w:lang w:val="en-GB"/>
        </w:rPr>
        <w:t>after point</w:t>
      </w:r>
      <w:r w:rsidR="00CA6D97" w:rsidRPr="00E61461">
        <w:rPr>
          <w:rFonts w:ascii="Verdana" w:hAnsi="Verdana"/>
          <w:sz w:val="20"/>
          <w:szCs w:val="20"/>
          <w:lang w:val="en-GB"/>
        </w:rPr>
        <w:t xml:space="preserve"> 6.6.3</w:t>
      </w:r>
      <w:r w:rsidR="00A06DE5" w:rsidRPr="00E61461">
        <w:rPr>
          <w:rFonts w:ascii="Verdana" w:hAnsi="Verdana"/>
          <w:sz w:val="20"/>
          <w:szCs w:val="20"/>
          <w:lang w:val="en-GB"/>
        </w:rPr>
        <w:t>,</w:t>
      </w:r>
      <w:r w:rsidR="00CA6D97" w:rsidRPr="00E61461">
        <w:rPr>
          <w:rFonts w:ascii="Verdana" w:hAnsi="Verdana"/>
          <w:sz w:val="20"/>
          <w:szCs w:val="20"/>
          <w:lang w:val="en-GB"/>
        </w:rPr>
        <w:t xml:space="preserve"> </w:t>
      </w:r>
      <w:r w:rsidRPr="00E61461">
        <w:rPr>
          <w:rFonts w:ascii="Verdana" w:hAnsi="Verdana"/>
          <w:sz w:val="20"/>
          <w:szCs w:val="20"/>
          <w:lang w:val="en-GB"/>
        </w:rPr>
        <w:t>points</w:t>
      </w:r>
      <w:r w:rsidR="00CA6D97" w:rsidRPr="00E61461">
        <w:rPr>
          <w:rFonts w:ascii="Verdana" w:hAnsi="Verdana"/>
          <w:sz w:val="20"/>
          <w:szCs w:val="20"/>
          <w:lang w:val="en-GB"/>
        </w:rPr>
        <w:t xml:space="preserve"> 6.7 </w:t>
      </w:r>
      <w:r w:rsidRPr="00E61461">
        <w:rPr>
          <w:rFonts w:ascii="Verdana" w:hAnsi="Verdana"/>
          <w:sz w:val="20"/>
          <w:szCs w:val="20"/>
          <w:lang w:val="en-GB"/>
        </w:rPr>
        <w:t>and</w:t>
      </w:r>
      <w:r w:rsidR="00CA6D97" w:rsidRPr="00E61461">
        <w:rPr>
          <w:rFonts w:ascii="Verdana" w:hAnsi="Verdana"/>
          <w:sz w:val="20"/>
          <w:szCs w:val="20"/>
          <w:lang w:val="en-GB"/>
        </w:rPr>
        <w:t xml:space="preserve"> 6.7.1</w:t>
      </w:r>
      <w:r w:rsidRPr="00E61461">
        <w:rPr>
          <w:rFonts w:ascii="Verdana" w:hAnsi="Verdana"/>
          <w:sz w:val="20"/>
          <w:szCs w:val="20"/>
          <w:lang w:val="en-GB"/>
        </w:rPr>
        <w:t xml:space="preserve"> shall be added as follows</w:t>
      </w:r>
      <w:r w:rsidR="00CA6D97" w:rsidRPr="00E61461">
        <w:rPr>
          <w:rFonts w:ascii="Verdana" w:hAnsi="Verdana"/>
          <w:sz w:val="20"/>
          <w:szCs w:val="20"/>
          <w:lang w:val="en-GB"/>
        </w:rPr>
        <w:t xml:space="preserve">: </w:t>
      </w: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298"/>
        <w:gridCol w:w="1780"/>
      </w:tblGrid>
      <w:tr w:rsidR="00CA6D97" w:rsidRPr="00E61461" w14:paraId="0942F885" w14:textId="77777777" w:rsidTr="00207BBD">
        <w:trPr>
          <w:trHeight w:val="214"/>
        </w:trPr>
        <w:tc>
          <w:tcPr>
            <w:tcW w:w="411" w:type="dxa"/>
          </w:tcPr>
          <w:p w14:paraId="551251D0" w14:textId="77777777" w:rsidR="00CA6D97" w:rsidRPr="00E61461" w:rsidRDefault="00CA6D97" w:rsidP="00C80929">
            <w:pPr>
              <w:spacing w:after="0" w:line="240" w:lineRule="auto"/>
              <w:contextualSpacing/>
              <w:rPr>
                <w:lang w:val="en-GB"/>
              </w:rPr>
            </w:pPr>
            <w:r w:rsidRPr="00E61461">
              <w:rPr>
                <w:lang w:val="en-GB"/>
              </w:rPr>
              <w:t>6.7.</w:t>
            </w:r>
          </w:p>
        </w:tc>
        <w:tc>
          <w:tcPr>
            <w:tcW w:w="5542" w:type="dxa"/>
          </w:tcPr>
          <w:p w14:paraId="3AD96FC8" w14:textId="6CF0265A" w:rsidR="00CA6D97" w:rsidRPr="00E61461" w:rsidRDefault="00645C3C" w:rsidP="006F2ADC">
            <w:pPr>
              <w:tabs>
                <w:tab w:val="left" w:pos="338"/>
              </w:tabs>
              <w:spacing w:after="120"/>
              <w:rPr>
                <w:color w:val="000000"/>
                <w:lang w:val="en-GB"/>
              </w:rPr>
            </w:pPr>
            <w:r w:rsidRPr="00E61461">
              <w:rPr>
                <w:color w:val="000000"/>
                <w:lang w:val="en-GB"/>
              </w:rPr>
              <w:t>Monthly fees for use of sponsored access</w:t>
            </w:r>
            <w:r w:rsidR="004C3B16" w:rsidRPr="00E61461">
              <w:rPr>
                <w:color w:val="000000"/>
                <w:lang w:val="en-GB"/>
              </w:rPr>
              <w:t>:</w:t>
            </w:r>
          </w:p>
        </w:tc>
        <w:tc>
          <w:tcPr>
            <w:tcW w:w="1843" w:type="dxa"/>
          </w:tcPr>
          <w:p w14:paraId="42A20F9E" w14:textId="77777777" w:rsidR="00CA6D97" w:rsidRPr="00E61461" w:rsidRDefault="00CA6D97" w:rsidP="00C80929">
            <w:pPr>
              <w:spacing w:after="0" w:line="240" w:lineRule="auto"/>
              <w:contextualSpacing/>
              <w:jc w:val="right"/>
              <w:rPr>
                <w:lang w:val="en-GB"/>
              </w:rPr>
            </w:pPr>
          </w:p>
        </w:tc>
      </w:tr>
      <w:tr w:rsidR="00CA6D97" w:rsidRPr="00E61461" w14:paraId="45D86454" w14:textId="77777777" w:rsidTr="00207BBD">
        <w:trPr>
          <w:trHeight w:val="735"/>
        </w:trPr>
        <w:tc>
          <w:tcPr>
            <w:tcW w:w="411" w:type="dxa"/>
          </w:tcPr>
          <w:p w14:paraId="0A4CD2A9" w14:textId="77777777" w:rsidR="00CA6D97" w:rsidRPr="00E61461" w:rsidRDefault="00CA6D97" w:rsidP="00C80929">
            <w:pPr>
              <w:spacing w:before="240" w:after="0" w:line="240" w:lineRule="auto"/>
              <w:contextualSpacing/>
              <w:rPr>
                <w:lang w:val="en-GB"/>
              </w:rPr>
            </w:pPr>
          </w:p>
          <w:p w14:paraId="0BB55CA3" w14:textId="5CF0507E" w:rsidR="00CA6D97" w:rsidRPr="00E61461" w:rsidRDefault="00CA6D97" w:rsidP="00C80929">
            <w:pPr>
              <w:spacing w:before="240" w:after="0" w:line="240" w:lineRule="auto"/>
              <w:contextualSpacing/>
              <w:rPr>
                <w:lang w:val="en-GB"/>
              </w:rPr>
            </w:pPr>
            <w:r w:rsidRPr="00E61461">
              <w:rPr>
                <w:lang w:val="en-GB"/>
              </w:rPr>
              <w:t>6.7.1.</w:t>
            </w:r>
          </w:p>
        </w:tc>
        <w:tc>
          <w:tcPr>
            <w:tcW w:w="5542" w:type="dxa"/>
          </w:tcPr>
          <w:p w14:paraId="47AF9EE6" w14:textId="6B4637EA" w:rsidR="00CA6D97" w:rsidRPr="00E61461" w:rsidRDefault="00645C3C" w:rsidP="00C80929">
            <w:pPr>
              <w:spacing w:before="240" w:after="0"/>
              <w:rPr>
                <w:color w:val="000000"/>
                <w:lang w:val="en-GB"/>
              </w:rPr>
            </w:pPr>
            <w:r w:rsidRPr="00E61461">
              <w:rPr>
                <w:lang w:val="en-GB"/>
              </w:rPr>
              <w:t>Fee per client using sponsored access</w:t>
            </w:r>
          </w:p>
        </w:tc>
        <w:tc>
          <w:tcPr>
            <w:tcW w:w="1843" w:type="dxa"/>
          </w:tcPr>
          <w:p w14:paraId="376FB48C" w14:textId="78994A5F" w:rsidR="00CA6D97" w:rsidRPr="00E61461" w:rsidRDefault="00645C3C" w:rsidP="00C80929">
            <w:pPr>
              <w:spacing w:before="240" w:after="0" w:line="240" w:lineRule="auto"/>
              <w:contextualSpacing/>
              <w:jc w:val="right"/>
              <w:rPr>
                <w:lang w:val="en-GB"/>
              </w:rPr>
            </w:pPr>
            <w:r w:rsidRPr="00E61461">
              <w:rPr>
                <w:lang w:val="en-GB"/>
              </w:rPr>
              <w:t xml:space="preserve">PLN </w:t>
            </w:r>
            <w:r w:rsidR="00CA6D97" w:rsidRPr="00E61461">
              <w:rPr>
                <w:lang w:val="en-GB"/>
              </w:rPr>
              <w:t>2</w:t>
            </w:r>
            <w:r w:rsidRPr="00E61461">
              <w:rPr>
                <w:lang w:val="en-GB"/>
              </w:rPr>
              <w:t>,</w:t>
            </w:r>
            <w:r w:rsidR="00CA6D97" w:rsidRPr="00E61461">
              <w:rPr>
                <w:lang w:val="en-GB"/>
              </w:rPr>
              <w:t>000</w:t>
            </w:r>
          </w:p>
        </w:tc>
      </w:tr>
    </w:tbl>
    <w:p w14:paraId="14C9A4DD" w14:textId="77777777" w:rsidR="00CA6D97" w:rsidRPr="00E61461" w:rsidRDefault="00CA6D97" w:rsidP="003624D0">
      <w:pPr>
        <w:pStyle w:val="Default"/>
        <w:spacing w:after="120" w:line="360" w:lineRule="auto"/>
        <w:jc w:val="center"/>
        <w:rPr>
          <w:color w:val="auto"/>
          <w:sz w:val="20"/>
          <w:szCs w:val="20"/>
          <w:lang w:val="en-GB"/>
        </w:rPr>
      </w:pPr>
    </w:p>
    <w:p w14:paraId="4D3653FA" w14:textId="3BDFC83D" w:rsidR="00CA6D97" w:rsidRPr="00E61461" w:rsidRDefault="00645C3C" w:rsidP="00E6257D">
      <w:pPr>
        <w:pStyle w:val="Default"/>
        <w:numPr>
          <w:ilvl w:val="0"/>
          <w:numId w:val="33"/>
        </w:numPr>
        <w:tabs>
          <w:tab w:val="num" w:pos="709"/>
          <w:tab w:val="left" w:pos="1560"/>
        </w:tabs>
        <w:spacing w:after="120" w:line="360" w:lineRule="auto"/>
        <w:jc w:val="both"/>
        <w:rPr>
          <w:rFonts w:cs="Calibri"/>
          <w:sz w:val="20"/>
          <w:szCs w:val="20"/>
          <w:lang w:val="en-GB"/>
        </w:rPr>
      </w:pPr>
      <w:r w:rsidRPr="00E61461">
        <w:rPr>
          <w:color w:val="auto"/>
          <w:sz w:val="20"/>
          <w:szCs w:val="20"/>
          <w:lang w:val="en-GB"/>
        </w:rPr>
        <w:t>Note</w:t>
      </w:r>
      <w:r w:rsidR="00CA6D97" w:rsidRPr="00E61461">
        <w:rPr>
          <w:color w:val="auto"/>
          <w:sz w:val="20"/>
          <w:szCs w:val="20"/>
          <w:lang w:val="en-GB"/>
        </w:rPr>
        <w:t xml:space="preserve"> VII </w:t>
      </w:r>
      <w:r w:rsidRPr="00E61461">
        <w:rPr>
          <w:rFonts w:cs="Arial"/>
          <w:sz w:val="20"/>
          <w:szCs w:val="20"/>
          <w:lang w:val="en-GB"/>
        </w:rPr>
        <w:t xml:space="preserve">shall </w:t>
      </w:r>
      <w:r w:rsidRPr="00E61461">
        <w:rPr>
          <w:sz w:val="20"/>
          <w:szCs w:val="20"/>
          <w:lang w:val="en-GB"/>
        </w:rPr>
        <w:t>be replaced with the following</w:t>
      </w:r>
      <w:r w:rsidR="00CA6D97" w:rsidRPr="00E61461">
        <w:rPr>
          <w:color w:val="auto"/>
          <w:sz w:val="20"/>
          <w:szCs w:val="20"/>
          <w:lang w:val="en-GB"/>
        </w:rPr>
        <w:t xml:space="preserve">: </w:t>
      </w:r>
    </w:p>
    <w:p w14:paraId="256DD2F1" w14:textId="78911D1E" w:rsidR="00645C3C" w:rsidRPr="00E61461" w:rsidRDefault="00645C3C" w:rsidP="007772E7">
      <w:pPr>
        <w:pStyle w:val="Default"/>
        <w:tabs>
          <w:tab w:val="num" w:pos="709"/>
          <w:tab w:val="left" w:pos="1560"/>
        </w:tabs>
        <w:spacing w:after="120" w:line="360" w:lineRule="auto"/>
        <w:ind w:left="340"/>
        <w:jc w:val="both"/>
        <w:rPr>
          <w:rFonts w:cs="Calibri"/>
          <w:sz w:val="20"/>
          <w:szCs w:val="20"/>
          <w:lang w:val="en-GB"/>
        </w:rPr>
      </w:pPr>
      <w:r w:rsidRPr="00E61461">
        <w:rPr>
          <w:rFonts w:cs="Calibri"/>
          <w:sz w:val="20"/>
          <w:szCs w:val="20"/>
          <w:lang w:val="en-GB"/>
        </w:rPr>
        <w:t>“VII. Fees on orders shall be charged on each order executed in one trading session or part of an order executed in one trading session.</w:t>
      </w:r>
      <w:r w:rsidR="00A06DE5" w:rsidRPr="00E61461">
        <w:rPr>
          <w:rFonts w:cs="Calibri"/>
          <w:sz w:val="20"/>
          <w:szCs w:val="20"/>
          <w:lang w:val="en-GB"/>
        </w:rPr>
        <w:t xml:space="preserve"> A</w:t>
      </w:r>
      <w:r w:rsidRPr="00E61461">
        <w:rPr>
          <w:rFonts w:cs="Calibri"/>
          <w:sz w:val="20"/>
          <w:szCs w:val="20"/>
          <w:lang w:val="en-GB"/>
        </w:rPr>
        <w:t>fter modification resulting in the loss of priority of the time of acceptance</w:t>
      </w:r>
      <w:r w:rsidR="00A06DE5" w:rsidRPr="00E61461">
        <w:rPr>
          <w:rFonts w:cs="Calibri"/>
          <w:sz w:val="20"/>
          <w:szCs w:val="20"/>
          <w:lang w:val="en-GB"/>
        </w:rPr>
        <w:t xml:space="preserve">/disclosure </w:t>
      </w:r>
      <w:r w:rsidRPr="00E61461">
        <w:rPr>
          <w:rFonts w:cs="Calibri"/>
          <w:sz w:val="20"/>
          <w:szCs w:val="20"/>
          <w:lang w:val="en-GB"/>
        </w:rPr>
        <w:t>in the order book</w:t>
      </w:r>
      <w:r w:rsidR="00A06DE5" w:rsidRPr="00E61461">
        <w:rPr>
          <w:rFonts w:cs="Calibri"/>
          <w:sz w:val="20"/>
          <w:szCs w:val="20"/>
          <w:lang w:val="en-GB"/>
        </w:rPr>
        <w:t xml:space="preserve">, a broker’s order </w:t>
      </w:r>
      <w:r w:rsidRPr="00E61461">
        <w:rPr>
          <w:rFonts w:cs="Calibri"/>
          <w:sz w:val="20"/>
          <w:szCs w:val="20"/>
          <w:lang w:val="en-GB"/>
        </w:rPr>
        <w:t>shall be considered a new order.”.</w:t>
      </w:r>
    </w:p>
    <w:p w14:paraId="63DCD6A5" w14:textId="04702153" w:rsidR="003624D0" w:rsidRPr="00E61461" w:rsidRDefault="003624D0" w:rsidP="003624D0">
      <w:pPr>
        <w:pStyle w:val="Default"/>
        <w:spacing w:after="120" w:line="360" w:lineRule="auto"/>
        <w:jc w:val="center"/>
        <w:rPr>
          <w:color w:val="auto"/>
          <w:sz w:val="20"/>
          <w:szCs w:val="20"/>
          <w:lang w:val="en-GB"/>
        </w:rPr>
      </w:pPr>
      <w:r w:rsidRPr="00E61461">
        <w:rPr>
          <w:color w:val="auto"/>
          <w:sz w:val="20"/>
          <w:szCs w:val="20"/>
          <w:lang w:val="en-GB"/>
        </w:rPr>
        <w:lastRenderedPageBreak/>
        <w:t xml:space="preserve">§ </w:t>
      </w:r>
      <w:r w:rsidR="00614AC6" w:rsidRPr="00E61461">
        <w:rPr>
          <w:color w:val="auto"/>
          <w:sz w:val="20"/>
          <w:szCs w:val="20"/>
          <w:lang w:val="en-GB"/>
        </w:rPr>
        <w:t>2</w:t>
      </w:r>
    </w:p>
    <w:p w14:paraId="085AEFE2" w14:textId="133BEE31" w:rsidR="00FD1EB7" w:rsidRPr="00E61461" w:rsidRDefault="00FD1EB7" w:rsidP="00434440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spacing w:val="-3"/>
          <w:sz w:val="20"/>
          <w:szCs w:val="20"/>
          <w:lang w:val="en-GB"/>
        </w:rPr>
        <w:t>This resolution shall enter into force on the date of its adoption, subject to sub-paragraphs 2 and 3.</w:t>
      </w:r>
    </w:p>
    <w:p w14:paraId="7E6593FC" w14:textId="3F9EB9E8" w:rsidR="00FD1EB7" w:rsidRPr="00E61461" w:rsidRDefault="00FD1EB7" w:rsidP="00434440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The amendments to Exhibit No. 1 to the Exchange Rules referred to in § 1 of this resolution shall enter into force no earlier than on the date of GPW’s roll-out of the new trading system (GPW WATS), set by the Exchange Management Board in a separate resolution, provided that the Polish Financial Supervision Authority grants its consent to such amendments, and no earlier than one month after the date of such consent and </w:t>
      </w:r>
      <w:r w:rsidR="00A06DE5" w:rsidRPr="00E61461">
        <w:rPr>
          <w:rFonts w:ascii="Verdana" w:hAnsi="Verdana"/>
          <w:spacing w:val="-3"/>
          <w:sz w:val="20"/>
          <w:szCs w:val="20"/>
          <w:lang w:val="en-GB"/>
        </w:rPr>
        <w:t>after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 the amendments </w:t>
      </w:r>
      <w:r w:rsidR="00A06DE5" w:rsidRPr="00E61461">
        <w:rPr>
          <w:rFonts w:ascii="Verdana" w:hAnsi="Verdana"/>
          <w:spacing w:val="-3"/>
          <w:sz w:val="20"/>
          <w:szCs w:val="20"/>
          <w:lang w:val="en-GB"/>
        </w:rPr>
        <w:t xml:space="preserve">are made known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to trading participants, as follows:</w:t>
      </w:r>
    </w:p>
    <w:p w14:paraId="620553C9" w14:textId="5B5475B2" w:rsidR="00FD1EB7" w:rsidRPr="00E61461" w:rsidRDefault="00FD1EB7" w:rsidP="00434440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the fees referred to in points 1.1 and 1.2 of Exhibit No. 1 to the Exchange Rules shall be charged in accordance with the rules set out in § 1 of this resolution starting from the first day of the month following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GPW’s roll-out of the new trading system (GPW WATS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); until that time, these fees shall be charged in accordance with the rules in force on the last trading day prior to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roll-out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>of GPW WATS;</w:t>
      </w:r>
    </w:p>
    <w:p w14:paraId="21BBD8F7" w14:textId="2258E157" w:rsidR="00A06DE5" w:rsidRPr="00E61461" w:rsidRDefault="00A06DE5" w:rsidP="00A06DE5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the fees referred to in point 1.3 of Exhibit No. 1 to the Exchange Rules shall be charged in accordance with the rules set out in § 1 of this resolution starting from the first day of the month following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GPW’s roll-out of the new trading system (GPW WATS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); until that time, these fees shall be charged in accordance with the rules in force on the last trading day prior to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roll-out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>of GPW WATS;</w:t>
      </w:r>
    </w:p>
    <w:p w14:paraId="3FC9AAD6" w14:textId="32F9466D" w:rsidR="00A06DE5" w:rsidRPr="00E61461" w:rsidRDefault="00A06DE5" w:rsidP="00A06DE5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the fees referred to in point 2.2.1 of Exhibit No. 1 to the Exchange Rules shall be charged in accordance with the rules set out in § 1 of this resolution starting from the first day of the calendar quarter following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GPW’s roll-out of the new trading system (GPW WATS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); until that time, these fees shall be charged in accordance with the rules in force on the last trading day prior to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roll-out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>of GPW WATS;</w:t>
      </w:r>
    </w:p>
    <w:p w14:paraId="200F84F0" w14:textId="36DB2B6E" w:rsidR="00A06DE5" w:rsidRPr="00E61461" w:rsidRDefault="00A06DE5" w:rsidP="00A06DE5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the fees referred to in points </w:t>
      </w:r>
      <w:r w:rsidRPr="00E61461">
        <w:rPr>
          <w:rFonts w:ascii="Verdana" w:hAnsi="Verdana" w:cs="Arial"/>
          <w:bCs/>
          <w:sz w:val="20"/>
          <w:szCs w:val="20"/>
          <w:lang w:val="en-GB"/>
        </w:rPr>
        <w:t>3.1.1- 3.6, 5.1, 5.3 and 6.2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 of Exhibit No. 1 to the Exchange Rules shall be charged taking into account the rules arising from the amendment to Note VII in Exhibit No. 1, as set out in § 1 of this resolution, starting from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GPW’s roll-out of the new trading system (GPW WATS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>), subject to sub-paragraph 3;</w:t>
      </w:r>
    </w:p>
    <w:p w14:paraId="40409C22" w14:textId="41648D38" w:rsidR="00A06DE5" w:rsidRPr="00E61461" w:rsidRDefault="00A06DE5" w:rsidP="00A06DE5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the fees referred to in points 3.7, 4.3 and 4.4 of Exhibit No. 1 to the Exchange Rules shall no longer be charged starting from the first day of the month following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GPW’s roll-out of the new trading system (GPW WATS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);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lastRenderedPageBreak/>
        <w:t xml:space="preserve">until that time, these fees shall be charged in accordance with the rules in force on the last trading day prior to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roll-out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>of GPW WATS;</w:t>
      </w:r>
    </w:p>
    <w:p w14:paraId="5F9A2FFA" w14:textId="7F64CFC1" w:rsidR="00A06DE5" w:rsidRPr="00E61461" w:rsidRDefault="00A06DE5" w:rsidP="00A06DE5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the fees referred to in points </w:t>
      </w:r>
      <w:r w:rsidRPr="00E61461">
        <w:rPr>
          <w:rFonts w:ascii="Verdana" w:hAnsi="Verdana" w:cs="Arial"/>
          <w:bCs/>
          <w:sz w:val="20"/>
          <w:szCs w:val="20"/>
          <w:lang w:val="en-GB"/>
        </w:rPr>
        <w:t>6.6.1 and 6.6.2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 of Exhibit No. 1 to the Exchange Rules shall be charged in accordance with the rules set out in § 1 of this resolution starting from the first day of the month following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GPW’s roll-out of the new trading system (GPW WATS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); until that time, these fees shall be charged in accordance with the rules in force on the last trading day prior to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roll-out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>of GPW WATS;</w:t>
      </w:r>
    </w:p>
    <w:p w14:paraId="1068C2BD" w14:textId="0BCB4791" w:rsidR="00A06DE5" w:rsidRPr="00E61461" w:rsidRDefault="00A06DE5" w:rsidP="00A06DE5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the fees referred to in points </w:t>
      </w:r>
      <w:r w:rsidRPr="00E61461">
        <w:rPr>
          <w:rFonts w:ascii="Verdana" w:hAnsi="Verdana" w:cs="Arial"/>
          <w:bCs/>
          <w:sz w:val="20"/>
          <w:szCs w:val="20"/>
          <w:lang w:val="en-GB"/>
        </w:rPr>
        <w:t>6.6.3 and 6.7.1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 of Exhibit No. 1 to the Exchange Rules shall be charged in accordance with the rules set out in § 1 of this resolution starting from the first day of the month following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GPW’s roll-out of the new trading system (GPW WATS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>).</w:t>
      </w:r>
    </w:p>
    <w:p w14:paraId="4629E26A" w14:textId="24209A4E" w:rsidR="00A06DE5" w:rsidRPr="00E61461" w:rsidRDefault="00A06DE5" w:rsidP="00D1716E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  <w:lang w:val="en-GB"/>
        </w:rPr>
      </w:pP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The fees referred to in sub-paragraph 2(d) shall be charged in accordance with the rules set out in § 1 of this resolution starting from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roll-out of GPW WATS, subject to the prior entry into force of the amendment to § 192(2) of the Exchange Rules adopted by Resolution No. </w:t>
      </w:r>
      <w:r w:rsidR="00E61461" w:rsidRPr="00E61461">
        <w:rPr>
          <w:rFonts w:ascii="Verdana" w:hAnsi="Verdana"/>
          <w:spacing w:val="-3"/>
          <w:sz w:val="20"/>
          <w:szCs w:val="20"/>
          <w:lang w:val="en-GB"/>
        </w:rPr>
        <w:t>67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>/</w:t>
      </w:r>
      <w:r w:rsidR="00E61461" w:rsidRPr="00E61461">
        <w:rPr>
          <w:rFonts w:ascii="Verdana" w:hAnsi="Verdana"/>
          <w:spacing w:val="-3"/>
          <w:sz w:val="20"/>
          <w:szCs w:val="20"/>
          <w:lang w:val="en-GB"/>
        </w:rPr>
        <w:t>2286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/2025 of the Warsaw Stock Exchange Supervisory Board dated 3 July 2025 amending the Exchange Rules. Otherwise, these fees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shall be charged in accordance with the rules set out in § 1 of this resolution starting from the first day of the month following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GPW’s roll-out of GPW WATS, and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 xml:space="preserve">until that time, these fees shall be charged in accordance with the rules in force on the last trading day prior to the date of </w:t>
      </w:r>
      <w:r w:rsidRPr="00E61461">
        <w:rPr>
          <w:rFonts w:ascii="Verdana" w:hAnsi="Verdana"/>
          <w:spacing w:val="-3"/>
          <w:sz w:val="20"/>
          <w:szCs w:val="20"/>
          <w:lang w:val="en-GB"/>
        </w:rPr>
        <w:t xml:space="preserve">roll-out </w:t>
      </w:r>
      <w:r w:rsidRPr="00E61461">
        <w:rPr>
          <w:rFonts w:ascii="Verdana" w:hAnsi="Verdana"/>
          <w:bCs/>
          <w:spacing w:val="-3"/>
          <w:sz w:val="20"/>
          <w:szCs w:val="20"/>
          <w:lang w:val="en-GB"/>
        </w:rPr>
        <w:t>of GPW WATS.</w:t>
      </w:r>
    </w:p>
    <w:p w14:paraId="7CE47C99" w14:textId="402A59BD" w:rsidR="00C56066" w:rsidRPr="00A06DE5" w:rsidRDefault="00C56066" w:rsidP="00C56066">
      <w:pPr>
        <w:pStyle w:val="Zwykytekst"/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  <w:lang w:val="en-GB"/>
        </w:rPr>
      </w:pPr>
    </w:p>
    <w:sectPr w:rsidR="00C56066" w:rsidRPr="00A06DE5" w:rsidSect="00C727A8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668D" w14:textId="77777777" w:rsidR="0097502C" w:rsidRDefault="0097502C" w:rsidP="0086331F">
      <w:pPr>
        <w:spacing w:after="0" w:line="240" w:lineRule="auto"/>
      </w:pPr>
      <w:r>
        <w:separator/>
      </w:r>
    </w:p>
  </w:endnote>
  <w:endnote w:type="continuationSeparator" w:id="0">
    <w:p w14:paraId="185EC1EB" w14:textId="77777777" w:rsidR="0097502C" w:rsidRDefault="0097502C" w:rsidP="008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0770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9D8A58" w14:textId="07229DB6" w:rsidR="00536391" w:rsidRPr="00D43CA7" w:rsidRDefault="00F62A32" w:rsidP="00536391">
        <w:pPr>
          <w:pStyle w:val="Stopka"/>
          <w:ind w:firstLine="708"/>
          <w:jc w:val="center"/>
          <w:rPr>
            <w:sz w:val="18"/>
            <w:szCs w:val="18"/>
          </w:rPr>
        </w:pPr>
        <w:r>
          <w:t xml:space="preserve">- </w:t>
        </w:r>
        <w:r w:rsidR="00536391" w:rsidRPr="00D43CA7">
          <w:rPr>
            <w:sz w:val="18"/>
            <w:szCs w:val="18"/>
          </w:rPr>
          <w:fldChar w:fldCharType="begin"/>
        </w:r>
        <w:r w:rsidR="00536391" w:rsidRPr="00D43CA7">
          <w:rPr>
            <w:sz w:val="18"/>
            <w:szCs w:val="18"/>
          </w:rPr>
          <w:instrText>PAGE   \* MERGEFORMAT</w:instrText>
        </w:r>
        <w:r w:rsidR="00536391" w:rsidRPr="00D43CA7">
          <w:rPr>
            <w:sz w:val="18"/>
            <w:szCs w:val="18"/>
          </w:rPr>
          <w:fldChar w:fldCharType="separate"/>
        </w:r>
        <w:r w:rsidR="00536391" w:rsidRPr="00D43CA7">
          <w:rPr>
            <w:sz w:val="18"/>
            <w:szCs w:val="18"/>
          </w:rPr>
          <w:t>2</w:t>
        </w:r>
        <w:r w:rsidR="00536391" w:rsidRPr="00D43CA7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p>
    </w:sdtContent>
  </w:sdt>
  <w:p w14:paraId="17BE5A33" w14:textId="216DF004" w:rsidR="00726330" w:rsidRDefault="00726330" w:rsidP="003847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FFAF" w14:textId="77777777" w:rsidR="00726330" w:rsidRDefault="004147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79B06D0" wp14:editId="6160FF06">
          <wp:simplePos x="0" y="0"/>
          <wp:positionH relativeFrom="column">
            <wp:posOffset>-826770</wp:posOffset>
          </wp:positionH>
          <wp:positionV relativeFrom="paragraph">
            <wp:posOffset>-459740</wp:posOffset>
          </wp:positionV>
          <wp:extent cx="7564755" cy="1068705"/>
          <wp:effectExtent l="0" t="0" r="0" b="0"/>
          <wp:wrapNone/>
          <wp:docPr id="2" name="Obraz 2" descr="papier firmowy nowe logo ogol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ier firmowy nowe logo ogoln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7981" w14:textId="77777777" w:rsidR="0097502C" w:rsidRDefault="0097502C" w:rsidP="0086331F">
      <w:pPr>
        <w:spacing w:after="0" w:line="240" w:lineRule="auto"/>
      </w:pPr>
      <w:r>
        <w:separator/>
      </w:r>
    </w:p>
  </w:footnote>
  <w:footnote w:type="continuationSeparator" w:id="0">
    <w:p w14:paraId="4278CFF6" w14:textId="77777777" w:rsidR="0097502C" w:rsidRDefault="0097502C" w:rsidP="0086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94EB" w14:textId="77777777" w:rsidR="00726330" w:rsidRPr="00D070CB" w:rsidRDefault="004147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E0C4730" wp14:editId="5813B887">
          <wp:simplePos x="0" y="0"/>
          <wp:positionH relativeFrom="column">
            <wp:posOffset>-835025</wp:posOffset>
          </wp:positionH>
          <wp:positionV relativeFrom="paragraph">
            <wp:posOffset>-447040</wp:posOffset>
          </wp:positionV>
          <wp:extent cx="7564755" cy="1068705"/>
          <wp:effectExtent l="0" t="0" r="0" b="0"/>
          <wp:wrapNone/>
          <wp:docPr id="1" name="Obraz 1" descr="papier firmowy nowe logo ogoln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ier firmowy nowe logo ogoln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FE0"/>
    <w:multiLevelType w:val="hybridMultilevel"/>
    <w:tmpl w:val="1962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D4D6E6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3F2"/>
    <w:multiLevelType w:val="hybridMultilevel"/>
    <w:tmpl w:val="7F5441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856C2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560BE0">
      <w:start w:val="1"/>
      <w:numFmt w:val="decimal"/>
      <w:lvlText w:val="%3)"/>
      <w:lvlJc w:val="left"/>
      <w:pPr>
        <w:tabs>
          <w:tab w:val="num" w:pos="2530"/>
        </w:tabs>
        <w:ind w:left="2530" w:hanging="550"/>
      </w:pPr>
    </w:lvl>
    <w:lvl w:ilvl="3" w:tplc="C3B691EC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4E7A2D8A">
      <w:start w:val="1"/>
      <w:numFmt w:val="decimal"/>
      <w:lvlText w:val="%5)"/>
      <w:lvlJc w:val="left"/>
      <w:pPr>
        <w:tabs>
          <w:tab w:val="num" w:pos="737"/>
        </w:tabs>
        <w:ind w:left="737" w:hanging="397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542AF"/>
    <w:multiLevelType w:val="hybridMultilevel"/>
    <w:tmpl w:val="23C6A740"/>
    <w:lvl w:ilvl="0" w:tplc="AFDE6ED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11C"/>
    <w:multiLevelType w:val="hybridMultilevel"/>
    <w:tmpl w:val="AEB01694"/>
    <w:lvl w:ilvl="0" w:tplc="88D4D6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5904"/>
    <w:multiLevelType w:val="hybridMultilevel"/>
    <w:tmpl w:val="516E7748"/>
    <w:lvl w:ilvl="0" w:tplc="ED0802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235F"/>
    <w:multiLevelType w:val="hybridMultilevel"/>
    <w:tmpl w:val="F8B493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AF0EB3"/>
    <w:multiLevelType w:val="hybridMultilevel"/>
    <w:tmpl w:val="B40E3032"/>
    <w:lvl w:ilvl="0" w:tplc="69706944">
      <w:start w:val="1"/>
      <w:numFmt w:val="lowerLetter"/>
      <w:lvlText w:val="%1)"/>
      <w:lvlJc w:val="left"/>
      <w:pPr>
        <w:ind w:left="7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9D70F77"/>
    <w:multiLevelType w:val="hybridMultilevel"/>
    <w:tmpl w:val="4E5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EE7"/>
    <w:multiLevelType w:val="hybridMultilevel"/>
    <w:tmpl w:val="A63CF720"/>
    <w:lvl w:ilvl="0" w:tplc="0C241E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A820C5"/>
    <w:multiLevelType w:val="hybridMultilevel"/>
    <w:tmpl w:val="37E81C54"/>
    <w:lvl w:ilvl="0" w:tplc="211461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sz w:val="20"/>
        <w:szCs w:val="20"/>
        <w:vertAlign w:val="baseline"/>
      </w:rPr>
    </w:lvl>
    <w:lvl w:ilvl="1" w:tplc="792286F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5147"/>
    <w:multiLevelType w:val="hybridMultilevel"/>
    <w:tmpl w:val="E5A6D834"/>
    <w:lvl w:ilvl="0" w:tplc="710A0C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3129A1"/>
    <w:multiLevelType w:val="hybridMultilevel"/>
    <w:tmpl w:val="8B18ADE0"/>
    <w:lvl w:ilvl="0" w:tplc="CB26EF8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6418754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D6123"/>
    <w:multiLevelType w:val="hybridMultilevel"/>
    <w:tmpl w:val="8408CB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87408"/>
    <w:multiLevelType w:val="hybridMultilevel"/>
    <w:tmpl w:val="523C2E68"/>
    <w:lvl w:ilvl="0" w:tplc="B978BF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58C6"/>
    <w:multiLevelType w:val="multilevel"/>
    <w:tmpl w:val="5760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737"/>
      </w:pPr>
      <w:rPr>
        <w:rFonts w:ascii="Verdana" w:eastAsia="Times New Roman" w:hAnsi="Verdana" w:cs="Verdan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F720B"/>
    <w:multiLevelType w:val="hybridMultilevel"/>
    <w:tmpl w:val="659ED676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rFonts w:ascii="Verdana" w:eastAsia="Times New Roman" w:hAnsi="Verdana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7CE6"/>
    <w:multiLevelType w:val="hybridMultilevel"/>
    <w:tmpl w:val="65BAEF90"/>
    <w:lvl w:ilvl="0" w:tplc="5ED45C9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BC46B2A">
      <w:start w:val="1"/>
      <w:numFmt w:val="decimal"/>
      <w:lvlText w:val="%2)"/>
      <w:lvlJc w:val="left"/>
      <w:pPr>
        <w:ind w:left="786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4480C04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F3C46DD8">
      <w:start w:val="1"/>
      <w:numFmt w:val="lowerLetter"/>
      <w:lvlText w:val="%5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437B6"/>
    <w:multiLevelType w:val="hybridMultilevel"/>
    <w:tmpl w:val="62EA2740"/>
    <w:lvl w:ilvl="0" w:tplc="78CA6AE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09A221E"/>
    <w:multiLevelType w:val="hybridMultilevel"/>
    <w:tmpl w:val="F266EE0C"/>
    <w:lvl w:ilvl="0" w:tplc="4942F6F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Verdana" w:eastAsia="Times New Roman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796" w:hanging="360"/>
      </w:pPr>
    </w:lvl>
    <w:lvl w:ilvl="2" w:tplc="0415001B">
      <w:start w:val="1"/>
      <w:numFmt w:val="lowerRoman"/>
      <w:lvlText w:val="%3."/>
      <w:lvlJc w:val="right"/>
      <w:pPr>
        <w:ind w:left="2516" w:hanging="180"/>
      </w:pPr>
    </w:lvl>
    <w:lvl w:ilvl="3" w:tplc="0415000F">
      <w:start w:val="1"/>
      <w:numFmt w:val="decimal"/>
      <w:lvlText w:val="%4."/>
      <w:lvlJc w:val="left"/>
      <w:pPr>
        <w:ind w:left="3236" w:hanging="360"/>
      </w:pPr>
    </w:lvl>
    <w:lvl w:ilvl="4" w:tplc="04150019">
      <w:start w:val="1"/>
      <w:numFmt w:val="lowerLetter"/>
      <w:lvlText w:val="%5."/>
      <w:lvlJc w:val="left"/>
      <w:pPr>
        <w:ind w:left="3956" w:hanging="360"/>
      </w:pPr>
    </w:lvl>
    <w:lvl w:ilvl="5" w:tplc="0415001B">
      <w:start w:val="1"/>
      <w:numFmt w:val="lowerRoman"/>
      <w:lvlText w:val="%6."/>
      <w:lvlJc w:val="right"/>
      <w:pPr>
        <w:ind w:left="4676" w:hanging="180"/>
      </w:pPr>
    </w:lvl>
    <w:lvl w:ilvl="6" w:tplc="0415000F">
      <w:start w:val="1"/>
      <w:numFmt w:val="decimal"/>
      <w:lvlText w:val="%7."/>
      <w:lvlJc w:val="left"/>
      <w:pPr>
        <w:ind w:left="5396" w:hanging="360"/>
      </w:pPr>
    </w:lvl>
    <w:lvl w:ilvl="7" w:tplc="04150019">
      <w:start w:val="1"/>
      <w:numFmt w:val="lowerLetter"/>
      <w:lvlText w:val="%8."/>
      <w:lvlJc w:val="left"/>
      <w:pPr>
        <w:ind w:left="6116" w:hanging="360"/>
      </w:pPr>
    </w:lvl>
    <w:lvl w:ilvl="8" w:tplc="0415001B">
      <w:start w:val="1"/>
      <w:numFmt w:val="lowerRoman"/>
      <w:lvlText w:val="%9."/>
      <w:lvlJc w:val="right"/>
      <w:pPr>
        <w:ind w:left="6836" w:hanging="180"/>
      </w:pPr>
    </w:lvl>
  </w:abstractNum>
  <w:abstractNum w:abstractNumId="19" w15:restartNumberingAfterBreak="0">
    <w:nsid w:val="410941F4"/>
    <w:multiLevelType w:val="hybridMultilevel"/>
    <w:tmpl w:val="860E57B4"/>
    <w:lvl w:ilvl="0" w:tplc="2F32E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1A45B8"/>
    <w:multiLevelType w:val="hybridMultilevel"/>
    <w:tmpl w:val="66486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17A8A"/>
    <w:multiLevelType w:val="hybridMultilevel"/>
    <w:tmpl w:val="FC20E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5524B"/>
    <w:multiLevelType w:val="hybridMultilevel"/>
    <w:tmpl w:val="4620CBA6"/>
    <w:lvl w:ilvl="0" w:tplc="1D9E93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E500C7"/>
    <w:multiLevelType w:val="hybridMultilevel"/>
    <w:tmpl w:val="812E1F5A"/>
    <w:lvl w:ilvl="0" w:tplc="E83CCC6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57610"/>
    <w:multiLevelType w:val="hybridMultilevel"/>
    <w:tmpl w:val="302C7F80"/>
    <w:lvl w:ilvl="0" w:tplc="72D27A6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FB0282"/>
    <w:multiLevelType w:val="hybridMultilevel"/>
    <w:tmpl w:val="664861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C7"/>
    <w:multiLevelType w:val="hybridMultilevel"/>
    <w:tmpl w:val="C7BAAC20"/>
    <w:lvl w:ilvl="0" w:tplc="051C85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B79775D"/>
    <w:multiLevelType w:val="hybridMultilevel"/>
    <w:tmpl w:val="9DFC6BA4"/>
    <w:lvl w:ilvl="0" w:tplc="2C0E71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CD4B63"/>
    <w:multiLevelType w:val="hybridMultilevel"/>
    <w:tmpl w:val="C2D061E6"/>
    <w:lvl w:ilvl="0" w:tplc="EE4452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A1E03"/>
    <w:multiLevelType w:val="hybridMultilevel"/>
    <w:tmpl w:val="CDBA114E"/>
    <w:lvl w:ilvl="0" w:tplc="BA1E8DB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775FE"/>
    <w:multiLevelType w:val="hybridMultilevel"/>
    <w:tmpl w:val="BCEA0DBE"/>
    <w:lvl w:ilvl="0" w:tplc="EB0E040A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91B74"/>
    <w:multiLevelType w:val="hybridMultilevel"/>
    <w:tmpl w:val="DF0C4B7C"/>
    <w:lvl w:ilvl="0" w:tplc="9A96F0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670B40"/>
    <w:multiLevelType w:val="multilevel"/>
    <w:tmpl w:val="24BC8F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705895">
    <w:abstractNumId w:val="16"/>
  </w:num>
  <w:num w:numId="2" w16cid:durableId="1777359357">
    <w:abstractNumId w:val="15"/>
  </w:num>
  <w:num w:numId="3" w16cid:durableId="1036153478">
    <w:abstractNumId w:val="23"/>
  </w:num>
  <w:num w:numId="4" w16cid:durableId="1691100261">
    <w:abstractNumId w:val="21"/>
  </w:num>
  <w:num w:numId="5" w16cid:durableId="1554268482">
    <w:abstractNumId w:val="10"/>
  </w:num>
  <w:num w:numId="6" w16cid:durableId="20181957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601740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533413">
    <w:abstractNumId w:val="8"/>
  </w:num>
  <w:num w:numId="9" w16cid:durableId="1379040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6792">
    <w:abstractNumId w:val="31"/>
  </w:num>
  <w:num w:numId="11" w16cid:durableId="169280552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07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547836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937386">
    <w:abstractNumId w:val="19"/>
  </w:num>
  <w:num w:numId="15" w16cid:durableId="688142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7897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4111931">
    <w:abstractNumId w:val="22"/>
  </w:num>
  <w:num w:numId="18" w16cid:durableId="2124493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858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383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0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124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811756">
    <w:abstractNumId w:val="7"/>
  </w:num>
  <w:num w:numId="24" w16cid:durableId="333609088">
    <w:abstractNumId w:val="27"/>
  </w:num>
  <w:num w:numId="25" w16cid:durableId="439421246">
    <w:abstractNumId w:val="0"/>
  </w:num>
  <w:num w:numId="26" w16cid:durableId="1201943291">
    <w:abstractNumId w:val="5"/>
  </w:num>
  <w:num w:numId="27" w16cid:durableId="420686751">
    <w:abstractNumId w:val="2"/>
  </w:num>
  <w:num w:numId="28" w16cid:durableId="446391427">
    <w:abstractNumId w:val="20"/>
  </w:num>
  <w:num w:numId="29" w16cid:durableId="359743648">
    <w:abstractNumId w:val="25"/>
  </w:num>
  <w:num w:numId="30" w16cid:durableId="111480231">
    <w:abstractNumId w:val="17"/>
  </w:num>
  <w:num w:numId="31" w16cid:durableId="2089616036">
    <w:abstractNumId w:val="26"/>
  </w:num>
  <w:num w:numId="32" w16cid:durableId="176846291">
    <w:abstractNumId w:val="6"/>
  </w:num>
  <w:num w:numId="33" w16cid:durableId="747074089">
    <w:abstractNumId w:val="30"/>
  </w:num>
  <w:num w:numId="34" w16cid:durableId="204644410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34"/>
    <w:rsid w:val="00000D40"/>
    <w:rsid w:val="000028CC"/>
    <w:rsid w:val="000129CE"/>
    <w:rsid w:val="0001614C"/>
    <w:rsid w:val="00021E4F"/>
    <w:rsid w:val="00023D42"/>
    <w:rsid w:val="00030A28"/>
    <w:rsid w:val="0004647C"/>
    <w:rsid w:val="00053CD6"/>
    <w:rsid w:val="00054F49"/>
    <w:rsid w:val="0005509B"/>
    <w:rsid w:val="00056B4F"/>
    <w:rsid w:val="000734A9"/>
    <w:rsid w:val="00083463"/>
    <w:rsid w:val="00085AE6"/>
    <w:rsid w:val="000938E5"/>
    <w:rsid w:val="00096240"/>
    <w:rsid w:val="00097A85"/>
    <w:rsid w:val="000B4F71"/>
    <w:rsid w:val="000D1033"/>
    <w:rsid w:val="000E20F2"/>
    <w:rsid w:val="000E290E"/>
    <w:rsid w:val="000E6EDA"/>
    <w:rsid w:val="000F0BE3"/>
    <w:rsid w:val="000F5B7C"/>
    <w:rsid w:val="000F7ED3"/>
    <w:rsid w:val="000F7FB4"/>
    <w:rsid w:val="0010210C"/>
    <w:rsid w:val="00114380"/>
    <w:rsid w:val="0011508A"/>
    <w:rsid w:val="00124C68"/>
    <w:rsid w:val="00135243"/>
    <w:rsid w:val="001404FF"/>
    <w:rsid w:val="001422D8"/>
    <w:rsid w:val="001427CC"/>
    <w:rsid w:val="00147200"/>
    <w:rsid w:val="00147A26"/>
    <w:rsid w:val="00150498"/>
    <w:rsid w:val="00153E2A"/>
    <w:rsid w:val="00155669"/>
    <w:rsid w:val="00161666"/>
    <w:rsid w:val="00162D97"/>
    <w:rsid w:val="001652A1"/>
    <w:rsid w:val="00165996"/>
    <w:rsid w:val="00173562"/>
    <w:rsid w:val="00173DD9"/>
    <w:rsid w:val="0018390F"/>
    <w:rsid w:val="0018519E"/>
    <w:rsid w:val="00195D3E"/>
    <w:rsid w:val="001C56F7"/>
    <w:rsid w:val="001C6A53"/>
    <w:rsid w:val="001D42D8"/>
    <w:rsid w:val="001F3683"/>
    <w:rsid w:val="00202E2A"/>
    <w:rsid w:val="00205E34"/>
    <w:rsid w:val="00207BBD"/>
    <w:rsid w:val="00210C3F"/>
    <w:rsid w:val="00223C64"/>
    <w:rsid w:val="00224C44"/>
    <w:rsid w:val="00226AA5"/>
    <w:rsid w:val="0024761A"/>
    <w:rsid w:val="00247677"/>
    <w:rsid w:val="002547DE"/>
    <w:rsid w:val="00260510"/>
    <w:rsid w:val="00263BD1"/>
    <w:rsid w:val="00266BC2"/>
    <w:rsid w:val="00267453"/>
    <w:rsid w:val="00277657"/>
    <w:rsid w:val="00284F9F"/>
    <w:rsid w:val="002938ED"/>
    <w:rsid w:val="00297051"/>
    <w:rsid w:val="00297824"/>
    <w:rsid w:val="002A2B26"/>
    <w:rsid w:val="002B04AD"/>
    <w:rsid w:val="002B2C61"/>
    <w:rsid w:val="002C01DB"/>
    <w:rsid w:val="002C3150"/>
    <w:rsid w:val="002D4AC8"/>
    <w:rsid w:val="002D527E"/>
    <w:rsid w:val="002E17FE"/>
    <w:rsid w:val="002E4242"/>
    <w:rsid w:val="002E6BC0"/>
    <w:rsid w:val="002F207E"/>
    <w:rsid w:val="003014D9"/>
    <w:rsid w:val="00311E6E"/>
    <w:rsid w:val="00324E5B"/>
    <w:rsid w:val="003276E1"/>
    <w:rsid w:val="00334B3F"/>
    <w:rsid w:val="00335639"/>
    <w:rsid w:val="003417BD"/>
    <w:rsid w:val="003438C9"/>
    <w:rsid w:val="00352C6C"/>
    <w:rsid w:val="003543CA"/>
    <w:rsid w:val="00355FD0"/>
    <w:rsid w:val="003624D0"/>
    <w:rsid w:val="0036364D"/>
    <w:rsid w:val="00374CD1"/>
    <w:rsid w:val="00377A1F"/>
    <w:rsid w:val="003821BE"/>
    <w:rsid w:val="00384753"/>
    <w:rsid w:val="00386889"/>
    <w:rsid w:val="003A09D9"/>
    <w:rsid w:val="003A3F1F"/>
    <w:rsid w:val="003A636C"/>
    <w:rsid w:val="003B275F"/>
    <w:rsid w:val="003B4A76"/>
    <w:rsid w:val="003C10BA"/>
    <w:rsid w:val="003C2415"/>
    <w:rsid w:val="003C7D30"/>
    <w:rsid w:val="003D0657"/>
    <w:rsid w:val="003D7586"/>
    <w:rsid w:val="003D7782"/>
    <w:rsid w:val="003E317D"/>
    <w:rsid w:val="003F1C64"/>
    <w:rsid w:val="0040443E"/>
    <w:rsid w:val="00407060"/>
    <w:rsid w:val="00414720"/>
    <w:rsid w:val="00420620"/>
    <w:rsid w:val="00423D77"/>
    <w:rsid w:val="004255E2"/>
    <w:rsid w:val="00426AA5"/>
    <w:rsid w:val="00430713"/>
    <w:rsid w:val="00434116"/>
    <w:rsid w:val="00434440"/>
    <w:rsid w:val="00436B8E"/>
    <w:rsid w:val="00437E2C"/>
    <w:rsid w:val="004426E1"/>
    <w:rsid w:val="00443B33"/>
    <w:rsid w:val="0045488A"/>
    <w:rsid w:val="00456E27"/>
    <w:rsid w:val="004627BD"/>
    <w:rsid w:val="004665D9"/>
    <w:rsid w:val="00470101"/>
    <w:rsid w:val="00486CC7"/>
    <w:rsid w:val="00492331"/>
    <w:rsid w:val="00492F54"/>
    <w:rsid w:val="00493BCD"/>
    <w:rsid w:val="004944AF"/>
    <w:rsid w:val="004A01BE"/>
    <w:rsid w:val="004B583B"/>
    <w:rsid w:val="004B5B11"/>
    <w:rsid w:val="004B7A74"/>
    <w:rsid w:val="004C3B16"/>
    <w:rsid w:val="004D0F57"/>
    <w:rsid w:val="00502167"/>
    <w:rsid w:val="00502FE3"/>
    <w:rsid w:val="00512EDD"/>
    <w:rsid w:val="005134ED"/>
    <w:rsid w:val="00513C60"/>
    <w:rsid w:val="005159F1"/>
    <w:rsid w:val="005228A2"/>
    <w:rsid w:val="00536391"/>
    <w:rsid w:val="005403B4"/>
    <w:rsid w:val="0055293F"/>
    <w:rsid w:val="005578BF"/>
    <w:rsid w:val="00571B4E"/>
    <w:rsid w:val="00572E1F"/>
    <w:rsid w:val="005A0429"/>
    <w:rsid w:val="005A6B68"/>
    <w:rsid w:val="005B2A0E"/>
    <w:rsid w:val="005C5972"/>
    <w:rsid w:val="005C66EE"/>
    <w:rsid w:val="005D2892"/>
    <w:rsid w:val="005F13E6"/>
    <w:rsid w:val="0060175F"/>
    <w:rsid w:val="006070EB"/>
    <w:rsid w:val="0061491B"/>
    <w:rsid w:val="00614AC6"/>
    <w:rsid w:val="00624421"/>
    <w:rsid w:val="00625FB7"/>
    <w:rsid w:val="00630206"/>
    <w:rsid w:val="00632F95"/>
    <w:rsid w:val="00634EB0"/>
    <w:rsid w:val="0064164C"/>
    <w:rsid w:val="0064431A"/>
    <w:rsid w:val="00645C3C"/>
    <w:rsid w:val="00647916"/>
    <w:rsid w:val="0065108D"/>
    <w:rsid w:val="00670159"/>
    <w:rsid w:val="00673654"/>
    <w:rsid w:val="00682ACC"/>
    <w:rsid w:val="00695181"/>
    <w:rsid w:val="006A1233"/>
    <w:rsid w:val="006A6833"/>
    <w:rsid w:val="006D01A6"/>
    <w:rsid w:val="006E323D"/>
    <w:rsid w:val="006F29AD"/>
    <w:rsid w:val="006F2ADC"/>
    <w:rsid w:val="006F657F"/>
    <w:rsid w:val="006F7D10"/>
    <w:rsid w:val="007038AC"/>
    <w:rsid w:val="00704382"/>
    <w:rsid w:val="0071104F"/>
    <w:rsid w:val="007136AE"/>
    <w:rsid w:val="0072453C"/>
    <w:rsid w:val="00726330"/>
    <w:rsid w:val="00731C23"/>
    <w:rsid w:val="00747ED2"/>
    <w:rsid w:val="00756FA9"/>
    <w:rsid w:val="007703EE"/>
    <w:rsid w:val="007772E7"/>
    <w:rsid w:val="007830EA"/>
    <w:rsid w:val="0078712F"/>
    <w:rsid w:val="007963F1"/>
    <w:rsid w:val="007A1BE6"/>
    <w:rsid w:val="007A3B20"/>
    <w:rsid w:val="007A4F64"/>
    <w:rsid w:val="007A609C"/>
    <w:rsid w:val="007A70D9"/>
    <w:rsid w:val="007B06EB"/>
    <w:rsid w:val="007B2BD1"/>
    <w:rsid w:val="007C108C"/>
    <w:rsid w:val="007C1542"/>
    <w:rsid w:val="007C4D3F"/>
    <w:rsid w:val="007D2591"/>
    <w:rsid w:val="007D5E19"/>
    <w:rsid w:val="007D62E4"/>
    <w:rsid w:val="007E6CB1"/>
    <w:rsid w:val="007E73FD"/>
    <w:rsid w:val="007E7961"/>
    <w:rsid w:val="007F2C03"/>
    <w:rsid w:val="0080731C"/>
    <w:rsid w:val="00807E30"/>
    <w:rsid w:val="00811E48"/>
    <w:rsid w:val="0081548E"/>
    <w:rsid w:val="008419B7"/>
    <w:rsid w:val="00843095"/>
    <w:rsid w:val="008529C3"/>
    <w:rsid w:val="00855504"/>
    <w:rsid w:val="00857193"/>
    <w:rsid w:val="00863021"/>
    <w:rsid w:val="0086331F"/>
    <w:rsid w:val="008700D2"/>
    <w:rsid w:val="00870A4E"/>
    <w:rsid w:val="00886025"/>
    <w:rsid w:val="00890F72"/>
    <w:rsid w:val="008974A6"/>
    <w:rsid w:val="008A4D95"/>
    <w:rsid w:val="008A7CAC"/>
    <w:rsid w:val="008C2054"/>
    <w:rsid w:val="008D3E4E"/>
    <w:rsid w:val="008D4EC5"/>
    <w:rsid w:val="008D718C"/>
    <w:rsid w:val="008F4233"/>
    <w:rsid w:val="009052C9"/>
    <w:rsid w:val="00906107"/>
    <w:rsid w:val="00917ADD"/>
    <w:rsid w:val="009231C4"/>
    <w:rsid w:val="009249AA"/>
    <w:rsid w:val="00931156"/>
    <w:rsid w:val="009343C4"/>
    <w:rsid w:val="00936BED"/>
    <w:rsid w:val="00940060"/>
    <w:rsid w:val="009446B8"/>
    <w:rsid w:val="00946FA5"/>
    <w:rsid w:val="0095021C"/>
    <w:rsid w:val="0095376A"/>
    <w:rsid w:val="00964755"/>
    <w:rsid w:val="00967834"/>
    <w:rsid w:val="0097106F"/>
    <w:rsid w:val="0097502C"/>
    <w:rsid w:val="009764A2"/>
    <w:rsid w:val="00985ED3"/>
    <w:rsid w:val="009956A2"/>
    <w:rsid w:val="009B1417"/>
    <w:rsid w:val="009C1B72"/>
    <w:rsid w:val="009C2B5C"/>
    <w:rsid w:val="009D0E7F"/>
    <w:rsid w:val="009D2EE3"/>
    <w:rsid w:val="009F4BAB"/>
    <w:rsid w:val="009F7AA5"/>
    <w:rsid w:val="00A00798"/>
    <w:rsid w:val="00A04CFC"/>
    <w:rsid w:val="00A053F1"/>
    <w:rsid w:val="00A06DE5"/>
    <w:rsid w:val="00A10D97"/>
    <w:rsid w:val="00A12491"/>
    <w:rsid w:val="00A12D79"/>
    <w:rsid w:val="00A25C24"/>
    <w:rsid w:val="00A26344"/>
    <w:rsid w:val="00A631CD"/>
    <w:rsid w:val="00A77B79"/>
    <w:rsid w:val="00A83ECB"/>
    <w:rsid w:val="00A85B76"/>
    <w:rsid w:val="00A87365"/>
    <w:rsid w:val="00A954BC"/>
    <w:rsid w:val="00AB326C"/>
    <w:rsid w:val="00AB7A0D"/>
    <w:rsid w:val="00AC339B"/>
    <w:rsid w:val="00AD7AAC"/>
    <w:rsid w:val="00AF19A4"/>
    <w:rsid w:val="00B04E51"/>
    <w:rsid w:val="00B170A8"/>
    <w:rsid w:val="00B22720"/>
    <w:rsid w:val="00B309CE"/>
    <w:rsid w:val="00B44FA1"/>
    <w:rsid w:val="00B515C5"/>
    <w:rsid w:val="00B51F6D"/>
    <w:rsid w:val="00B5340E"/>
    <w:rsid w:val="00B72AB8"/>
    <w:rsid w:val="00B80E79"/>
    <w:rsid w:val="00B835AE"/>
    <w:rsid w:val="00B935B5"/>
    <w:rsid w:val="00BC0493"/>
    <w:rsid w:val="00BC3287"/>
    <w:rsid w:val="00BD0E82"/>
    <w:rsid w:val="00BD4755"/>
    <w:rsid w:val="00BE097B"/>
    <w:rsid w:val="00BE4ABD"/>
    <w:rsid w:val="00BE5EEF"/>
    <w:rsid w:val="00BE7898"/>
    <w:rsid w:val="00BF380A"/>
    <w:rsid w:val="00C23613"/>
    <w:rsid w:val="00C50DC1"/>
    <w:rsid w:val="00C56066"/>
    <w:rsid w:val="00C57099"/>
    <w:rsid w:val="00C60D5B"/>
    <w:rsid w:val="00C727A8"/>
    <w:rsid w:val="00C77A65"/>
    <w:rsid w:val="00C84CD7"/>
    <w:rsid w:val="00C8731E"/>
    <w:rsid w:val="00C97DC0"/>
    <w:rsid w:val="00CA5DF2"/>
    <w:rsid w:val="00CA6D97"/>
    <w:rsid w:val="00CC1DA1"/>
    <w:rsid w:val="00CC513A"/>
    <w:rsid w:val="00CC54CE"/>
    <w:rsid w:val="00CC618C"/>
    <w:rsid w:val="00CC7EE4"/>
    <w:rsid w:val="00CD51D8"/>
    <w:rsid w:val="00CE1519"/>
    <w:rsid w:val="00CF75FF"/>
    <w:rsid w:val="00D00EC1"/>
    <w:rsid w:val="00D032E9"/>
    <w:rsid w:val="00D03559"/>
    <w:rsid w:val="00D05576"/>
    <w:rsid w:val="00D070CB"/>
    <w:rsid w:val="00D137FE"/>
    <w:rsid w:val="00D14806"/>
    <w:rsid w:val="00D1716E"/>
    <w:rsid w:val="00D20787"/>
    <w:rsid w:val="00D26D13"/>
    <w:rsid w:val="00D409FF"/>
    <w:rsid w:val="00D43CA7"/>
    <w:rsid w:val="00D44ED4"/>
    <w:rsid w:val="00D55DD2"/>
    <w:rsid w:val="00D57C51"/>
    <w:rsid w:val="00D60338"/>
    <w:rsid w:val="00D70ADE"/>
    <w:rsid w:val="00D73E96"/>
    <w:rsid w:val="00D75545"/>
    <w:rsid w:val="00D80A72"/>
    <w:rsid w:val="00D845E0"/>
    <w:rsid w:val="00D915A1"/>
    <w:rsid w:val="00DA74B5"/>
    <w:rsid w:val="00DB01D5"/>
    <w:rsid w:val="00DB067A"/>
    <w:rsid w:val="00DB70B1"/>
    <w:rsid w:val="00DC13DF"/>
    <w:rsid w:val="00DC2AC5"/>
    <w:rsid w:val="00DC3647"/>
    <w:rsid w:val="00DC5531"/>
    <w:rsid w:val="00DC6769"/>
    <w:rsid w:val="00DD376B"/>
    <w:rsid w:val="00DD5644"/>
    <w:rsid w:val="00DD6E0A"/>
    <w:rsid w:val="00DE5D11"/>
    <w:rsid w:val="00DF142E"/>
    <w:rsid w:val="00E0458E"/>
    <w:rsid w:val="00E16F21"/>
    <w:rsid w:val="00E2584A"/>
    <w:rsid w:val="00E261BC"/>
    <w:rsid w:val="00E269AC"/>
    <w:rsid w:val="00E328C8"/>
    <w:rsid w:val="00E41C2A"/>
    <w:rsid w:val="00E430AE"/>
    <w:rsid w:val="00E55F17"/>
    <w:rsid w:val="00E61461"/>
    <w:rsid w:val="00E6257D"/>
    <w:rsid w:val="00E6387A"/>
    <w:rsid w:val="00E652D0"/>
    <w:rsid w:val="00E71729"/>
    <w:rsid w:val="00E74B0B"/>
    <w:rsid w:val="00E7777E"/>
    <w:rsid w:val="00E81440"/>
    <w:rsid w:val="00E863C2"/>
    <w:rsid w:val="00E9140A"/>
    <w:rsid w:val="00E9191B"/>
    <w:rsid w:val="00E96973"/>
    <w:rsid w:val="00EA1EB1"/>
    <w:rsid w:val="00EA5BD7"/>
    <w:rsid w:val="00EA6C49"/>
    <w:rsid w:val="00EB2476"/>
    <w:rsid w:val="00EB4085"/>
    <w:rsid w:val="00EB6320"/>
    <w:rsid w:val="00EC0EB9"/>
    <w:rsid w:val="00EE0BC9"/>
    <w:rsid w:val="00EE3596"/>
    <w:rsid w:val="00EE4F93"/>
    <w:rsid w:val="00EE7FC3"/>
    <w:rsid w:val="00EF4E65"/>
    <w:rsid w:val="00F07703"/>
    <w:rsid w:val="00F07869"/>
    <w:rsid w:val="00F1263F"/>
    <w:rsid w:val="00F12B86"/>
    <w:rsid w:val="00F165B6"/>
    <w:rsid w:val="00F2301B"/>
    <w:rsid w:val="00F409D0"/>
    <w:rsid w:val="00F4690E"/>
    <w:rsid w:val="00F53BC9"/>
    <w:rsid w:val="00F559BB"/>
    <w:rsid w:val="00F604E8"/>
    <w:rsid w:val="00F62A32"/>
    <w:rsid w:val="00F62AEC"/>
    <w:rsid w:val="00F62FDA"/>
    <w:rsid w:val="00F64173"/>
    <w:rsid w:val="00F66E25"/>
    <w:rsid w:val="00F73C26"/>
    <w:rsid w:val="00F74730"/>
    <w:rsid w:val="00F755EA"/>
    <w:rsid w:val="00F866AD"/>
    <w:rsid w:val="00F86FE1"/>
    <w:rsid w:val="00F91844"/>
    <w:rsid w:val="00FA605F"/>
    <w:rsid w:val="00FB4C88"/>
    <w:rsid w:val="00FC05A0"/>
    <w:rsid w:val="00FC34CA"/>
    <w:rsid w:val="00FC7F5D"/>
    <w:rsid w:val="00FD1EB7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D22C"/>
  <w15:chartTrackingRefBased/>
  <w15:docId w15:val="{71E96A12-FB53-4147-B320-BD9E9D1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E3596"/>
    <w:pPr>
      <w:keepNext/>
      <w:spacing w:after="120"/>
      <w:jc w:val="center"/>
      <w:outlineLvl w:val="1"/>
    </w:pPr>
    <w:rPr>
      <w:rFonts w:ascii="Verdana" w:eastAsia="Times New Roman" w:hAnsi="Verdana"/>
      <w:b/>
      <w:bCs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31F"/>
  </w:style>
  <w:style w:type="paragraph" w:styleId="Stopka">
    <w:name w:val="footer"/>
    <w:basedOn w:val="Normalny"/>
    <w:link w:val="Stopka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31F"/>
  </w:style>
  <w:style w:type="paragraph" w:styleId="Bezodstpw">
    <w:name w:val="No Spacing"/>
    <w:link w:val="BezodstpwZnak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3624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624D0"/>
    <w:pPr>
      <w:spacing w:after="0" w:line="240" w:lineRule="auto"/>
      <w:jc w:val="center"/>
    </w:pPr>
    <w:rPr>
      <w:rFonts w:ascii="Arial" w:eastAsia="MS Mincho" w:hAnsi="Arial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624D0"/>
    <w:rPr>
      <w:rFonts w:ascii="Arial" w:eastAsia="MS Mincho" w:hAnsi="Arial"/>
      <w:sz w:val="36"/>
      <w:szCs w:val="24"/>
    </w:rPr>
  </w:style>
  <w:style w:type="paragraph" w:styleId="Akapitzlist">
    <w:name w:val="List Paragraph"/>
    <w:basedOn w:val="Normalny"/>
    <w:uiPriority w:val="34"/>
    <w:qFormat/>
    <w:rsid w:val="003624D0"/>
    <w:pPr>
      <w:spacing w:after="0" w:line="240" w:lineRule="auto"/>
      <w:ind w:left="708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624D0"/>
    <w:pPr>
      <w:tabs>
        <w:tab w:val="left" w:pos="720"/>
      </w:tabs>
      <w:spacing w:after="0" w:line="240" w:lineRule="auto"/>
      <w:ind w:left="360" w:hanging="360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624D0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24D0"/>
    <w:rPr>
      <w:rFonts w:ascii="Consolas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A0079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ekstpodstawowywcity31">
    <w:name w:val="Tekst podstawowy wci?ty 31"/>
    <w:basedOn w:val="Normalny"/>
    <w:rsid w:val="0071104F"/>
    <w:pPr>
      <w:tabs>
        <w:tab w:val="left" w:pos="72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5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5E2"/>
    <w:rPr>
      <w:b/>
      <w:bCs/>
      <w:lang w:eastAsia="en-US"/>
    </w:rPr>
  </w:style>
  <w:style w:type="paragraph" w:styleId="Poprawka">
    <w:name w:val="Revision"/>
    <w:hidden/>
    <w:uiPriority w:val="99"/>
    <w:semiHidden/>
    <w:rsid w:val="004255E2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263BD1"/>
  </w:style>
  <w:style w:type="paragraph" w:styleId="Tekstpodstawowy3">
    <w:name w:val="Body Text 3"/>
    <w:basedOn w:val="Normalny"/>
    <w:link w:val="Tekstpodstawowy3Znak"/>
    <w:semiHidden/>
    <w:unhideWhenUsed/>
    <w:rsid w:val="002C3150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3150"/>
    <w:rPr>
      <w:rFonts w:ascii="Arial" w:eastAsia="Times New Roman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EE3596"/>
    <w:rPr>
      <w:rFonts w:ascii="Verdana" w:eastAsia="Times New Roman" w:hAnsi="Verdana"/>
      <w:b/>
      <w:bCs/>
      <w:iCs/>
      <w:szCs w:val="24"/>
    </w:rPr>
  </w:style>
  <w:style w:type="paragraph" w:customStyle="1" w:styleId="Nagwek1">
    <w:name w:val="Nag?Ńwek 1"/>
    <w:basedOn w:val="Normalny"/>
    <w:next w:val="Normalny"/>
    <w:rsid w:val="00EE3596"/>
    <w:pPr>
      <w:keepNext/>
      <w:spacing w:after="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64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7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731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7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07ce6b9a-d233-4aad-abfd-2b8b39ab08de" value=""/>
</sisl>
</file>

<file path=customXml/itemProps1.xml><?xml version="1.0" encoding="utf-8"?>
<ds:datastoreItem xmlns:ds="http://schemas.openxmlformats.org/officeDocument/2006/customXml" ds:itemID="{8DC5BDF7-4EC6-4CBF-9EBE-3832EA938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89668-A066-4005-8935-04F52087A3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>#Kategoria: [Wewnętrzne/Dane osobowe &gt; 10 wpisów]# </cp:keywords>
  <cp:lastModifiedBy>Kędziora Roman</cp:lastModifiedBy>
  <cp:revision>4</cp:revision>
  <cp:lastPrinted>2025-08-01T12:21:00Z</cp:lastPrinted>
  <dcterms:created xsi:type="dcterms:W3CDTF">2025-07-31T14:40:00Z</dcterms:created>
  <dcterms:modified xsi:type="dcterms:W3CDTF">2025-08-01T12:21:00Z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7851ec4b-1a2b-4460-b510-f724a7783f63</vt:lpwstr>
  </property>
  <property fmtid="{D5CDD505-2E9C-101B-9397-08002B2CF9AE}" pid="3" name="bjSaver">
    <vt:lpwstr>hWFw/nYdg5+QdAggfUi84MkcEkRrrmgT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5" name="bjDocumentLabelXML-0">
    <vt:lpwstr>ames.com/2008/01/sie/internal/label"&gt;&lt;element uid="697367d0-0d11-4d4e-80a2-256155fcabe6" value="" /&gt;&lt;element uid="07ce6b9a-d233-4aad-abfd-2b8b39ab08de" value="" /&gt;&lt;/sisl&gt;</vt:lpwstr>
  </property>
  <property fmtid="{D5CDD505-2E9C-101B-9397-08002B2CF9AE}" pid="6" name="bjDocumentSecurityLabel">
    <vt:lpwstr>Kategoria: Wewnętrzne/Dane osobowe &gt; 10 wpisów</vt:lpwstr>
  </property>
</Properties>
</file>