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7F53" w14:textId="2C1FBB7C" w:rsidR="00DA6C79" w:rsidRDefault="00DA6C79" w:rsidP="00DA6C79">
      <w:pPr>
        <w:pStyle w:val="ARTartustawynprozporzdzenia"/>
        <w:spacing w:before="0"/>
        <w:jc w:val="center"/>
        <w:rPr>
          <w:rFonts w:ascii="Times New Roman" w:hAnsi="Times New Roman" w:cs="Times New Roman"/>
          <w:b/>
          <w:szCs w:val="24"/>
        </w:rPr>
      </w:pPr>
      <w:r w:rsidRPr="00DA6C79">
        <w:rPr>
          <w:rFonts w:ascii="Times New Roman" w:hAnsi="Times New Roman" w:cs="Times New Roman"/>
          <w:b/>
          <w:szCs w:val="24"/>
        </w:rPr>
        <w:t>UZASADNIENIE</w:t>
      </w:r>
      <w:r w:rsidR="005B0BD7">
        <w:rPr>
          <w:rFonts w:ascii="Times New Roman" w:hAnsi="Times New Roman" w:cs="Times New Roman"/>
          <w:b/>
          <w:szCs w:val="24"/>
        </w:rPr>
        <w:t xml:space="preserve"> </w:t>
      </w:r>
    </w:p>
    <w:p w14:paraId="6742758B" w14:textId="77777777" w:rsidR="00DA6C79" w:rsidRPr="00DA6C79" w:rsidRDefault="00DA6C79" w:rsidP="00DA6C79">
      <w:pPr>
        <w:pStyle w:val="ARTartustawynprozporzdzenia"/>
        <w:spacing w:before="0"/>
        <w:jc w:val="center"/>
        <w:rPr>
          <w:rFonts w:ascii="Times New Roman" w:hAnsi="Times New Roman" w:cs="Times New Roman"/>
          <w:b/>
          <w:szCs w:val="24"/>
        </w:rPr>
      </w:pPr>
    </w:p>
    <w:p w14:paraId="5379C2D5" w14:textId="30511BBA" w:rsidR="00093A2D" w:rsidRDefault="00DA6C79" w:rsidP="009D02A1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A46D51">
        <w:rPr>
          <w:rFonts w:ascii="Times New Roman" w:hAnsi="Times New Roman" w:cs="Times New Roman"/>
        </w:rPr>
        <w:t>Projekt ustawy o opakowaniach i odpadach opakowaniowych, zwany dalej: „projektem ustawy”, służy</w:t>
      </w:r>
      <w:r w:rsidR="00E61AB6" w:rsidRPr="00A46D51">
        <w:rPr>
          <w:rFonts w:ascii="Times New Roman" w:hAnsi="Times New Roman" w:cs="Times New Roman"/>
        </w:rPr>
        <w:t xml:space="preserve"> ustanowieniu ram prawnych do</w:t>
      </w:r>
      <w:r w:rsidRPr="00A46D51">
        <w:rPr>
          <w:rFonts w:ascii="Times New Roman" w:hAnsi="Times New Roman" w:cs="Times New Roman"/>
        </w:rPr>
        <w:t xml:space="preserve"> stosowani</w:t>
      </w:r>
      <w:r w:rsidR="00E61AB6" w:rsidRPr="00A46D51">
        <w:rPr>
          <w:rFonts w:ascii="Times New Roman" w:hAnsi="Times New Roman" w:cs="Times New Roman"/>
        </w:rPr>
        <w:t>a</w:t>
      </w:r>
      <w:r w:rsidRPr="00A46D51">
        <w:rPr>
          <w:rFonts w:ascii="Times New Roman" w:hAnsi="Times New Roman" w:cs="Times New Roman"/>
        </w:rPr>
        <w:t xml:space="preserve"> rozporządzenia Parlamentu Europejskiego i Rady (UE) 2025/40 z</w:t>
      </w:r>
      <w:r w:rsidR="00985D4D" w:rsidRPr="00A46D51">
        <w:rPr>
          <w:rFonts w:ascii="Times New Roman" w:hAnsi="Times New Roman" w:cs="Times New Roman"/>
        </w:rPr>
        <w:t> </w:t>
      </w:r>
      <w:r w:rsidRPr="00A46D51">
        <w:rPr>
          <w:rFonts w:ascii="Times New Roman" w:hAnsi="Times New Roman" w:cs="Times New Roman"/>
        </w:rPr>
        <w:t>dnia 19 grudnia 2025 2024 r. w sprawie opakowań i</w:t>
      </w:r>
      <w:r w:rsidR="00D7192A" w:rsidRPr="00A46D51">
        <w:rPr>
          <w:rFonts w:ascii="Times New Roman" w:hAnsi="Times New Roman" w:cs="Times New Roman"/>
        </w:rPr>
        <w:t> </w:t>
      </w:r>
      <w:r w:rsidRPr="00A46D51">
        <w:rPr>
          <w:rFonts w:ascii="Times New Roman" w:hAnsi="Times New Roman" w:cs="Times New Roman"/>
        </w:rPr>
        <w:t>odpadów opakowaniowych, zmiany rozporządzenia (UE) 2019/1020 i dyrektywy (UE) 2019/904 oraz uchylenia dyrektywy 94/62/WE (Dz. Urz. UE L, 2025/40, 22.01.2025), zwanego dalej: „rozporządzeniem nr 2025/40), a także ma na celu dostosowanie systemu rozszerzonej odpowiedzialności producenta, zwanego dalej: „ROP”, określonego</w:t>
      </w:r>
      <w:r w:rsidR="00E61AB6" w:rsidRPr="00A46D51">
        <w:rPr>
          <w:rFonts w:ascii="Times New Roman" w:hAnsi="Times New Roman" w:cs="Times New Roman"/>
        </w:rPr>
        <w:t xml:space="preserve"> obecnie</w:t>
      </w:r>
      <w:r w:rsidRPr="00A46D51">
        <w:rPr>
          <w:rFonts w:ascii="Times New Roman" w:hAnsi="Times New Roman" w:cs="Times New Roman"/>
        </w:rPr>
        <w:t xml:space="preserve"> w</w:t>
      </w:r>
      <w:r w:rsidR="00E61AB6" w:rsidRPr="00A46D51">
        <w:rPr>
          <w:rFonts w:ascii="Times New Roman" w:hAnsi="Times New Roman" w:cs="Times New Roman"/>
        </w:rPr>
        <w:t xml:space="preserve"> przepisach</w:t>
      </w:r>
      <w:r w:rsidRPr="00A46D51">
        <w:rPr>
          <w:rFonts w:ascii="Times New Roman" w:hAnsi="Times New Roman" w:cs="Times New Roman"/>
        </w:rPr>
        <w:t xml:space="preserve"> ustaw</w:t>
      </w:r>
      <w:r w:rsidR="00E61AB6" w:rsidRPr="00A46D51">
        <w:rPr>
          <w:rFonts w:ascii="Times New Roman" w:hAnsi="Times New Roman" w:cs="Times New Roman"/>
        </w:rPr>
        <w:t>y</w:t>
      </w:r>
      <w:r w:rsidRPr="00A46D51">
        <w:rPr>
          <w:rFonts w:ascii="Times New Roman" w:hAnsi="Times New Roman" w:cs="Times New Roman"/>
        </w:rPr>
        <w:t xml:space="preserve"> z dnia 13 czerwca 2013 r. o</w:t>
      </w:r>
      <w:r w:rsidR="00985D4D" w:rsidRPr="00A46D51">
        <w:rPr>
          <w:rFonts w:ascii="Times New Roman" w:hAnsi="Times New Roman" w:cs="Times New Roman"/>
        </w:rPr>
        <w:t> </w:t>
      </w:r>
      <w:r w:rsidRPr="00A46D51">
        <w:rPr>
          <w:rFonts w:ascii="Times New Roman" w:hAnsi="Times New Roman" w:cs="Times New Roman"/>
        </w:rPr>
        <w:t xml:space="preserve">gospodarce opakowaniami i odpadami opakowaniowymi (Dz. U. z 2025 r. poz. 870) </w:t>
      </w:r>
      <w:r w:rsidR="00D03A41" w:rsidRPr="00A46D51">
        <w:rPr>
          <w:rFonts w:ascii="Times New Roman" w:hAnsi="Times New Roman" w:cs="Times New Roman"/>
        </w:rPr>
        <w:t xml:space="preserve">do wymagań </w:t>
      </w:r>
      <w:r w:rsidR="00D03A41" w:rsidRPr="00A46D51">
        <w:rPr>
          <w:rFonts w:ascii="Times New Roman" w:hAnsi="Times New Roman"/>
          <w:color w:val="000000"/>
        </w:rPr>
        <w:t>art. 8 i 8a dyrektywy Parlamentu Europejskiego i</w:t>
      </w:r>
      <w:r w:rsidR="00985D4D" w:rsidRPr="00A46D51">
        <w:rPr>
          <w:rFonts w:ascii="Times New Roman" w:hAnsi="Times New Roman"/>
          <w:color w:val="000000"/>
        </w:rPr>
        <w:t> </w:t>
      </w:r>
      <w:r w:rsidR="00D03A41" w:rsidRPr="00A46D51">
        <w:rPr>
          <w:rFonts w:ascii="Times New Roman" w:hAnsi="Times New Roman"/>
          <w:color w:val="000000"/>
        </w:rPr>
        <w:t>Rady 2008/98/WE z dnia 19 listopada 2008 r. w sprawie odpadów oraz uchylającej niektóre dyrektywy (Dz. Urz. UE L 312 z 22.11.2008, str. 3-30, z późn. zm.)</w:t>
      </w:r>
      <w:r w:rsidR="00520905" w:rsidRPr="00A46D51">
        <w:rPr>
          <w:rFonts w:ascii="Times New Roman" w:hAnsi="Times New Roman"/>
          <w:color w:val="000000"/>
        </w:rPr>
        <w:t>, zwanej dalej „dyrektywą 2008/98/WE”</w:t>
      </w:r>
      <w:r w:rsidR="00E61AB6" w:rsidRPr="00A46D51">
        <w:rPr>
          <w:rFonts w:ascii="Times New Roman" w:hAnsi="Times New Roman"/>
          <w:color w:val="000000"/>
        </w:rPr>
        <w:t xml:space="preserve">, w świetle wymagań </w:t>
      </w:r>
      <w:r w:rsidR="00E61AB6" w:rsidRPr="00A46D51">
        <w:rPr>
          <w:rFonts w:ascii="Times New Roman" w:hAnsi="Times New Roman" w:cs="Times New Roman"/>
        </w:rPr>
        <w:t>rozporządzenia nr 2025/40</w:t>
      </w:r>
      <w:r w:rsidR="00D03A41" w:rsidRPr="00A46D51">
        <w:rPr>
          <w:rFonts w:ascii="Times New Roman" w:hAnsi="Times New Roman"/>
          <w:color w:val="000000"/>
        </w:rPr>
        <w:t xml:space="preserve">. </w:t>
      </w:r>
      <w:r w:rsidRPr="00A46D51">
        <w:rPr>
          <w:rFonts w:ascii="Times New Roman" w:hAnsi="Times New Roman" w:cs="Times New Roman"/>
        </w:rPr>
        <w:t>Projekt ustawy przewiduje zmian</w:t>
      </w:r>
      <w:r w:rsidR="00311206">
        <w:rPr>
          <w:rFonts w:ascii="Times New Roman" w:hAnsi="Times New Roman" w:cs="Times New Roman"/>
        </w:rPr>
        <w:t>y</w:t>
      </w:r>
      <w:r w:rsidRPr="00A46D51">
        <w:rPr>
          <w:rFonts w:ascii="Times New Roman" w:hAnsi="Times New Roman" w:cs="Times New Roman"/>
        </w:rPr>
        <w:t xml:space="preserve"> następujących ustaw: </w:t>
      </w:r>
      <w:r w:rsidR="00A46D51" w:rsidRPr="00A46D51">
        <w:rPr>
          <w:rFonts w:ascii="Times New Roman" w:hAnsi="Times New Roman" w:cs="Times New Roman"/>
        </w:rPr>
        <w:t>ustaw</w:t>
      </w:r>
      <w:r w:rsidR="00311206">
        <w:rPr>
          <w:rFonts w:ascii="Times New Roman" w:hAnsi="Times New Roman" w:cs="Times New Roman"/>
        </w:rPr>
        <w:t>y</w:t>
      </w:r>
      <w:r w:rsidR="00A46D51" w:rsidRPr="00A46D51">
        <w:rPr>
          <w:rFonts w:ascii="Times New Roman" w:hAnsi="Times New Roman" w:cs="Times New Roman"/>
        </w:rPr>
        <w:t xml:space="preserve"> z dnia 17 czerwca 1966 r. o postępowaniu egzekucyjnym w administracji (Dz. U. z 2025 r. poz. 132, z </w:t>
      </w:r>
      <w:proofErr w:type="spellStart"/>
      <w:r w:rsidR="00A46D51" w:rsidRPr="00A46D51">
        <w:rPr>
          <w:rFonts w:ascii="Times New Roman" w:hAnsi="Times New Roman" w:cs="Times New Roman"/>
        </w:rPr>
        <w:t>późn</w:t>
      </w:r>
      <w:proofErr w:type="spellEnd"/>
      <w:r w:rsidR="00A46D51" w:rsidRPr="00A46D51">
        <w:rPr>
          <w:rFonts w:ascii="Times New Roman" w:hAnsi="Times New Roman" w:cs="Times New Roman"/>
        </w:rPr>
        <w:t xml:space="preserve">. zm.), ustawy z dnia 26 lipca 1991 r. o podatku dochodowym od osób fizycznych (Dz. U. z 2025 r. poz. 163, z </w:t>
      </w:r>
      <w:proofErr w:type="spellStart"/>
      <w:r w:rsidR="00A46D51" w:rsidRPr="00A46D51">
        <w:rPr>
          <w:rFonts w:ascii="Times New Roman" w:hAnsi="Times New Roman" w:cs="Times New Roman"/>
        </w:rPr>
        <w:t>późn</w:t>
      </w:r>
      <w:proofErr w:type="spellEnd"/>
      <w:r w:rsidR="00A46D51" w:rsidRPr="00A46D51">
        <w:rPr>
          <w:rFonts w:ascii="Times New Roman" w:hAnsi="Times New Roman" w:cs="Times New Roman"/>
        </w:rPr>
        <w:t xml:space="preserve">. zm.), ustawy z dnia 15 lutego 1992 r. o podatku dochodowym od osób prawnych (Dz. U. z 2025 r. poz. 278, z </w:t>
      </w:r>
      <w:proofErr w:type="spellStart"/>
      <w:r w:rsidR="00A46D51" w:rsidRPr="00A46D51">
        <w:rPr>
          <w:rFonts w:ascii="Times New Roman" w:hAnsi="Times New Roman" w:cs="Times New Roman"/>
        </w:rPr>
        <w:t>późn</w:t>
      </w:r>
      <w:proofErr w:type="spellEnd"/>
      <w:r w:rsidR="00A46D51" w:rsidRPr="00A46D51">
        <w:rPr>
          <w:rFonts w:ascii="Times New Roman" w:hAnsi="Times New Roman" w:cs="Times New Roman"/>
        </w:rPr>
        <w:t xml:space="preserve">. zm.), ustawy z dnia 13 września 1996 r. o utrzymaniu czystości i porządku w gminach (Dz. U. z 2025 r. poz. 733), ustawy z 15 grudnia 2000 r. o Inspekcji Handlowej (Dz. U. z 2025 r. poz. 229), ustawy z dnia 27 kwietnia 2001 r. – Prawo ochrony środowiska (Dz. U. z 2025 r. poz. 647), ustawy z dnia 11 maja 2001 r. o obowiązkach przedsiębiorców w zakresie gospodarowania niektórymi odpadami oraz o opłacie produktowej (Dz. U. z 2024 r. poz. 433), ustawy z dnia 11 marca 2004 r. o podatku od towarów i usług (Dz. U. z 2025 r. poz. 775, z </w:t>
      </w:r>
      <w:proofErr w:type="spellStart"/>
      <w:r w:rsidR="00A46D51" w:rsidRPr="00A46D51">
        <w:rPr>
          <w:rFonts w:ascii="Times New Roman" w:hAnsi="Times New Roman" w:cs="Times New Roman"/>
        </w:rPr>
        <w:t>późn</w:t>
      </w:r>
      <w:proofErr w:type="spellEnd"/>
      <w:r w:rsidR="00A46D51" w:rsidRPr="00A46D51">
        <w:rPr>
          <w:rFonts w:ascii="Times New Roman" w:hAnsi="Times New Roman" w:cs="Times New Roman"/>
        </w:rPr>
        <w:t xml:space="preserve">. zm.) oraz </w:t>
      </w:r>
      <w:r w:rsidR="00A46D51">
        <w:rPr>
          <w:rFonts w:ascii="Times New Roman" w:hAnsi="Times New Roman" w:cs="Times New Roman"/>
        </w:rPr>
        <w:t>u</w:t>
      </w:r>
      <w:r w:rsidR="00A46D51" w:rsidRPr="00A46D51">
        <w:rPr>
          <w:rFonts w:ascii="Times New Roman" w:hAnsi="Times New Roman" w:cs="Times New Roman"/>
        </w:rPr>
        <w:t>staw</w:t>
      </w:r>
      <w:r w:rsidR="00A46D51">
        <w:rPr>
          <w:rFonts w:ascii="Times New Roman" w:hAnsi="Times New Roman" w:cs="Times New Roman"/>
        </w:rPr>
        <w:t>y</w:t>
      </w:r>
      <w:r w:rsidR="00A46D51" w:rsidRPr="00A46D51">
        <w:rPr>
          <w:rFonts w:ascii="Times New Roman" w:hAnsi="Times New Roman" w:cs="Times New Roman"/>
        </w:rPr>
        <w:t xml:space="preserve"> z dnia 14 grudnia 2012 r. o odpadach</w:t>
      </w:r>
      <w:r w:rsidR="00A46D51">
        <w:rPr>
          <w:rFonts w:ascii="Times New Roman" w:hAnsi="Times New Roman" w:cs="Times New Roman"/>
        </w:rPr>
        <w:t xml:space="preserve"> </w:t>
      </w:r>
      <w:r w:rsidR="00A46D51" w:rsidRPr="00AD7960">
        <w:rPr>
          <w:rFonts w:ascii="Times New Roman" w:hAnsi="Times New Roman" w:cs="Times New Roman"/>
        </w:rPr>
        <w:t xml:space="preserve">(Dz. U. z 2023 r. poz. 1587, z </w:t>
      </w:r>
      <w:proofErr w:type="spellStart"/>
      <w:r w:rsidR="00A46D51" w:rsidRPr="00AD7960">
        <w:rPr>
          <w:rFonts w:ascii="Times New Roman" w:hAnsi="Times New Roman" w:cs="Times New Roman"/>
        </w:rPr>
        <w:t>późn</w:t>
      </w:r>
      <w:proofErr w:type="spellEnd"/>
      <w:r w:rsidR="00A46D51" w:rsidRPr="00AD7960">
        <w:rPr>
          <w:rFonts w:ascii="Times New Roman" w:hAnsi="Times New Roman" w:cs="Times New Roman"/>
        </w:rPr>
        <w:t>. zm</w:t>
      </w:r>
      <w:r w:rsidR="00A46D51">
        <w:rPr>
          <w:rFonts w:ascii="Times New Roman" w:hAnsi="Times New Roman" w:cs="Times New Roman"/>
        </w:rPr>
        <w:t>.)</w:t>
      </w:r>
      <w:r w:rsidR="00A46D51" w:rsidRPr="00A46D51">
        <w:rPr>
          <w:rFonts w:ascii="Times New Roman" w:hAnsi="Times New Roman" w:cs="Times New Roman"/>
        </w:rPr>
        <w:t>.</w:t>
      </w:r>
    </w:p>
    <w:p w14:paraId="20D404B1" w14:textId="77777777" w:rsidR="00436614" w:rsidRDefault="00F8748D" w:rsidP="00436614">
      <w:pPr>
        <w:spacing w:line="360" w:lineRule="auto"/>
        <w:ind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AD7960">
        <w:rPr>
          <w:rFonts w:ascii="Times New Roman" w:hAnsi="Times New Roman" w:cs="Times New Roman"/>
        </w:rPr>
        <w:t>ozporządzeni</w:t>
      </w:r>
      <w:r>
        <w:rPr>
          <w:rFonts w:ascii="Times New Roman" w:hAnsi="Times New Roman" w:cs="Times New Roman"/>
        </w:rPr>
        <w:t>e</w:t>
      </w:r>
      <w:r w:rsidR="00AD7960">
        <w:rPr>
          <w:rFonts w:ascii="Times New Roman" w:hAnsi="Times New Roman" w:cs="Times New Roman"/>
        </w:rPr>
        <w:t xml:space="preserve"> nr 2025/40 </w:t>
      </w:r>
      <w:r w:rsidRPr="00F8748D">
        <w:rPr>
          <w:rFonts w:ascii="Times New Roman" w:hAnsi="Times New Roman" w:cs="Times New Roman"/>
        </w:rPr>
        <w:t xml:space="preserve">ustanawia wymogi dotyczące całego cyklu życia opakowań w odniesieniu do ich </w:t>
      </w:r>
      <w:proofErr w:type="spellStart"/>
      <w:r w:rsidRPr="00F8748D">
        <w:rPr>
          <w:rFonts w:ascii="Times New Roman" w:hAnsi="Times New Roman" w:cs="Times New Roman"/>
        </w:rPr>
        <w:t>zrównoważoności</w:t>
      </w:r>
      <w:proofErr w:type="spellEnd"/>
      <w:r w:rsidRPr="00F8748D">
        <w:rPr>
          <w:rFonts w:ascii="Times New Roman" w:hAnsi="Times New Roman" w:cs="Times New Roman"/>
        </w:rPr>
        <w:t xml:space="preserve"> środowiskowej oraz etykietowania, w celu umożliwienia wprowadzania opakowań do obrotu. </w:t>
      </w:r>
      <w:r>
        <w:rPr>
          <w:rFonts w:ascii="Times New Roman" w:hAnsi="Times New Roman" w:cs="Times New Roman"/>
        </w:rPr>
        <w:t xml:space="preserve">Ponadto </w:t>
      </w:r>
      <w:r w:rsidR="00520905">
        <w:rPr>
          <w:rFonts w:ascii="Times New Roman" w:hAnsi="Times New Roman" w:cs="Times New Roman"/>
        </w:rPr>
        <w:t>wprowadza</w:t>
      </w:r>
      <w:r w:rsidRPr="00F8748D">
        <w:rPr>
          <w:rFonts w:ascii="Times New Roman" w:hAnsi="Times New Roman" w:cs="Times New Roman"/>
        </w:rPr>
        <w:t xml:space="preserve"> wymogi dotyczące rozszerzonej odpowiedzialności producenta</w:t>
      </w:r>
      <w:r>
        <w:rPr>
          <w:rFonts w:ascii="Times New Roman" w:hAnsi="Times New Roman" w:cs="Times New Roman"/>
        </w:rPr>
        <w:t xml:space="preserve"> (rozporządzenie nr 2025/40</w:t>
      </w:r>
      <w:r w:rsidR="00520905">
        <w:rPr>
          <w:rFonts w:ascii="Times New Roman" w:hAnsi="Times New Roman" w:cs="Times New Roman"/>
        </w:rPr>
        <w:t xml:space="preserve"> </w:t>
      </w:r>
      <w:r w:rsidR="00520905" w:rsidRPr="00520905">
        <w:rPr>
          <w:rFonts w:ascii="Times New Roman" w:hAnsi="Times New Roman" w:cs="Times New Roman"/>
        </w:rPr>
        <w:t xml:space="preserve">stanowi lex </w:t>
      </w:r>
      <w:proofErr w:type="spellStart"/>
      <w:r w:rsidR="00520905" w:rsidRPr="00520905">
        <w:rPr>
          <w:rFonts w:ascii="Times New Roman" w:hAnsi="Times New Roman" w:cs="Times New Roman"/>
        </w:rPr>
        <w:t>specialis</w:t>
      </w:r>
      <w:proofErr w:type="spellEnd"/>
      <w:r w:rsidR="00520905" w:rsidRPr="00520905">
        <w:rPr>
          <w:rFonts w:ascii="Times New Roman" w:hAnsi="Times New Roman" w:cs="Times New Roman"/>
        </w:rPr>
        <w:t xml:space="preserve"> w stosunku do dyrektywy 2008/98/WE</w:t>
      </w:r>
      <w:r w:rsidR="00520905">
        <w:rPr>
          <w:rFonts w:ascii="Times New Roman" w:hAnsi="Times New Roman" w:cs="Times New Roman"/>
        </w:rPr>
        <w:t>)</w:t>
      </w:r>
      <w:r w:rsidRPr="00F8748D">
        <w:rPr>
          <w:rFonts w:ascii="Times New Roman" w:hAnsi="Times New Roman" w:cs="Times New Roman"/>
        </w:rPr>
        <w:t xml:space="preserve">, zapobiegania powstawaniu odpadów opakowaniowych, </w:t>
      </w:r>
      <w:r w:rsidR="00520905">
        <w:rPr>
          <w:rFonts w:ascii="Times New Roman" w:hAnsi="Times New Roman" w:cs="Times New Roman"/>
        </w:rPr>
        <w:t>m.in.</w:t>
      </w:r>
      <w:r w:rsidRPr="00F8748D">
        <w:rPr>
          <w:rFonts w:ascii="Times New Roman" w:hAnsi="Times New Roman" w:cs="Times New Roman"/>
        </w:rPr>
        <w:t xml:space="preserve"> poprzez ograniczanie zbędnych opakowań oraz ponowne użycie lub </w:t>
      </w:r>
      <w:r w:rsidRPr="00F8748D">
        <w:rPr>
          <w:rFonts w:ascii="Times New Roman" w:hAnsi="Times New Roman" w:cs="Times New Roman"/>
        </w:rPr>
        <w:lastRenderedPageBreak/>
        <w:t>ponowne napełnianie opakowań, a także wymogi dotyczące zbierania i przetwarzania, w tym recyklingu, odpadów opakowaniowych.</w:t>
      </w:r>
    </w:p>
    <w:p w14:paraId="0CF0E017" w14:textId="6273901A" w:rsidR="00FA2C47" w:rsidRDefault="00FA2C47" w:rsidP="00FA2C47">
      <w:pPr>
        <w:spacing w:line="360" w:lineRule="auto"/>
        <w:ind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rozdziale 1</w:t>
      </w:r>
      <w:r w:rsidR="00944DF5">
        <w:rPr>
          <w:rFonts w:ascii="Times New Roman" w:hAnsi="Times New Roman" w:cs="Times New Roman"/>
        </w:rPr>
        <w:t xml:space="preserve"> projektu ustawy</w:t>
      </w:r>
      <w:r>
        <w:rPr>
          <w:rFonts w:ascii="Times New Roman" w:hAnsi="Times New Roman" w:cs="Times New Roman"/>
        </w:rPr>
        <w:t xml:space="preserve"> określono przepisy ogólne, w tym m.in.: przedmiot ustawy, regulacje jakimi należy się kierować </w:t>
      </w:r>
      <w:r w:rsidRPr="00FA2C47">
        <w:rPr>
          <w:rFonts w:ascii="Times New Roman" w:hAnsi="Times New Roman" w:cs="Times New Roman"/>
        </w:rPr>
        <w:t>w przypadku, gdy dane kwestie nie zostały ujęte w ustawie</w:t>
      </w:r>
      <w:r>
        <w:rPr>
          <w:rFonts w:ascii="Times New Roman" w:hAnsi="Times New Roman" w:cs="Times New Roman"/>
        </w:rPr>
        <w:t xml:space="preserve"> i</w:t>
      </w:r>
      <w:r w:rsidR="00985D4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rozporządzeniu nr 2025/40, a także stosowne definicje pojęć używanych w ustawie. </w:t>
      </w:r>
    </w:p>
    <w:p w14:paraId="7490140D" w14:textId="32A17A66" w:rsidR="00FA2C47" w:rsidRDefault="00FA2C47" w:rsidP="00FA2C47">
      <w:pPr>
        <w:spacing w:line="360" w:lineRule="auto"/>
        <w:ind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2 </w:t>
      </w:r>
      <w:r w:rsidR="00944DF5">
        <w:rPr>
          <w:rFonts w:ascii="Times New Roman" w:hAnsi="Times New Roman" w:cs="Times New Roman"/>
        </w:rPr>
        <w:t xml:space="preserve">projektu ustawy </w:t>
      </w:r>
      <w:r>
        <w:rPr>
          <w:rFonts w:ascii="Times New Roman" w:hAnsi="Times New Roman" w:cs="Times New Roman"/>
        </w:rPr>
        <w:t>wskazano właściwość poszczególnych organów w</w:t>
      </w:r>
      <w:r w:rsidR="00945505">
        <w:rPr>
          <w:rFonts w:ascii="Times New Roman" w:hAnsi="Times New Roman" w:cs="Times New Roman"/>
        </w:rPr>
        <w:t> </w:t>
      </w:r>
      <w:r w:rsidR="00A37EBD">
        <w:rPr>
          <w:rFonts w:ascii="Times New Roman" w:hAnsi="Times New Roman" w:cs="Times New Roman"/>
        </w:rPr>
        <w:t>sprawach objętych ustawą i rozporządzeniem nr 2025/40.</w:t>
      </w:r>
    </w:p>
    <w:p w14:paraId="305C276E" w14:textId="3093751B" w:rsidR="00456716" w:rsidRDefault="00A37EBD" w:rsidP="00FA2C47">
      <w:pPr>
        <w:spacing w:line="360" w:lineRule="auto"/>
        <w:ind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3 </w:t>
      </w:r>
      <w:r w:rsidR="00944DF5">
        <w:rPr>
          <w:rFonts w:ascii="Times New Roman" w:hAnsi="Times New Roman" w:cs="Times New Roman"/>
        </w:rPr>
        <w:t xml:space="preserve">projektu ustawy </w:t>
      </w:r>
      <w:r>
        <w:rPr>
          <w:rFonts w:ascii="Times New Roman" w:hAnsi="Times New Roman" w:cs="Times New Roman"/>
        </w:rPr>
        <w:t>dotyczącym gospodarki opakowaniami zawarto</w:t>
      </w:r>
      <w:r w:rsidR="00184F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upoważnienie do wydania rozporządzenia określającego </w:t>
      </w:r>
      <w:r w:rsidR="00184F66" w:rsidRPr="00184F66">
        <w:rPr>
          <w:rFonts w:ascii="Times New Roman" w:hAnsi="Times New Roman" w:cs="Times New Roman"/>
        </w:rPr>
        <w:t>opakowa</w:t>
      </w:r>
      <w:r w:rsidR="00184F66">
        <w:rPr>
          <w:rFonts w:ascii="Times New Roman" w:hAnsi="Times New Roman" w:cs="Times New Roman"/>
        </w:rPr>
        <w:t>nia</w:t>
      </w:r>
      <w:r w:rsidR="00184F66" w:rsidRPr="00184F66">
        <w:rPr>
          <w:rFonts w:ascii="Times New Roman" w:hAnsi="Times New Roman" w:cs="Times New Roman"/>
        </w:rPr>
        <w:t>, do których nie stosuje się wymagań dotyczących zawartości ołowiu, kadmu, rtęci i chromu sześciowartościowego w</w:t>
      </w:r>
      <w:r w:rsidR="00945505">
        <w:rPr>
          <w:rFonts w:ascii="Times New Roman" w:hAnsi="Times New Roman" w:cs="Times New Roman"/>
        </w:rPr>
        <w:t> </w:t>
      </w:r>
      <w:r w:rsidR="00184F66" w:rsidRPr="00184F66">
        <w:rPr>
          <w:rFonts w:ascii="Times New Roman" w:hAnsi="Times New Roman" w:cs="Times New Roman"/>
        </w:rPr>
        <w:t>opakowaniach</w:t>
      </w:r>
      <w:r w:rsidR="00184F66">
        <w:rPr>
          <w:rFonts w:ascii="Times New Roman" w:hAnsi="Times New Roman" w:cs="Times New Roman"/>
        </w:rPr>
        <w:t>. W art. 12 i 13</w:t>
      </w:r>
      <w:r w:rsidR="00D7192A">
        <w:rPr>
          <w:rFonts w:ascii="Times New Roman" w:hAnsi="Times New Roman" w:cs="Times New Roman"/>
        </w:rPr>
        <w:t xml:space="preserve"> uwzględniono obowiązki </w:t>
      </w:r>
      <w:r w:rsidR="00184F66">
        <w:rPr>
          <w:rFonts w:ascii="Times New Roman" w:hAnsi="Times New Roman" w:cs="Times New Roman"/>
        </w:rPr>
        <w:t xml:space="preserve">wynikające z dyrektywy </w:t>
      </w:r>
      <w:r w:rsidR="00184F66" w:rsidRPr="00184F66">
        <w:rPr>
          <w:rFonts w:ascii="Times New Roman" w:hAnsi="Times New Roman" w:cs="Times New Roman"/>
        </w:rPr>
        <w:t>Parlamentu Europejskiego i Rady (UE) 2019/904 z</w:t>
      </w:r>
      <w:r w:rsidR="00985D4D">
        <w:rPr>
          <w:rFonts w:ascii="Times New Roman" w:hAnsi="Times New Roman" w:cs="Times New Roman"/>
        </w:rPr>
        <w:t> </w:t>
      </w:r>
      <w:r w:rsidR="00184F66" w:rsidRPr="00184F66">
        <w:rPr>
          <w:rFonts w:ascii="Times New Roman" w:hAnsi="Times New Roman" w:cs="Times New Roman"/>
        </w:rPr>
        <w:t>dnia 5 czerwca 2019 r. w sprawie zmniejszenia wpływu niektórych produktów z tworzyw sztucznych na środowisko (Dz. Urz. UE L 155 z dnia 12.06.2019, str. 1)</w:t>
      </w:r>
      <w:r w:rsidR="00184F66">
        <w:rPr>
          <w:rFonts w:ascii="Times New Roman" w:hAnsi="Times New Roman" w:cs="Times New Roman"/>
        </w:rPr>
        <w:t>, zwanej dalej: „dyrektywą SUP”, w zakresie przymocowania zakrętek i</w:t>
      </w:r>
      <w:r w:rsidR="00D7192A">
        <w:rPr>
          <w:rFonts w:ascii="Times New Roman" w:hAnsi="Times New Roman" w:cs="Times New Roman"/>
        </w:rPr>
        <w:t> </w:t>
      </w:r>
      <w:r w:rsidR="00184F66">
        <w:rPr>
          <w:rFonts w:ascii="Times New Roman" w:hAnsi="Times New Roman" w:cs="Times New Roman"/>
        </w:rPr>
        <w:t>wieczek do pojemników na napoje z tworzyw sztucznych o pojemności do trzech litrów, obowiązku zapewnienia w</w:t>
      </w:r>
      <w:r w:rsidR="00985D4D">
        <w:rPr>
          <w:rFonts w:ascii="Times New Roman" w:hAnsi="Times New Roman" w:cs="Times New Roman"/>
        </w:rPr>
        <w:t> </w:t>
      </w:r>
      <w:r w:rsidR="00184F66">
        <w:rPr>
          <w:rFonts w:ascii="Times New Roman" w:hAnsi="Times New Roman" w:cs="Times New Roman"/>
        </w:rPr>
        <w:t>butelkach jednorazowego użytku z tworzyw sztucznych o</w:t>
      </w:r>
      <w:r w:rsidR="00D7192A">
        <w:rPr>
          <w:rFonts w:ascii="Times New Roman" w:hAnsi="Times New Roman" w:cs="Times New Roman"/>
        </w:rPr>
        <w:t> </w:t>
      </w:r>
      <w:r w:rsidR="00184F66">
        <w:rPr>
          <w:rFonts w:ascii="Times New Roman" w:hAnsi="Times New Roman" w:cs="Times New Roman"/>
        </w:rPr>
        <w:t>pojemności do trzech litrów</w:t>
      </w:r>
      <w:r w:rsidR="00CE0ABD">
        <w:rPr>
          <w:rFonts w:ascii="Times New Roman" w:hAnsi="Times New Roman" w:cs="Times New Roman"/>
        </w:rPr>
        <w:t>.</w:t>
      </w:r>
      <w:r w:rsidR="00456716">
        <w:rPr>
          <w:rFonts w:ascii="Times New Roman" w:hAnsi="Times New Roman" w:cs="Times New Roman"/>
        </w:rPr>
        <w:t xml:space="preserve"> </w:t>
      </w:r>
    </w:p>
    <w:p w14:paraId="644C294C" w14:textId="40D5AE5F" w:rsidR="00AB5635" w:rsidRDefault="00456716" w:rsidP="00FA2C47">
      <w:pPr>
        <w:spacing w:line="360" w:lineRule="auto"/>
        <w:ind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4 </w:t>
      </w:r>
      <w:r w:rsidR="00944DF5">
        <w:rPr>
          <w:rFonts w:ascii="Times New Roman" w:hAnsi="Times New Roman" w:cs="Times New Roman"/>
        </w:rPr>
        <w:t xml:space="preserve">projektu ustawy </w:t>
      </w:r>
      <w:r>
        <w:rPr>
          <w:rFonts w:ascii="Times New Roman" w:hAnsi="Times New Roman" w:cs="Times New Roman"/>
        </w:rPr>
        <w:t>określono warunki skorzystania z określonego w art. 25 ust. 1 rozporządzenia nr 2025/40 odstępstwa od zakazu wprowadzania do obrotu opakowań w</w:t>
      </w:r>
      <w:r w:rsidR="00985D4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formatach i do zastosowań wymienionych w załączniku V do tego rozporządzenia. Ponadto określono </w:t>
      </w:r>
      <w:r w:rsidR="00AB5635">
        <w:rPr>
          <w:rFonts w:ascii="Times New Roman" w:hAnsi="Times New Roman" w:cs="Times New Roman"/>
        </w:rPr>
        <w:t>termin na udzielenie wytwórcy opakowań wielokrotnego użytku przez uczestników systemu ponownego użycia tego opakowania pisemnego potwierdzenia, o którym mowa w</w:t>
      </w:r>
      <w:r w:rsidR="00D7192A">
        <w:rPr>
          <w:rFonts w:ascii="Times New Roman" w:hAnsi="Times New Roman" w:cs="Times New Roman"/>
        </w:rPr>
        <w:t> </w:t>
      </w:r>
      <w:r w:rsidR="00AB5635">
        <w:rPr>
          <w:rFonts w:ascii="Times New Roman" w:hAnsi="Times New Roman" w:cs="Times New Roman"/>
        </w:rPr>
        <w:t>art.</w:t>
      </w:r>
      <w:r w:rsidR="00D7192A">
        <w:rPr>
          <w:rFonts w:ascii="Times New Roman" w:hAnsi="Times New Roman" w:cs="Times New Roman"/>
        </w:rPr>
        <w:t> </w:t>
      </w:r>
      <w:r w:rsidR="00AB5635">
        <w:rPr>
          <w:rFonts w:ascii="Times New Roman" w:hAnsi="Times New Roman" w:cs="Times New Roman"/>
        </w:rPr>
        <w:t>26 ust. 2 rozporządzenia nr 2025/40, a także warunki wyznaczenia osoby trzeciej na osobę odpowiedzialną za wspólny system lub wspólne systemy ponownego użycia na podstawie art.</w:t>
      </w:r>
      <w:r w:rsidR="00985D4D">
        <w:rPr>
          <w:rFonts w:ascii="Times New Roman" w:hAnsi="Times New Roman" w:cs="Times New Roman"/>
        </w:rPr>
        <w:t> </w:t>
      </w:r>
      <w:r w:rsidR="00AB5635">
        <w:rPr>
          <w:rFonts w:ascii="Times New Roman" w:hAnsi="Times New Roman" w:cs="Times New Roman"/>
        </w:rPr>
        <w:t>27 ust. 3 rozporządzenia 2025/40 oraz tworzenia grup dystrybutorów końcowych w celu wypełniania obowiązków określonych w art. 29 ust. 6 tego rozporządzenia.</w:t>
      </w:r>
    </w:p>
    <w:p w14:paraId="4E18CA34" w14:textId="2FD10A37" w:rsidR="00AB5635" w:rsidRDefault="00AB5635" w:rsidP="008B6FBE">
      <w:pPr>
        <w:spacing w:line="360" w:lineRule="auto"/>
        <w:ind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5 </w:t>
      </w:r>
      <w:r w:rsidR="00944DF5">
        <w:rPr>
          <w:rFonts w:ascii="Times New Roman" w:hAnsi="Times New Roman" w:cs="Times New Roman"/>
        </w:rPr>
        <w:t xml:space="preserve">projektu ustawy </w:t>
      </w:r>
      <w:r>
        <w:rPr>
          <w:rFonts w:ascii="Times New Roman" w:hAnsi="Times New Roman" w:cs="Times New Roman"/>
        </w:rPr>
        <w:t>zawarto regulacje dotyczące toreb na zakupy z tworzyw sztucznych oraz produktów jednorazowego użytku z tworzyw sztucznych</w:t>
      </w:r>
      <w:r w:rsidR="00790DBB">
        <w:rPr>
          <w:rFonts w:ascii="Times New Roman" w:hAnsi="Times New Roman" w:cs="Times New Roman"/>
        </w:rPr>
        <w:t xml:space="preserve"> objętych zakresem stosowania dyrektywy SUP</w:t>
      </w:r>
      <w:r w:rsidR="008B6FBE">
        <w:rPr>
          <w:rFonts w:ascii="Times New Roman" w:hAnsi="Times New Roman" w:cs="Times New Roman"/>
        </w:rPr>
        <w:t>, zwane dalej: „produktami SUP”</w:t>
      </w:r>
      <w:r w:rsidR="00790DBB">
        <w:rPr>
          <w:rFonts w:ascii="Times New Roman" w:hAnsi="Times New Roman" w:cs="Times New Roman"/>
        </w:rPr>
        <w:t xml:space="preserve">. </w:t>
      </w:r>
      <w:r w:rsidR="008B6FBE">
        <w:rPr>
          <w:rFonts w:ascii="Times New Roman" w:hAnsi="Times New Roman" w:cs="Times New Roman"/>
        </w:rPr>
        <w:t xml:space="preserve">Działanie to ma na celu zebranie regulacji dotyczących podobnych lub tożsamych obszarów </w:t>
      </w:r>
      <w:r w:rsidR="00944DF5">
        <w:rPr>
          <w:rFonts w:ascii="Times New Roman" w:hAnsi="Times New Roman" w:cs="Times New Roman"/>
        </w:rPr>
        <w:t xml:space="preserve">związanych z ROP </w:t>
      </w:r>
      <w:r w:rsidR="008B6FBE">
        <w:rPr>
          <w:rFonts w:ascii="Times New Roman" w:hAnsi="Times New Roman" w:cs="Times New Roman"/>
        </w:rPr>
        <w:t xml:space="preserve">w jednej ustawie, tak aby ułatwić przedsiębiorcom realizację </w:t>
      </w:r>
      <w:r w:rsidR="00944DF5">
        <w:rPr>
          <w:rFonts w:ascii="Times New Roman" w:hAnsi="Times New Roman" w:cs="Times New Roman"/>
        </w:rPr>
        <w:t xml:space="preserve">ustawowych </w:t>
      </w:r>
      <w:r w:rsidR="008B6FBE">
        <w:rPr>
          <w:rFonts w:ascii="Times New Roman" w:hAnsi="Times New Roman" w:cs="Times New Roman"/>
        </w:rPr>
        <w:t xml:space="preserve">obowiązków. </w:t>
      </w:r>
      <w:r w:rsidR="00790DBB">
        <w:rPr>
          <w:rFonts w:ascii="Times New Roman" w:hAnsi="Times New Roman" w:cs="Times New Roman"/>
        </w:rPr>
        <w:t>Przepisy w</w:t>
      </w:r>
      <w:r w:rsidR="00985D4D">
        <w:rPr>
          <w:rFonts w:ascii="Times New Roman" w:hAnsi="Times New Roman" w:cs="Times New Roman"/>
        </w:rPr>
        <w:t> </w:t>
      </w:r>
      <w:r w:rsidR="00790DBB">
        <w:rPr>
          <w:rFonts w:ascii="Times New Roman" w:hAnsi="Times New Roman" w:cs="Times New Roman"/>
        </w:rPr>
        <w:t xml:space="preserve">zakresie </w:t>
      </w:r>
      <w:r w:rsidR="008B6FBE">
        <w:rPr>
          <w:rFonts w:ascii="Times New Roman" w:hAnsi="Times New Roman" w:cs="Times New Roman"/>
        </w:rPr>
        <w:t xml:space="preserve">toreb na zakupy z tworzy sztucznych </w:t>
      </w:r>
      <w:r w:rsidR="00790DBB">
        <w:rPr>
          <w:rFonts w:ascii="Times New Roman" w:hAnsi="Times New Roman" w:cs="Times New Roman"/>
        </w:rPr>
        <w:t xml:space="preserve">zostały zachowane </w:t>
      </w:r>
      <w:r w:rsidR="008B6FBE">
        <w:rPr>
          <w:rFonts w:ascii="Times New Roman" w:hAnsi="Times New Roman" w:cs="Times New Roman"/>
        </w:rPr>
        <w:t>w</w:t>
      </w:r>
      <w:r w:rsidR="00985D4D">
        <w:rPr>
          <w:rFonts w:ascii="Times New Roman" w:hAnsi="Times New Roman" w:cs="Times New Roman"/>
        </w:rPr>
        <w:t> </w:t>
      </w:r>
      <w:r w:rsidR="00790DBB">
        <w:rPr>
          <w:rFonts w:ascii="Times New Roman" w:hAnsi="Times New Roman" w:cs="Times New Roman"/>
        </w:rPr>
        <w:t xml:space="preserve">dotychczasowej formie, </w:t>
      </w:r>
      <w:r w:rsidR="00944DF5">
        <w:rPr>
          <w:rFonts w:ascii="Times New Roman" w:hAnsi="Times New Roman" w:cs="Times New Roman"/>
        </w:rPr>
        <w:lastRenderedPageBreak/>
        <w:t>doprecyzowano jedynie, że jednostki gastronomiczne również obowiązane są do pobierania tej opłaty</w:t>
      </w:r>
      <w:r w:rsidR="00F078A6">
        <w:rPr>
          <w:rFonts w:ascii="Times New Roman" w:hAnsi="Times New Roman" w:cs="Times New Roman"/>
        </w:rPr>
        <w:t xml:space="preserve"> oraz wprowadzono obowiązek prowadzenia ewidencji wszystkich rodzajów toreb na zakupy (zmiana wynikająca z rozporządzenia nr 2025/40). </w:t>
      </w:r>
      <w:r w:rsidR="00944DF5">
        <w:rPr>
          <w:rFonts w:ascii="Times New Roman" w:hAnsi="Times New Roman" w:cs="Times New Roman"/>
        </w:rPr>
        <w:t>N</w:t>
      </w:r>
      <w:r w:rsidR="008B6FBE">
        <w:rPr>
          <w:rFonts w:ascii="Times New Roman" w:hAnsi="Times New Roman" w:cs="Times New Roman"/>
        </w:rPr>
        <w:t>atomiast w zakresie produktów SUP</w:t>
      </w:r>
      <w:r w:rsidR="006C62E9">
        <w:rPr>
          <w:rFonts w:ascii="Times New Roman" w:hAnsi="Times New Roman" w:cs="Times New Roman"/>
        </w:rPr>
        <w:t xml:space="preserve"> wprowadzono pewne modyfikacje. W</w:t>
      </w:r>
      <w:r w:rsidR="008B6FBE">
        <w:rPr>
          <w:rFonts w:ascii="Times New Roman" w:hAnsi="Times New Roman" w:cs="Times New Roman"/>
        </w:rPr>
        <w:t xml:space="preserve">słuchując się w głos przedsiębiorców, zdecydowano o zmianie z rocznego na kwartalny </w:t>
      </w:r>
      <w:r w:rsidR="00790DBB">
        <w:rPr>
          <w:rFonts w:ascii="Times New Roman" w:hAnsi="Times New Roman" w:cs="Times New Roman"/>
        </w:rPr>
        <w:t xml:space="preserve">terminu przekazywania przez podmioty obowiązane opłaty SUP </w:t>
      </w:r>
      <w:r w:rsidR="008B6FBE">
        <w:rPr>
          <w:rFonts w:ascii="Times New Roman" w:hAnsi="Times New Roman" w:cs="Times New Roman"/>
        </w:rPr>
        <w:t>na rachunki bankowe marszałków województw</w:t>
      </w:r>
      <w:r w:rsidR="00944DF5">
        <w:rPr>
          <w:rFonts w:ascii="Times New Roman" w:hAnsi="Times New Roman" w:cs="Times New Roman"/>
        </w:rPr>
        <w:t xml:space="preserve"> (analogicznie jak w przypadku opłaty recyklingowej).</w:t>
      </w:r>
      <w:r w:rsidR="008B6FBE">
        <w:rPr>
          <w:rFonts w:ascii="Times New Roman" w:hAnsi="Times New Roman" w:cs="Times New Roman"/>
        </w:rPr>
        <w:t xml:space="preserve"> Ponadto </w:t>
      </w:r>
      <w:r w:rsidR="00E61AB6">
        <w:rPr>
          <w:rFonts w:ascii="Times New Roman" w:hAnsi="Times New Roman" w:cs="Times New Roman"/>
        </w:rPr>
        <w:t xml:space="preserve">rozdział zawiera przepisy </w:t>
      </w:r>
      <w:r w:rsidR="006C62E9">
        <w:rPr>
          <w:rFonts w:ascii="Times New Roman" w:hAnsi="Times New Roman" w:cs="Times New Roman"/>
        </w:rPr>
        <w:t xml:space="preserve">dotyczące możliwości wyznaczenia autoryzowanego przedstawiciela odpowiedzialnego za wykonywanie na terytorium kraju obowiązków nałożonych na producenta </w:t>
      </w:r>
      <w:r w:rsidR="00F078A6">
        <w:rPr>
          <w:rFonts w:ascii="Times New Roman" w:hAnsi="Times New Roman" w:cs="Times New Roman"/>
        </w:rPr>
        <w:t xml:space="preserve">produktów </w:t>
      </w:r>
      <w:r w:rsidR="006C62E9">
        <w:rPr>
          <w:rFonts w:ascii="Times New Roman" w:hAnsi="Times New Roman" w:cs="Times New Roman"/>
        </w:rPr>
        <w:t xml:space="preserve">SUP, a także stosowne zmiany </w:t>
      </w:r>
      <w:r w:rsidR="00F078A6">
        <w:rPr>
          <w:rFonts w:ascii="Times New Roman" w:hAnsi="Times New Roman" w:cs="Times New Roman"/>
        </w:rPr>
        <w:t>związane z</w:t>
      </w:r>
      <w:r w:rsidR="00945505">
        <w:rPr>
          <w:rFonts w:ascii="Times New Roman" w:hAnsi="Times New Roman" w:cs="Times New Roman"/>
        </w:rPr>
        <w:t> </w:t>
      </w:r>
      <w:r w:rsidR="00F078A6">
        <w:rPr>
          <w:rFonts w:ascii="Times New Roman" w:hAnsi="Times New Roman" w:cs="Times New Roman"/>
        </w:rPr>
        <w:t xml:space="preserve">koniecznością dostosowania przepisów dot. produktów SUP do rozporządzenia nr 2050/40. </w:t>
      </w:r>
    </w:p>
    <w:p w14:paraId="3C50550E" w14:textId="5474FF78" w:rsidR="006C62E9" w:rsidRDefault="006C62E9" w:rsidP="008B6FBE">
      <w:pPr>
        <w:spacing w:line="360" w:lineRule="auto"/>
        <w:ind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Rozdział 6 </w:t>
      </w:r>
      <w:r w:rsidR="00F078A6">
        <w:rPr>
          <w:rFonts w:ascii="Times New Roman" w:hAnsi="Times New Roman" w:cs="Times New Roman"/>
        </w:rPr>
        <w:t xml:space="preserve">projektu ustawy </w:t>
      </w:r>
      <w:r>
        <w:rPr>
          <w:rFonts w:ascii="Times New Roman" w:hAnsi="Times New Roman" w:cs="Times New Roman"/>
        </w:rPr>
        <w:t>reguluje kwestie dotyczące rejestru producentów</w:t>
      </w:r>
      <w:r w:rsidR="004A2DCE">
        <w:rPr>
          <w:rFonts w:ascii="Times New Roman" w:hAnsi="Times New Roman" w:cs="Times New Roman"/>
        </w:rPr>
        <w:t xml:space="preserve"> </w:t>
      </w:r>
      <w:r w:rsidR="00F078A6">
        <w:rPr>
          <w:rFonts w:ascii="Times New Roman" w:hAnsi="Times New Roman" w:cs="Times New Roman"/>
        </w:rPr>
        <w:t xml:space="preserve">wskazując, że </w:t>
      </w:r>
      <w:r w:rsidR="00260EF0">
        <w:rPr>
          <w:rFonts w:ascii="Times New Roman" w:hAnsi="Times New Roman" w:cs="Times New Roman"/>
        </w:rPr>
        <w:t xml:space="preserve">monitorowanie przestrzegania przez producentów wymogów w zakresie gospodarowania opakowaniami (w tym prowadzenie ewidencji opakowań) i odpadami opakowaniowymi będzie realizowane za pośrednictwem </w:t>
      </w:r>
      <w:r w:rsidR="00260EF0" w:rsidRPr="00260EF0">
        <w:rPr>
          <w:rFonts w:ascii="Times New Roman" w:hAnsi="Times New Roman" w:cs="Times New Roman"/>
        </w:rPr>
        <w:t>Bazy danych o produktach i opakowaniach oraz o gospodarce odpadami, o której mowa w ustawie z dnia 14 grudnia 2012 r. o odpadach, zwanej dalej</w:t>
      </w:r>
      <w:r w:rsidR="00260EF0">
        <w:rPr>
          <w:rFonts w:ascii="Times New Roman" w:hAnsi="Times New Roman" w:cs="Times New Roman"/>
        </w:rPr>
        <w:t>:</w:t>
      </w:r>
      <w:r w:rsidR="00260EF0" w:rsidRPr="00260EF0">
        <w:rPr>
          <w:rFonts w:ascii="Times New Roman" w:hAnsi="Times New Roman" w:cs="Times New Roman"/>
        </w:rPr>
        <w:t xml:space="preserve"> ,,BDO"</w:t>
      </w:r>
      <w:r w:rsidR="00260EF0">
        <w:rPr>
          <w:rFonts w:ascii="Times New Roman" w:hAnsi="Times New Roman" w:cs="Times New Roman"/>
        </w:rPr>
        <w:t xml:space="preserve">. </w:t>
      </w:r>
    </w:p>
    <w:p w14:paraId="4EEB5884" w14:textId="49F92D20" w:rsidR="00C50CA3" w:rsidRDefault="004A2DCE" w:rsidP="008B6FBE">
      <w:pPr>
        <w:spacing w:line="360" w:lineRule="auto"/>
        <w:ind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7 </w:t>
      </w:r>
      <w:r w:rsidR="00260EF0">
        <w:rPr>
          <w:rFonts w:ascii="Times New Roman" w:hAnsi="Times New Roman" w:cs="Times New Roman"/>
        </w:rPr>
        <w:t xml:space="preserve">projektu ustawy </w:t>
      </w:r>
      <w:r>
        <w:rPr>
          <w:rFonts w:ascii="Times New Roman" w:hAnsi="Times New Roman" w:cs="Times New Roman"/>
        </w:rPr>
        <w:t xml:space="preserve">określono regulacje dotyczące ROP. </w:t>
      </w:r>
      <w:r w:rsidR="003C3101">
        <w:rPr>
          <w:rFonts w:ascii="Times New Roman" w:hAnsi="Times New Roman" w:cs="Times New Roman"/>
        </w:rPr>
        <w:t xml:space="preserve">Oddział </w:t>
      </w:r>
      <w:r>
        <w:rPr>
          <w:rFonts w:ascii="Times New Roman" w:hAnsi="Times New Roman" w:cs="Times New Roman"/>
        </w:rPr>
        <w:t>1 zawiera przepisy ogólne, wskazujące na obowiąz</w:t>
      </w:r>
      <w:r w:rsidR="00260EF0">
        <w:rPr>
          <w:rFonts w:ascii="Times New Roman" w:hAnsi="Times New Roman" w:cs="Times New Roman"/>
        </w:rPr>
        <w:t xml:space="preserve">ek pokrywania przez producenta określonych kosztów oraz sposób realizacji tego obowiązku, a także kwestie związane z zaliczeniem procesów odzysku do poziomów recyklingu i obliczaniem poziomu zbierania odpadów opakowaniowych. W </w:t>
      </w:r>
      <w:r w:rsidR="003C3101">
        <w:rPr>
          <w:rFonts w:ascii="Times New Roman" w:hAnsi="Times New Roman" w:cs="Times New Roman"/>
        </w:rPr>
        <w:t xml:space="preserve">Oddziale </w:t>
      </w:r>
      <w:r w:rsidR="00260EF0">
        <w:rPr>
          <w:rFonts w:ascii="Times New Roman" w:hAnsi="Times New Roman" w:cs="Times New Roman"/>
        </w:rPr>
        <w:t xml:space="preserve">2 uregulowano kwestie dotyczące wyznaczania upoważnionego przedstawiciela ds. ROP. </w:t>
      </w:r>
      <w:r w:rsidR="003C3101">
        <w:rPr>
          <w:rFonts w:ascii="Times New Roman" w:hAnsi="Times New Roman" w:cs="Times New Roman"/>
        </w:rPr>
        <w:t xml:space="preserve">Oddział 3 </w:t>
      </w:r>
      <w:r w:rsidR="00260EF0">
        <w:rPr>
          <w:rFonts w:ascii="Times New Roman" w:hAnsi="Times New Roman" w:cs="Times New Roman"/>
        </w:rPr>
        <w:t xml:space="preserve">zawiera </w:t>
      </w:r>
      <w:r w:rsidR="00C50CA3">
        <w:rPr>
          <w:rFonts w:ascii="Times New Roman" w:hAnsi="Times New Roman" w:cs="Times New Roman"/>
        </w:rPr>
        <w:t>zasady</w:t>
      </w:r>
      <w:r w:rsidR="00260EF0">
        <w:rPr>
          <w:rFonts w:ascii="Times New Roman" w:hAnsi="Times New Roman" w:cs="Times New Roman"/>
        </w:rPr>
        <w:t xml:space="preserve"> dotyczące </w:t>
      </w:r>
      <w:r w:rsidR="00C50CA3">
        <w:rPr>
          <w:rFonts w:ascii="Times New Roman" w:hAnsi="Times New Roman" w:cs="Times New Roman"/>
        </w:rPr>
        <w:t>wnoszenia opłaty opakowaniowej oraz sporządzania sprawozdań przez producentów wypełniających obowiązki za pośrednictwem Organizacji ROP Opakowań. Ponadto zwolnienie z obowiązku wnoszenia opłaty opakowaniowej, której kwartalna wysokość nie przekracza 150 zł, oraz zwolnienie z</w:t>
      </w:r>
      <w:r w:rsidR="00945505">
        <w:rPr>
          <w:rFonts w:ascii="Times New Roman" w:hAnsi="Times New Roman" w:cs="Times New Roman"/>
        </w:rPr>
        <w:t> </w:t>
      </w:r>
      <w:r w:rsidR="00C50CA3">
        <w:rPr>
          <w:rFonts w:ascii="Times New Roman" w:hAnsi="Times New Roman" w:cs="Times New Roman"/>
        </w:rPr>
        <w:t xml:space="preserve">obowiązku składania </w:t>
      </w:r>
      <w:r w:rsidR="003C3101">
        <w:rPr>
          <w:rFonts w:ascii="Times New Roman" w:hAnsi="Times New Roman" w:cs="Times New Roman"/>
        </w:rPr>
        <w:t>kwartalnego sprawozdania ROP</w:t>
      </w:r>
      <w:r w:rsidR="00C50CA3">
        <w:rPr>
          <w:rFonts w:ascii="Times New Roman" w:hAnsi="Times New Roman" w:cs="Times New Roman"/>
        </w:rPr>
        <w:t xml:space="preserve">, gdy kwartalna wysokość </w:t>
      </w:r>
      <w:r w:rsidR="003C3101">
        <w:rPr>
          <w:rFonts w:ascii="Times New Roman" w:hAnsi="Times New Roman" w:cs="Times New Roman"/>
        </w:rPr>
        <w:t xml:space="preserve">opłaty opakowaniowej </w:t>
      </w:r>
      <w:r w:rsidR="00C50CA3">
        <w:rPr>
          <w:rFonts w:ascii="Times New Roman" w:hAnsi="Times New Roman" w:cs="Times New Roman"/>
        </w:rPr>
        <w:t xml:space="preserve">nie przekracza 25 zł. Dodatkowo </w:t>
      </w:r>
      <w:r w:rsidR="00D7192A">
        <w:rPr>
          <w:rFonts w:ascii="Times New Roman" w:hAnsi="Times New Roman" w:cs="Times New Roman"/>
        </w:rPr>
        <w:t xml:space="preserve">uwzględniono </w:t>
      </w:r>
      <w:r w:rsidR="00C50CA3">
        <w:rPr>
          <w:rFonts w:ascii="Times New Roman" w:hAnsi="Times New Roman" w:cs="Times New Roman"/>
        </w:rPr>
        <w:t>upoważnienie do wydania</w:t>
      </w:r>
      <w:r w:rsidR="00D7192A">
        <w:rPr>
          <w:rFonts w:ascii="Times New Roman" w:hAnsi="Times New Roman" w:cs="Times New Roman"/>
        </w:rPr>
        <w:t xml:space="preserve"> rozporządzenia</w:t>
      </w:r>
      <w:r w:rsidR="00C50CA3">
        <w:rPr>
          <w:rFonts w:ascii="Times New Roman" w:hAnsi="Times New Roman" w:cs="Times New Roman"/>
        </w:rPr>
        <w:t xml:space="preserve"> określającego wysokość stawek opłaty opakowaniowej. W </w:t>
      </w:r>
      <w:r w:rsidR="003C3101">
        <w:rPr>
          <w:rFonts w:ascii="Times New Roman" w:hAnsi="Times New Roman" w:cs="Times New Roman"/>
        </w:rPr>
        <w:t>odd</w:t>
      </w:r>
      <w:r w:rsidR="00C50CA3">
        <w:rPr>
          <w:rFonts w:ascii="Times New Roman" w:hAnsi="Times New Roman" w:cs="Times New Roman"/>
        </w:rPr>
        <w:t>ziale 4 określono szczegóły dotyczące prowadzenia działalności Organizacji ROP Opakowań, w tym min.:</w:t>
      </w:r>
    </w:p>
    <w:p w14:paraId="61483036" w14:textId="09E4E574" w:rsidR="00C50CA3" w:rsidRDefault="00C50CA3" w:rsidP="00C50C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50CA3">
        <w:rPr>
          <w:rFonts w:ascii="Times New Roman" w:hAnsi="Times New Roman" w:cs="Times New Roman"/>
        </w:rPr>
        <w:t>wskazano, że Organizacj</w:t>
      </w:r>
      <w:r w:rsidR="00E61AB6">
        <w:rPr>
          <w:rFonts w:ascii="Times New Roman" w:hAnsi="Times New Roman" w:cs="Times New Roman"/>
        </w:rPr>
        <w:t>ą</w:t>
      </w:r>
      <w:r w:rsidRPr="00C50CA3">
        <w:rPr>
          <w:rFonts w:ascii="Times New Roman" w:hAnsi="Times New Roman" w:cs="Times New Roman"/>
        </w:rPr>
        <w:t xml:space="preserve"> ROP Opakowań jest Narodowy Fundusz Ochrony Środowiska i Gospodarki Wodnej</w:t>
      </w:r>
      <w:r w:rsidR="002717E0">
        <w:rPr>
          <w:rFonts w:ascii="Times New Roman" w:hAnsi="Times New Roman" w:cs="Times New Roman"/>
        </w:rPr>
        <w:t xml:space="preserve"> oraz przedstawiono wymagany zakres zasad </w:t>
      </w:r>
      <w:r w:rsidR="002717E0">
        <w:rPr>
          <w:rFonts w:ascii="Times New Roman" w:hAnsi="Times New Roman" w:cs="Times New Roman"/>
        </w:rPr>
        <w:lastRenderedPageBreak/>
        <w:t>działania Organizacji ROP Opakowań, który w drodze decyzji będzie zatwierdzał minister właściwy do spraw klimatu</w:t>
      </w:r>
      <w:r w:rsidR="00311206">
        <w:rPr>
          <w:rFonts w:ascii="Times New Roman" w:hAnsi="Times New Roman" w:cs="Times New Roman"/>
        </w:rPr>
        <w:t>;</w:t>
      </w:r>
    </w:p>
    <w:p w14:paraId="7A7CCBF4" w14:textId="08DF0E3D" w:rsidR="00C50CA3" w:rsidRDefault="00E61AB6" w:rsidP="00C50C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określono </w:t>
      </w:r>
      <w:r w:rsidR="00C50CA3">
        <w:rPr>
          <w:rFonts w:ascii="Times New Roman" w:hAnsi="Times New Roman" w:cs="Times New Roman"/>
        </w:rPr>
        <w:t>zadania Organizacji ROP Opakowań</w:t>
      </w:r>
      <w:r w:rsidR="00FB170D">
        <w:rPr>
          <w:rFonts w:ascii="Times New Roman" w:hAnsi="Times New Roman" w:cs="Times New Roman"/>
        </w:rPr>
        <w:t xml:space="preserve"> w zakresie realizacji obowiązku pokrywania kosztów </w:t>
      </w:r>
      <w:r w:rsidR="00FB170D" w:rsidRPr="00FB170D">
        <w:rPr>
          <w:rFonts w:ascii="Times New Roman" w:hAnsi="Times New Roman" w:cs="Times New Roman"/>
        </w:rPr>
        <w:t>selektywnego zbierania odpadów powstałych z opakowań</w:t>
      </w:r>
      <w:r w:rsidR="00FB170D">
        <w:rPr>
          <w:rFonts w:ascii="Times New Roman" w:hAnsi="Times New Roman" w:cs="Times New Roman"/>
        </w:rPr>
        <w:t xml:space="preserve"> oraz</w:t>
      </w:r>
      <w:r w:rsidR="00FB170D" w:rsidRPr="00FB170D">
        <w:rPr>
          <w:rFonts w:ascii="Times New Roman" w:hAnsi="Times New Roman" w:cs="Times New Roman"/>
        </w:rPr>
        <w:t xml:space="preserve"> ich transportu i przetwarzania</w:t>
      </w:r>
      <w:r w:rsidR="00311206">
        <w:rPr>
          <w:rFonts w:ascii="Times New Roman" w:hAnsi="Times New Roman" w:cs="Times New Roman"/>
        </w:rPr>
        <w:t>;</w:t>
      </w:r>
    </w:p>
    <w:p w14:paraId="1E63D12F" w14:textId="46343ADC" w:rsidR="00FB170D" w:rsidRDefault="00E61AB6" w:rsidP="00C50C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wskazano warunki </w:t>
      </w:r>
      <w:r w:rsidR="00FB170D" w:rsidRPr="0062445D">
        <w:rPr>
          <w:rFonts w:ascii="Times New Roman" w:hAnsi="Times New Roman" w:cs="Times New Roman"/>
        </w:rPr>
        <w:t>zawierania umów cywilnoprawnych w zakresie gospodarowania odpadami opakowaniowymi z gminami, podmiotami odbierającymi odpady komunalne na podstawie umowy z właścicielem nieruchomości, zbierającymi odpady opakowaniowe inne niż komunalne, przetwarzającymi odpady komunalne oraz przetwarzającymi odpady opakowaniowe inne niż komunalne w procesach odzysku poprzedzających recykling,</w:t>
      </w:r>
      <w:r w:rsidR="0062445D">
        <w:rPr>
          <w:rFonts w:ascii="Times New Roman" w:hAnsi="Times New Roman" w:cs="Times New Roman"/>
        </w:rPr>
        <w:t xml:space="preserve"> p</w:t>
      </w:r>
      <w:r w:rsidR="00FB170D" w:rsidRPr="0062445D">
        <w:rPr>
          <w:rFonts w:ascii="Times New Roman" w:hAnsi="Times New Roman" w:cs="Times New Roman"/>
        </w:rPr>
        <w:t>rowadzącymi recykling odpadów opakowaniowych</w:t>
      </w:r>
      <w:r w:rsidR="00311206">
        <w:rPr>
          <w:rFonts w:ascii="Times New Roman" w:hAnsi="Times New Roman" w:cs="Times New Roman"/>
        </w:rPr>
        <w:t>;</w:t>
      </w:r>
    </w:p>
    <w:p w14:paraId="547CEC2E" w14:textId="3D4ED23A" w:rsidR="0062445D" w:rsidRDefault="00E61AB6" w:rsidP="006244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określono zasady </w:t>
      </w:r>
      <w:r w:rsidR="0062445D">
        <w:rPr>
          <w:rFonts w:ascii="Times New Roman" w:hAnsi="Times New Roman" w:cs="Times New Roman"/>
        </w:rPr>
        <w:t>składania wniosków przez ww. podmioty oraz ich weryfikacji</w:t>
      </w:r>
      <w:r>
        <w:rPr>
          <w:rFonts w:ascii="Times New Roman" w:hAnsi="Times New Roman" w:cs="Times New Roman"/>
        </w:rPr>
        <w:t xml:space="preserve"> i</w:t>
      </w:r>
      <w:r w:rsidR="00D7192A">
        <w:rPr>
          <w:rFonts w:ascii="Times New Roman" w:hAnsi="Times New Roman" w:cs="Times New Roman"/>
        </w:rPr>
        <w:t> </w:t>
      </w:r>
      <w:r w:rsidR="0062445D">
        <w:rPr>
          <w:rFonts w:ascii="Times New Roman" w:hAnsi="Times New Roman" w:cs="Times New Roman"/>
        </w:rPr>
        <w:t>ustalania wysokości finansowania kosztów gospodarowania odpadami</w:t>
      </w:r>
      <w:r>
        <w:rPr>
          <w:rFonts w:ascii="Times New Roman" w:hAnsi="Times New Roman" w:cs="Times New Roman"/>
        </w:rPr>
        <w:t xml:space="preserve"> opakowaniowymi</w:t>
      </w:r>
      <w:r w:rsidR="0062445D">
        <w:rPr>
          <w:rFonts w:ascii="Times New Roman" w:hAnsi="Times New Roman" w:cs="Times New Roman"/>
        </w:rPr>
        <w:t xml:space="preserve"> przez te podmioty.</w:t>
      </w:r>
    </w:p>
    <w:p w14:paraId="24D4C66D" w14:textId="1A9946DC" w:rsidR="0062445D" w:rsidRDefault="0062445D" w:rsidP="00D7192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</w:t>
      </w:r>
      <w:r w:rsidR="007B4AB0">
        <w:rPr>
          <w:rFonts w:ascii="Times New Roman" w:hAnsi="Times New Roman" w:cs="Times New Roman"/>
        </w:rPr>
        <w:t xml:space="preserve">zawarto upoważnienia do wydania rozporządzenia określającego udziały we wpływach z opłaty opakowaniowej przeznaczane na poszczególne zadania Organizacji ROP Opakowań oraz rozporządzenia w sprawie rodzajów odpadów opakowaniowych o ujemnej wartości rynkowej. </w:t>
      </w:r>
    </w:p>
    <w:p w14:paraId="0979B471" w14:textId="3E4EE2FE" w:rsidR="007B4AB0" w:rsidRDefault="00CC29B4" w:rsidP="00CC29B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C3101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>d</w:t>
      </w:r>
      <w:r w:rsidR="007B4AB0">
        <w:rPr>
          <w:rFonts w:ascii="Times New Roman" w:hAnsi="Times New Roman" w:cs="Times New Roman"/>
        </w:rPr>
        <w:t>zia</w:t>
      </w:r>
      <w:r>
        <w:rPr>
          <w:rFonts w:ascii="Times New Roman" w:hAnsi="Times New Roman" w:cs="Times New Roman"/>
        </w:rPr>
        <w:t>le</w:t>
      </w:r>
      <w:r w:rsidR="007B4AB0">
        <w:rPr>
          <w:rFonts w:ascii="Times New Roman" w:hAnsi="Times New Roman" w:cs="Times New Roman"/>
        </w:rPr>
        <w:t xml:space="preserve"> 5</w:t>
      </w:r>
      <w:r w:rsidR="00065F03">
        <w:rPr>
          <w:rFonts w:ascii="Times New Roman" w:hAnsi="Times New Roman" w:cs="Times New Roman"/>
        </w:rPr>
        <w:t xml:space="preserve"> rozdziału 7</w:t>
      </w:r>
      <w:r w:rsidR="007B4AB0">
        <w:rPr>
          <w:rFonts w:ascii="Times New Roman" w:hAnsi="Times New Roman" w:cs="Times New Roman"/>
        </w:rPr>
        <w:t xml:space="preserve"> zaw</w:t>
      </w:r>
      <w:r>
        <w:rPr>
          <w:rFonts w:ascii="Times New Roman" w:hAnsi="Times New Roman" w:cs="Times New Roman"/>
        </w:rPr>
        <w:t>arto</w:t>
      </w:r>
      <w:r w:rsidR="007B4AB0">
        <w:rPr>
          <w:rFonts w:ascii="Times New Roman" w:hAnsi="Times New Roman" w:cs="Times New Roman"/>
        </w:rPr>
        <w:t xml:space="preserve"> przepisy </w:t>
      </w:r>
      <w:r w:rsidR="00065F03">
        <w:rPr>
          <w:rFonts w:ascii="Times New Roman" w:hAnsi="Times New Roman" w:cs="Times New Roman"/>
        </w:rPr>
        <w:t>dotyczące</w:t>
      </w:r>
      <w:r w:rsidR="007B4AB0">
        <w:rPr>
          <w:rFonts w:ascii="Times New Roman" w:hAnsi="Times New Roman" w:cs="Times New Roman"/>
        </w:rPr>
        <w:t xml:space="preserve"> samodzielnego wypełniania obowiązków w</w:t>
      </w:r>
      <w:r w:rsidR="00065F03">
        <w:rPr>
          <w:rFonts w:ascii="Times New Roman" w:hAnsi="Times New Roman" w:cs="Times New Roman"/>
        </w:rPr>
        <w:t xml:space="preserve"> </w:t>
      </w:r>
      <w:r w:rsidR="007B4AB0">
        <w:rPr>
          <w:rFonts w:ascii="Times New Roman" w:hAnsi="Times New Roman" w:cs="Times New Roman"/>
        </w:rPr>
        <w:t>zakresie ROP, w tym m.in.: obowiązki producenta, warunki uzyskania zezwolenia</w:t>
      </w:r>
      <w:r>
        <w:rPr>
          <w:rFonts w:ascii="Times New Roman" w:hAnsi="Times New Roman" w:cs="Times New Roman"/>
        </w:rPr>
        <w:t xml:space="preserve"> oraz </w:t>
      </w:r>
      <w:r w:rsidR="007B4AB0">
        <w:rPr>
          <w:rFonts w:ascii="Times New Roman" w:hAnsi="Times New Roman" w:cs="Times New Roman"/>
        </w:rPr>
        <w:t>jego zakres, przypadki, w których minister właściwy do spraw klimatu może odmówić wydania zezwolenia, przypadki</w:t>
      </w:r>
      <w:r w:rsidR="00311206">
        <w:rPr>
          <w:rFonts w:ascii="Times New Roman" w:hAnsi="Times New Roman" w:cs="Times New Roman"/>
        </w:rPr>
        <w:t>,</w:t>
      </w:r>
      <w:r w:rsidR="007B4AB0">
        <w:rPr>
          <w:rFonts w:ascii="Times New Roman" w:hAnsi="Times New Roman" w:cs="Times New Roman"/>
        </w:rPr>
        <w:t xml:space="preserve"> w których producent obowiązany jest do wniesienia opłaty opakowaniowej</w:t>
      </w:r>
      <w:r w:rsidR="00311206">
        <w:rPr>
          <w:rFonts w:ascii="Times New Roman" w:hAnsi="Times New Roman" w:cs="Times New Roman"/>
        </w:rPr>
        <w:t>,</w:t>
      </w:r>
      <w:r w:rsidR="007B4AB0">
        <w:rPr>
          <w:rFonts w:ascii="Times New Roman" w:hAnsi="Times New Roman" w:cs="Times New Roman"/>
        </w:rPr>
        <w:t xml:space="preserve"> oraz</w:t>
      </w:r>
      <w:r>
        <w:rPr>
          <w:rFonts w:ascii="Times New Roman" w:hAnsi="Times New Roman" w:cs="Times New Roman"/>
        </w:rPr>
        <w:t xml:space="preserve"> obowiązki dotyczące sprawozdawczości</w:t>
      </w:r>
      <w:r w:rsidR="007B4AB0">
        <w:rPr>
          <w:rFonts w:ascii="Times New Roman" w:hAnsi="Times New Roman" w:cs="Times New Roman"/>
        </w:rPr>
        <w:t>.</w:t>
      </w:r>
    </w:p>
    <w:p w14:paraId="7546ACED" w14:textId="2547353A" w:rsidR="00217023" w:rsidRDefault="007B4AB0" w:rsidP="00CC29B4">
      <w:pPr>
        <w:spacing w:line="360" w:lineRule="auto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uwagi na fakt, że </w:t>
      </w:r>
      <w:r w:rsidR="00217023">
        <w:rPr>
          <w:rFonts w:ascii="Times New Roman" w:hAnsi="Times New Roman" w:cs="Times New Roman"/>
        </w:rPr>
        <w:t xml:space="preserve">odpady opakowaniowe po </w:t>
      </w:r>
      <w:r>
        <w:rPr>
          <w:rFonts w:ascii="Times New Roman" w:hAnsi="Times New Roman" w:cs="Times New Roman"/>
        </w:rPr>
        <w:t>środk</w:t>
      </w:r>
      <w:r w:rsidR="00217023">
        <w:rPr>
          <w:rFonts w:ascii="Times New Roman" w:hAnsi="Times New Roman" w:cs="Times New Roman"/>
        </w:rPr>
        <w:t>ach</w:t>
      </w:r>
      <w:r w:rsidR="00037013">
        <w:rPr>
          <w:rFonts w:ascii="Times New Roman" w:hAnsi="Times New Roman" w:cs="Times New Roman"/>
        </w:rPr>
        <w:t xml:space="preserve"> niebezpieczn</w:t>
      </w:r>
      <w:r w:rsidR="00217023">
        <w:rPr>
          <w:rFonts w:ascii="Times New Roman" w:hAnsi="Times New Roman" w:cs="Times New Roman"/>
        </w:rPr>
        <w:t>ych</w:t>
      </w:r>
      <w:r w:rsidR="00037013">
        <w:rPr>
          <w:rFonts w:ascii="Times New Roman" w:hAnsi="Times New Roman" w:cs="Times New Roman"/>
        </w:rPr>
        <w:t xml:space="preserve"> będąc</w:t>
      </w:r>
      <w:r w:rsidR="00217023">
        <w:rPr>
          <w:rFonts w:ascii="Times New Roman" w:hAnsi="Times New Roman" w:cs="Times New Roman"/>
        </w:rPr>
        <w:t>ych</w:t>
      </w:r>
      <w:r w:rsidR="00037013">
        <w:rPr>
          <w:rFonts w:ascii="Times New Roman" w:hAnsi="Times New Roman" w:cs="Times New Roman"/>
        </w:rPr>
        <w:t xml:space="preserve"> środkami </w:t>
      </w:r>
      <w:r>
        <w:rPr>
          <w:rFonts w:ascii="Times New Roman" w:hAnsi="Times New Roman" w:cs="Times New Roman"/>
        </w:rPr>
        <w:t xml:space="preserve">ochrony roślin </w:t>
      </w:r>
      <w:r w:rsidR="00217023">
        <w:rPr>
          <w:rFonts w:ascii="Times New Roman" w:hAnsi="Times New Roman" w:cs="Times New Roman"/>
        </w:rPr>
        <w:t xml:space="preserve">stanowią </w:t>
      </w:r>
      <w:r w:rsidR="00E61AB6">
        <w:rPr>
          <w:rFonts w:ascii="Times New Roman" w:hAnsi="Times New Roman" w:cs="Times New Roman"/>
        </w:rPr>
        <w:t xml:space="preserve">wyodrębniony </w:t>
      </w:r>
      <w:r w:rsidR="00217023">
        <w:rPr>
          <w:rFonts w:ascii="Times New Roman" w:hAnsi="Times New Roman" w:cs="Times New Roman"/>
        </w:rPr>
        <w:t xml:space="preserve">strumień odpadów opakowaniowych, możliwe jest wprowadzenie dla tych odpadów szczególnych regulacji, które bazują na dotychczas funkcjonującym </w:t>
      </w:r>
      <w:r w:rsidR="008F7674">
        <w:rPr>
          <w:rFonts w:ascii="Times New Roman" w:hAnsi="Times New Roman" w:cs="Times New Roman"/>
        </w:rPr>
        <w:t xml:space="preserve">i efektywnym </w:t>
      </w:r>
      <w:r w:rsidR="00217023">
        <w:rPr>
          <w:rFonts w:ascii="Times New Roman" w:hAnsi="Times New Roman" w:cs="Times New Roman"/>
        </w:rPr>
        <w:t>systemie ROP dla opakowań środków niebezpiecznych będących środkami roślin.</w:t>
      </w:r>
      <w:r w:rsidR="008F7674">
        <w:rPr>
          <w:rFonts w:ascii="Times New Roman" w:hAnsi="Times New Roman" w:cs="Times New Roman"/>
        </w:rPr>
        <w:t xml:space="preserve"> </w:t>
      </w:r>
      <w:r w:rsidR="00037013">
        <w:rPr>
          <w:rFonts w:ascii="Times New Roman" w:hAnsi="Times New Roman" w:cs="Times New Roman"/>
        </w:rPr>
        <w:t xml:space="preserve">Natomiast z uwagi na </w:t>
      </w:r>
      <w:r w:rsidR="00217023">
        <w:rPr>
          <w:rFonts w:ascii="Times New Roman" w:hAnsi="Times New Roman" w:cs="Times New Roman"/>
        </w:rPr>
        <w:t xml:space="preserve">konieczność zapewnienia zgodności systemów ROP z rozporządzeniem nr 2025/40 w </w:t>
      </w:r>
      <w:r w:rsidR="003C3101">
        <w:rPr>
          <w:rFonts w:ascii="Times New Roman" w:hAnsi="Times New Roman" w:cs="Times New Roman"/>
        </w:rPr>
        <w:t>od</w:t>
      </w:r>
      <w:r w:rsidR="00217023">
        <w:rPr>
          <w:rFonts w:ascii="Times New Roman" w:hAnsi="Times New Roman" w:cs="Times New Roman"/>
        </w:rPr>
        <w:t>dziale 6 określono szczegółowe ramy działania organizacji ROP środków ochrony roślin w opakowaniach, w tym:</w:t>
      </w:r>
    </w:p>
    <w:p w14:paraId="48F94E01" w14:textId="7F978E27" w:rsidR="007B4AB0" w:rsidRDefault="008F7674" w:rsidP="002170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formę prowadzenia i przedmiot działalności</w:t>
      </w:r>
      <w:r w:rsidR="00311206">
        <w:rPr>
          <w:rFonts w:ascii="Times New Roman" w:hAnsi="Times New Roman" w:cs="Times New Roman"/>
        </w:rPr>
        <w:t>;</w:t>
      </w:r>
    </w:p>
    <w:p w14:paraId="1216AF3D" w14:textId="41EBF7D8" w:rsidR="008F7674" w:rsidRDefault="008F7674" w:rsidP="002170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szczegóły dotyczące wymaganego kapitału zakładowego oraz jego formy</w:t>
      </w:r>
      <w:r w:rsidR="00311206">
        <w:rPr>
          <w:rFonts w:ascii="Times New Roman" w:hAnsi="Times New Roman" w:cs="Times New Roman"/>
        </w:rPr>
        <w:t>;</w:t>
      </w:r>
    </w:p>
    <w:p w14:paraId="0AF57E4A" w14:textId="70A6F8AE" w:rsidR="008F7674" w:rsidRDefault="00E61AB6" w:rsidP="002170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procedurę </w:t>
      </w:r>
      <w:r w:rsidR="008F7674">
        <w:rPr>
          <w:rFonts w:ascii="Times New Roman" w:hAnsi="Times New Roman" w:cs="Times New Roman"/>
        </w:rPr>
        <w:t>wydawania i cofania zezwolenia</w:t>
      </w:r>
      <w:r w:rsidR="00311206">
        <w:rPr>
          <w:rFonts w:ascii="Times New Roman" w:hAnsi="Times New Roman" w:cs="Times New Roman"/>
        </w:rPr>
        <w:t>;</w:t>
      </w:r>
    </w:p>
    <w:p w14:paraId="11875C8E" w14:textId="03B9259F" w:rsidR="008F7674" w:rsidRDefault="00E61AB6" w:rsidP="002170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</w:t>
      </w:r>
      <w:r w:rsidR="008F7674">
        <w:rPr>
          <w:rFonts w:ascii="Times New Roman" w:hAnsi="Times New Roman" w:cs="Times New Roman"/>
        </w:rPr>
        <w:t>wnoszenia opłaty opakowaniowej w przypadku niezapewnienia wymaganych poziomów recyklingu odpadów opakowaniowych</w:t>
      </w:r>
      <w:r w:rsidR="00311206">
        <w:rPr>
          <w:rFonts w:ascii="Times New Roman" w:hAnsi="Times New Roman" w:cs="Times New Roman"/>
        </w:rPr>
        <w:t>;</w:t>
      </w:r>
    </w:p>
    <w:p w14:paraId="1D2A10C2" w14:textId="1D83D1C5" w:rsidR="008F7674" w:rsidRDefault="00E61AB6" w:rsidP="002170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 w zakresie </w:t>
      </w:r>
      <w:r w:rsidR="008F7674">
        <w:rPr>
          <w:rFonts w:ascii="Times New Roman" w:hAnsi="Times New Roman" w:cs="Times New Roman"/>
        </w:rPr>
        <w:t>sprawozdawczości</w:t>
      </w:r>
      <w:r w:rsidR="00311206">
        <w:rPr>
          <w:rFonts w:ascii="Times New Roman" w:hAnsi="Times New Roman" w:cs="Times New Roman"/>
        </w:rPr>
        <w:t>;</w:t>
      </w:r>
    </w:p>
    <w:p w14:paraId="2B526200" w14:textId="19CA0EA8" w:rsidR="008F7674" w:rsidRDefault="00E61AB6" w:rsidP="002170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obowiązek </w:t>
      </w:r>
      <w:r w:rsidR="008F7674">
        <w:rPr>
          <w:rFonts w:ascii="Times New Roman" w:hAnsi="Times New Roman" w:cs="Times New Roman"/>
        </w:rPr>
        <w:t xml:space="preserve">wydatkowania przychodów uzyskanych z opłat wnoszonych przez producentów </w:t>
      </w:r>
      <w:r w:rsidR="00B04A4E">
        <w:rPr>
          <w:rFonts w:ascii="Times New Roman" w:hAnsi="Times New Roman" w:cs="Times New Roman"/>
        </w:rPr>
        <w:t xml:space="preserve">ww. </w:t>
      </w:r>
      <w:r w:rsidR="008F7674">
        <w:rPr>
          <w:rFonts w:ascii="Times New Roman" w:hAnsi="Times New Roman" w:cs="Times New Roman"/>
        </w:rPr>
        <w:t>środków ochrony roślin w opakowaniach</w:t>
      </w:r>
      <w:r w:rsidR="005F468A">
        <w:rPr>
          <w:rFonts w:ascii="Times New Roman" w:hAnsi="Times New Roman" w:cs="Times New Roman"/>
        </w:rPr>
        <w:t xml:space="preserve"> oraz przeznaczania środków</w:t>
      </w:r>
      <w:r w:rsidR="00B04A4E">
        <w:rPr>
          <w:rFonts w:ascii="Times New Roman" w:hAnsi="Times New Roman" w:cs="Times New Roman"/>
        </w:rPr>
        <w:t xml:space="preserve"> finansowych</w:t>
      </w:r>
      <w:r w:rsidR="005F468A">
        <w:rPr>
          <w:rFonts w:ascii="Times New Roman" w:hAnsi="Times New Roman" w:cs="Times New Roman"/>
        </w:rPr>
        <w:t xml:space="preserve"> na publiczne kampanie edukacyjne.</w:t>
      </w:r>
    </w:p>
    <w:p w14:paraId="641D7657" w14:textId="269EEB41" w:rsidR="005F468A" w:rsidRDefault="005F468A" w:rsidP="00CC29B4">
      <w:pPr>
        <w:spacing w:line="360" w:lineRule="auto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C310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="002717E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ziale 7</w:t>
      </w:r>
      <w:r w:rsidR="00065F03">
        <w:rPr>
          <w:rFonts w:ascii="Times New Roman" w:hAnsi="Times New Roman" w:cs="Times New Roman"/>
        </w:rPr>
        <w:t xml:space="preserve"> rozdziału 7</w:t>
      </w:r>
      <w:r>
        <w:rPr>
          <w:rFonts w:ascii="Times New Roman" w:hAnsi="Times New Roman" w:cs="Times New Roman"/>
        </w:rPr>
        <w:t xml:space="preserve"> określono wymagania dotyczące sporządzania i wydawania d</w:t>
      </w:r>
      <w:r w:rsidRPr="005F468A">
        <w:rPr>
          <w:rFonts w:ascii="Times New Roman" w:hAnsi="Times New Roman" w:cs="Times New Roman"/>
        </w:rPr>
        <w:t>okument</w:t>
      </w:r>
      <w:r>
        <w:rPr>
          <w:rFonts w:ascii="Times New Roman" w:hAnsi="Times New Roman" w:cs="Times New Roman"/>
        </w:rPr>
        <w:t>ów</w:t>
      </w:r>
      <w:r w:rsidRPr="005F468A">
        <w:rPr>
          <w:rFonts w:ascii="Times New Roman" w:hAnsi="Times New Roman" w:cs="Times New Roman"/>
        </w:rPr>
        <w:t xml:space="preserve"> potwierdzając</w:t>
      </w:r>
      <w:r>
        <w:rPr>
          <w:rFonts w:ascii="Times New Roman" w:hAnsi="Times New Roman" w:cs="Times New Roman"/>
        </w:rPr>
        <w:t>ych</w:t>
      </w:r>
      <w:r w:rsidRPr="005F468A">
        <w:rPr>
          <w:rFonts w:ascii="Times New Roman" w:hAnsi="Times New Roman" w:cs="Times New Roman"/>
        </w:rPr>
        <w:t xml:space="preserve"> recykling, eksport oraz wewnątrzwspólnotową dostawę odpadów opakowaniowych w celu poddania ich recyklingowi</w:t>
      </w:r>
      <w:r>
        <w:rPr>
          <w:rFonts w:ascii="Times New Roman" w:hAnsi="Times New Roman" w:cs="Times New Roman"/>
        </w:rPr>
        <w:t xml:space="preserve">. </w:t>
      </w:r>
    </w:p>
    <w:p w14:paraId="17BD32A8" w14:textId="65570961" w:rsidR="005F468A" w:rsidRDefault="00065F03" w:rsidP="00CC29B4">
      <w:pPr>
        <w:spacing w:line="360" w:lineRule="auto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7 o</w:t>
      </w:r>
      <w:r w:rsidR="003C3101">
        <w:rPr>
          <w:rFonts w:ascii="Times New Roman" w:hAnsi="Times New Roman" w:cs="Times New Roman"/>
        </w:rPr>
        <w:t>dd</w:t>
      </w:r>
      <w:r w:rsidR="005F468A">
        <w:rPr>
          <w:rFonts w:ascii="Times New Roman" w:hAnsi="Times New Roman" w:cs="Times New Roman"/>
        </w:rPr>
        <w:t xml:space="preserve">ział 8 zawiera regulacje w zakresie podmiotów obowiązanych do sporządzania audytu zewnętrznego oraz warunki jego przeprowadzania. </w:t>
      </w:r>
    </w:p>
    <w:p w14:paraId="3756F4B0" w14:textId="7E71A6B8" w:rsidR="00EE0371" w:rsidRDefault="005F468A" w:rsidP="00CC29B4">
      <w:pPr>
        <w:spacing w:line="360" w:lineRule="auto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C3101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dziale 9 </w:t>
      </w:r>
      <w:r w:rsidR="00104606">
        <w:rPr>
          <w:rFonts w:ascii="Times New Roman" w:hAnsi="Times New Roman" w:cs="Times New Roman"/>
        </w:rPr>
        <w:t xml:space="preserve">rozdziału 7 </w:t>
      </w:r>
      <w:r>
        <w:rPr>
          <w:rFonts w:ascii="Times New Roman" w:hAnsi="Times New Roman" w:cs="Times New Roman"/>
        </w:rPr>
        <w:t xml:space="preserve">określono zadania i uprawnienia marszałka województw w zakresie kontroli recyklerów, eksporterów i wewnątrzwspólnotowych dostawców odpadów opakowaniowych, natomiast w </w:t>
      </w:r>
      <w:r w:rsidR="003C3101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dziale 10 zadania Instytutu Ochrony Środowiska – Państwowego Instytutu Badawczego, zwanego dalej: „IOŚ-PIB”. </w:t>
      </w:r>
    </w:p>
    <w:p w14:paraId="2F8B9D88" w14:textId="0913133A" w:rsidR="005F468A" w:rsidRDefault="003C3101" w:rsidP="00CC29B4">
      <w:pPr>
        <w:spacing w:line="360" w:lineRule="auto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</w:t>
      </w:r>
      <w:r w:rsidR="005F468A">
        <w:rPr>
          <w:rFonts w:ascii="Times New Roman" w:hAnsi="Times New Roman" w:cs="Times New Roman"/>
        </w:rPr>
        <w:t xml:space="preserve">ział 11 </w:t>
      </w:r>
      <w:r w:rsidR="00104606">
        <w:rPr>
          <w:rFonts w:ascii="Times New Roman" w:hAnsi="Times New Roman" w:cs="Times New Roman"/>
        </w:rPr>
        <w:t xml:space="preserve">powyższego rozdziału </w:t>
      </w:r>
      <w:r w:rsidR="005F468A">
        <w:rPr>
          <w:rFonts w:ascii="Times New Roman" w:hAnsi="Times New Roman" w:cs="Times New Roman"/>
        </w:rPr>
        <w:t xml:space="preserve">zawiera szczegóły dotyczące </w:t>
      </w:r>
      <w:r w:rsidR="00EE0371">
        <w:rPr>
          <w:rFonts w:ascii="Times New Roman" w:hAnsi="Times New Roman" w:cs="Times New Roman"/>
        </w:rPr>
        <w:t xml:space="preserve">utworzenia i działalności </w:t>
      </w:r>
      <w:r w:rsidR="00104606">
        <w:rPr>
          <w:rFonts w:ascii="Times New Roman" w:hAnsi="Times New Roman" w:cs="Times New Roman"/>
        </w:rPr>
        <w:t xml:space="preserve">Rady ds. ROP – </w:t>
      </w:r>
      <w:r w:rsidR="00EE0371">
        <w:rPr>
          <w:rFonts w:ascii="Times New Roman" w:hAnsi="Times New Roman" w:cs="Times New Roman"/>
        </w:rPr>
        <w:t>organu opiniodawczo-doradczego ministra właściwego do spraw klimatu.</w:t>
      </w:r>
    </w:p>
    <w:p w14:paraId="7620BD57" w14:textId="778A8EF6" w:rsidR="00EE0371" w:rsidRDefault="00EE0371" w:rsidP="00CC29B4">
      <w:pPr>
        <w:spacing w:line="360" w:lineRule="auto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Dotychczasowe przepisy w zakresie systemu kaucyjnego zostały zawarte w rozdziale 8 oraz dostosowane w niezbędnym zakresie do rozporządzenia nr 2025/40, tj. dostosowano terminologię używaną w projekcie ustawy, wprowadzono stosowne definicje, a także dodano do załącznika nr 1 projektowanej ustawy</w:t>
      </w:r>
      <w:r w:rsidR="00B04A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określającego minimalne poziomy selektywnego zbierania opakowań i odpadów opakowaniowych</w:t>
      </w:r>
      <w:r w:rsidR="00B04A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nowy rodzaj opakowań – metalowe pojemniki jednorazowego użytku na napoje o pojemności do trzech litrów (poziom 90% w roku 2029 i latach następnych). </w:t>
      </w:r>
    </w:p>
    <w:p w14:paraId="32E17B94" w14:textId="3BD557E9" w:rsidR="00EE0371" w:rsidRDefault="00EE0371" w:rsidP="00CC29B4">
      <w:pPr>
        <w:spacing w:line="360" w:lineRule="auto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9 </w:t>
      </w:r>
      <w:r w:rsidR="00A759D3">
        <w:rPr>
          <w:rFonts w:ascii="Times New Roman" w:hAnsi="Times New Roman" w:cs="Times New Roman"/>
        </w:rPr>
        <w:t xml:space="preserve">projektowanej ustawy </w:t>
      </w:r>
      <w:r>
        <w:rPr>
          <w:rFonts w:ascii="Times New Roman" w:hAnsi="Times New Roman" w:cs="Times New Roman"/>
        </w:rPr>
        <w:t>zawarto regul</w:t>
      </w:r>
      <w:r w:rsidR="00A759D3">
        <w:rPr>
          <w:rFonts w:ascii="Times New Roman" w:hAnsi="Times New Roman" w:cs="Times New Roman"/>
        </w:rPr>
        <w:t xml:space="preserve">acje dotyczące </w:t>
      </w:r>
      <w:r>
        <w:rPr>
          <w:rFonts w:ascii="Times New Roman" w:hAnsi="Times New Roman" w:cs="Times New Roman"/>
        </w:rPr>
        <w:t>administracyjn</w:t>
      </w:r>
      <w:r w:rsidR="00A759D3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kar pieniężn</w:t>
      </w:r>
      <w:r w:rsidR="00A759D3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za naruszenia p</w:t>
      </w:r>
      <w:r w:rsidR="00A759D3">
        <w:rPr>
          <w:rFonts w:ascii="Times New Roman" w:hAnsi="Times New Roman" w:cs="Times New Roman"/>
        </w:rPr>
        <w:t xml:space="preserve">rzepisów projektowanej ustawy oraz rozporządzenia nr 2025/40. </w:t>
      </w:r>
    </w:p>
    <w:p w14:paraId="3C3A6982" w14:textId="3D7593FF" w:rsidR="00A759D3" w:rsidRDefault="00A759D3" w:rsidP="00CC29B4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Rozdział 10 projektowanej ustawy zawiera, będące </w:t>
      </w:r>
      <w:r w:rsidRPr="00C44443">
        <w:rPr>
          <w:rFonts w:ascii="Times New Roman" w:hAnsi="Times New Roman" w:cs="Times New Roman"/>
        </w:rPr>
        <w:t>konsekwencją wprowadzenia do porządku prawnego projektowanej ustawy</w:t>
      </w:r>
      <w:r>
        <w:rPr>
          <w:rFonts w:ascii="Times New Roman" w:hAnsi="Times New Roman" w:cs="Times New Roman"/>
        </w:rPr>
        <w:t>, zmiany w następujących ustawach:</w:t>
      </w:r>
    </w:p>
    <w:p w14:paraId="507761FE" w14:textId="02F26082" w:rsidR="001849D4" w:rsidRDefault="001849D4" w:rsidP="00A759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A759D3">
        <w:rPr>
          <w:rFonts w:ascii="Times New Roman" w:hAnsi="Times New Roman" w:cs="Times New Roman"/>
        </w:rPr>
        <w:t>ustawie z dnia 17 czerwca 1966 r. o postępowaniu egzekucyjnym w administracji</w:t>
      </w:r>
      <w:r>
        <w:rPr>
          <w:rFonts w:ascii="Times New Roman" w:hAnsi="Times New Roman" w:cs="Times New Roman"/>
        </w:rPr>
        <w:t>;</w:t>
      </w:r>
    </w:p>
    <w:p w14:paraId="46FD693A" w14:textId="276D1A3E" w:rsidR="001849D4" w:rsidRDefault="001849D4" w:rsidP="00A759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A759D3">
        <w:rPr>
          <w:rFonts w:ascii="Times New Roman" w:hAnsi="Times New Roman" w:cs="Times New Roman"/>
        </w:rPr>
        <w:lastRenderedPageBreak/>
        <w:t>ustawie z dnia 26 lipca 1991 r. o podatku dochodowym od osób</w:t>
      </w:r>
      <w:r>
        <w:rPr>
          <w:rFonts w:ascii="Times New Roman" w:hAnsi="Times New Roman" w:cs="Times New Roman"/>
        </w:rPr>
        <w:t>;</w:t>
      </w:r>
    </w:p>
    <w:p w14:paraId="39BBEC56" w14:textId="1F948D27" w:rsidR="001849D4" w:rsidRDefault="001849D4" w:rsidP="00A759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A759D3">
        <w:rPr>
          <w:rFonts w:ascii="Times New Roman" w:hAnsi="Times New Roman" w:cs="Times New Roman"/>
        </w:rPr>
        <w:t>ustawie z dnia 15 lutego 1992 r. o podatku dochodowym od osób prawnych</w:t>
      </w:r>
      <w:r>
        <w:rPr>
          <w:rFonts w:ascii="Times New Roman" w:hAnsi="Times New Roman" w:cs="Times New Roman"/>
        </w:rPr>
        <w:t>;</w:t>
      </w:r>
    </w:p>
    <w:p w14:paraId="1DBA49C8" w14:textId="544A195D" w:rsidR="00A759D3" w:rsidRDefault="00A759D3" w:rsidP="00A759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A759D3">
        <w:rPr>
          <w:rFonts w:ascii="Times New Roman" w:hAnsi="Times New Roman" w:cs="Times New Roman"/>
        </w:rPr>
        <w:t>ustawie z dnia 13 września 1996 r. o utrzymaniu czystości i porządku w gminach</w:t>
      </w:r>
      <w:r>
        <w:rPr>
          <w:rFonts w:ascii="Times New Roman" w:hAnsi="Times New Roman" w:cs="Times New Roman"/>
        </w:rPr>
        <w:t>;</w:t>
      </w:r>
    </w:p>
    <w:p w14:paraId="67B532CF" w14:textId="20F7C65F" w:rsidR="001849D4" w:rsidRDefault="001849D4" w:rsidP="00A759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A759D3">
        <w:rPr>
          <w:rFonts w:ascii="Times New Roman" w:hAnsi="Times New Roman" w:cs="Times New Roman"/>
        </w:rPr>
        <w:t>ustawie z 15 grudnia 2000 r. o Inspekcji Handlowej</w:t>
      </w:r>
      <w:r>
        <w:rPr>
          <w:rFonts w:ascii="Times New Roman" w:hAnsi="Times New Roman" w:cs="Times New Roman"/>
        </w:rPr>
        <w:t>;</w:t>
      </w:r>
    </w:p>
    <w:p w14:paraId="1B96B7D6" w14:textId="2BAD72EC" w:rsidR="001849D4" w:rsidRPr="00A759D3" w:rsidRDefault="001849D4" w:rsidP="001849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A759D3">
        <w:rPr>
          <w:rFonts w:ascii="Times New Roman" w:hAnsi="Times New Roman" w:cs="Times New Roman"/>
        </w:rPr>
        <w:t>ustawie z dnia 27 kwietnia 2001 r. – Prawo ochrony środowiska;</w:t>
      </w:r>
    </w:p>
    <w:p w14:paraId="0B94D808" w14:textId="6CEFA27D" w:rsidR="00A759D3" w:rsidRPr="00A759D3" w:rsidRDefault="001849D4" w:rsidP="00A759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A759D3">
        <w:rPr>
          <w:rFonts w:ascii="Times New Roman" w:hAnsi="Times New Roman" w:cs="Times New Roman"/>
        </w:rPr>
        <w:t>ustawie z dnia 11 maja 2001 r. o obowiązkach przedsiębiorców w zakresie gospodarowania niektórymi odpadami oraz o opłacie produktowej</w:t>
      </w:r>
      <w:r>
        <w:rPr>
          <w:rFonts w:ascii="Times New Roman" w:hAnsi="Times New Roman" w:cs="Times New Roman"/>
        </w:rPr>
        <w:t>;</w:t>
      </w:r>
    </w:p>
    <w:p w14:paraId="18B987C5" w14:textId="2210349D" w:rsidR="00A759D3" w:rsidRPr="00A759D3" w:rsidRDefault="00A759D3" w:rsidP="00A759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A759D3">
        <w:rPr>
          <w:rFonts w:ascii="Times New Roman" w:hAnsi="Times New Roman" w:cs="Times New Roman"/>
        </w:rPr>
        <w:t>ustawie z dnia 11 marca 2004 r. o podatku od towarów i usług;</w:t>
      </w:r>
    </w:p>
    <w:p w14:paraId="0916ADC4" w14:textId="61F8F840" w:rsidR="001849D4" w:rsidRPr="00A759D3" w:rsidRDefault="001849D4" w:rsidP="001849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A759D3">
        <w:rPr>
          <w:rFonts w:ascii="Times New Roman" w:hAnsi="Times New Roman" w:cs="Times New Roman"/>
        </w:rPr>
        <w:t>ustawie z dnia 14 grudnia 2012 r. o odpadach</w:t>
      </w:r>
      <w:r>
        <w:rPr>
          <w:rFonts w:ascii="Times New Roman" w:hAnsi="Times New Roman" w:cs="Times New Roman"/>
        </w:rPr>
        <w:t>.</w:t>
      </w:r>
    </w:p>
    <w:p w14:paraId="552FFD97" w14:textId="1A91B24E" w:rsidR="00A759D3" w:rsidRDefault="00A759D3" w:rsidP="002717E0">
      <w:pPr>
        <w:spacing w:after="12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11 projektowanej ustawy </w:t>
      </w:r>
      <w:r w:rsidR="00AB5784">
        <w:rPr>
          <w:rFonts w:ascii="Times New Roman" w:hAnsi="Times New Roman" w:cs="Times New Roman"/>
        </w:rPr>
        <w:t xml:space="preserve">zostały zawarte przepisy </w:t>
      </w:r>
      <w:r w:rsidR="002717E0">
        <w:rPr>
          <w:rFonts w:ascii="Times New Roman" w:hAnsi="Times New Roman" w:cs="Times New Roman"/>
        </w:rPr>
        <w:t xml:space="preserve">epizodyczne, </w:t>
      </w:r>
      <w:r w:rsidR="00AB5784">
        <w:rPr>
          <w:rFonts w:ascii="Times New Roman" w:hAnsi="Times New Roman" w:cs="Times New Roman"/>
        </w:rPr>
        <w:t>przejściowe,</w:t>
      </w:r>
      <w:r w:rsidR="00E61AB6">
        <w:rPr>
          <w:rFonts w:ascii="Times New Roman" w:hAnsi="Times New Roman" w:cs="Times New Roman"/>
        </w:rPr>
        <w:t xml:space="preserve"> </w:t>
      </w:r>
      <w:r w:rsidR="00AB5784">
        <w:rPr>
          <w:rFonts w:ascii="Times New Roman" w:hAnsi="Times New Roman" w:cs="Times New Roman"/>
        </w:rPr>
        <w:t xml:space="preserve">dostosowujące i końcowe. </w:t>
      </w:r>
    </w:p>
    <w:p w14:paraId="2E8F98AA" w14:textId="0A89F3A2" w:rsidR="00311206" w:rsidRDefault="00311206" w:rsidP="002717E0">
      <w:pPr>
        <w:spacing w:after="12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wyjaśnienia przedstawiono w ocenie skutków regulacji stanowiącej załącznik do niniejszego uzasadnienia.</w:t>
      </w:r>
    </w:p>
    <w:p w14:paraId="14D6A422" w14:textId="05C4B7AF" w:rsidR="00416DE7" w:rsidRPr="00416DE7" w:rsidRDefault="00416DE7" w:rsidP="00416DE7">
      <w:pPr>
        <w:spacing w:line="360" w:lineRule="auto"/>
        <w:ind w:firstLine="510"/>
        <w:jc w:val="both"/>
        <w:rPr>
          <w:rFonts w:ascii="Times New Roman" w:hAnsi="Times New Roman" w:cs="Times New Roman"/>
        </w:rPr>
      </w:pPr>
      <w:r w:rsidRPr="00416DE7">
        <w:rPr>
          <w:rFonts w:ascii="Times New Roman" w:hAnsi="Times New Roman" w:cs="Times New Roman"/>
        </w:rPr>
        <w:t xml:space="preserve">Projekt ustawy nie wymaga przedstawienia właściwym instytucjom i organom Unii Europejskiej lub Europejskiemu Bankowi Centralnemu. </w:t>
      </w:r>
    </w:p>
    <w:p w14:paraId="09637569" w14:textId="4CA0B741" w:rsidR="00416DE7" w:rsidRPr="00416DE7" w:rsidRDefault="00416DE7" w:rsidP="00416DE7">
      <w:pPr>
        <w:spacing w:line="360" w:lineRule="auto"/>
        <w:ind w:firstLine="510"/>
        <w:jc w:val="both"/>
        <w:rPr>
          <w:rFonts w:ascii="Times New Roman" w:hAnsi="Times New Roman" w:cs="Times New Roman"/>
        </w:rPr>
      </w:pPr>
      <w:r w:rsidRPr="00416DE7">
        <w:rPr>
          <w:rFonts w:ascii="Times New Roman" w:hAnsi="Times New Roman" w:cs="Times New Roman"/>
        </w:rPr>
        <w:t>Stosownie do art. 5 ustawy z dnia 7 lipca 2005 r. o działalności lobbingowej w procesie stanowienia prawa (Dz. U. z 2017 r. poz. 248) projekt ustawy zostanie zamieszczony w</w:t>
      </w:r>
      <w:r w:rsidR="00985D4D">
        <w:rPr>
          <w:rFonts w:ascii="Times New Roman" w:hAnsi="Times New Roman" w:cs="Times New Roman"/>
        </w:rPr>
        <w:t> </w:t>
      </w:r>
      <w:r w:rsidRPr="00416DE7">
        <w:rPr>
          <w:rFonts w:ascii="Times New Roman" w:hAnsi="Times New Roman" w:cs="Times New Roman"/>
        </w:rPr>
        <w:t>Biuletynie Informacji Publicznej, na stronie podmiotowej Rządowego Centrum Legislacji, w serwisie Rządowy Proces Legislacyjny.</w:t>
      </w:r>
    </w:p>
    <w:p w14:paraId="4991F523" w14:textId="29D09DBE" w:rsidR="00416DE7" w:rsidRDefault="00416DE7" w:rsidP="00416DE7">
      <w:pPr>
        <w:spacing w:line="360" w:lineRule="auto"/>
        <w:ind w:firstLine="510"/>
        <w:jc w:val="both"/>
        <w:rPr>
          <w:rFonts w:ascii="Times New Roman" w:hAnsi="Times New Roman" w:cs="Times New Roman"/>
        </w:rPr>
      </w:pPr>
      <w:r w:rsidRPr="00416DE7">
        <w:rPr>
          <w:rFonts w:ascii="Times New Roman" w:hAnsi="Times New Roman" w:cs="Times New Roman"/>
        </w:rPr>
        <w:t>Projekt zawiera przepis</w:t>
      </w:r>
      <w:r>
        <w:rPr>
          <w:rFonts w:ascii="Times New Roman" w:hAnsi="Times New Roman" w:cs="Times New Roman"/>
        </w:rPr>
        <w:t>y</w:t>
      </w:r>
      <w:r w:rsidRPr="00416DE7">
        <w:rPr>
          <w:rFonts w:ascii="Times New Roman" w:hAnsi="Times New Roman" w:cs="Times New Roman"/>
        </w:rPr>
        <w:t xml:space="preserve"> techniczn</w:t>
      </w:r>
      <w:r>
        <w:rPr>
          <w:rFonts w:ascii="Times New Roman" w:hAnsi="Times New Roman" w:cs="Times New Roman"/>
        </w:rPr>
        <w:t>e</w:t>
      </w:r>
      <w:r w:rsidRPr="00416DE7">
        <w:rPr>
          <w:rFonts w:ascii="Times New Roman" w:hAnsi="Times New Roman" w:cs="Times New Roman"/>
        </w:rPr>
        <w:t xml:space="preserve"> w rozumieniu rozporządzenia Rady Ministrów z dnia 23 grudnia 2002 r. w sprawie sposobu funkcjonowania krajowego systemu notyfikacji norm i</w:t>
      </w:r>
      <w:r w:rsidR="00985D4D">
        <w:rPr>
          <w:rFonts w:ascii="Times New Roman" w:hAnsi="Times New Roman" w:cs="Times New Roman"/>
        </w:rPr>
        <w:t> </w:t>
      </w:r>
      <w:r w:rsidRPr="00416DE7">
        <w:rPr>
          <w:rFonts w:ascii="Times New Roman" w:hAnsi="Times New Roman" w:cs="Times New Roman"/>
        </w:rPr>
        <w:t>aktów prawnych (Dz. U. poz. 2039, z późn. zm.) i podlega notyfikacji technicznej Komisji Europejskiej.</w:t>
      </w:r>
    </w:p>
    <w:p w14:paraId="2A1FCAC7" w14:textId="1A132BEB" w:rsidR="002540AF" w:rsidRDefault="002540AF" w:rsidP="002540AF">
      <w:pPr>
        <w:pStyle w:val="ARTartustawynprozporzdzenia"/>
      </w:pPr>
      <w:r>
        <w:t>Z dniem 1 stycznia 2028 r. traci moc ustawa z dnia 13 czerwca 2013 r. o gospodarce opakowaniami i odpadami opakowaniowymi, przy czym:</w:t>
      </w:r>
    </w:p>
    <w:p w14:paraId="0ADFC871" w14:textId="77777777" w:rsidR="00746684" w:rsidRPr="00687291" w:rsidRDefault="00746684" w:rsidP="00746684">
      <w:pPr>
        <w:pStyle w:val="PKTpunkt"/>
      </w:pPr>
      <w:r>
        <w:t>1)</w:t>
      </w:r>
      <w:r>
        <w:tab/>
        <w:t>art. 3, art. 11 ust. 1, 3 i 4, art. 12–14, art. 21 ust. 9, art. 35 ust. 2, art. 56 ust. 1 pkt 2 i 4–4b</w:t>
      </w:r>
      <w:r w:rsidRPr="001D5233">
        <w:t xml:space="preserve"> </w:t>
      </w:r>
      <w:r>
        <w:t>tracą moc z dniem wejścia w życia niniejszej ustawy;</w:t>
      </w:r>
    </w:p>
    <w:p w14:paraId="461948E1" w14:textId="77777777" w:rsidR="00746684" w:rsidRPr="008F451C" w:rsidRDefault="00746684" w:rsidP="00746684">
      <w:pPr>
        <w:pStyle w:val="PKTpunkt"/>
      </w:pPr>
      <w:r>
        <w:t>2</w:t>
      </w:r>
      <w:r w:rsidRPr="008F451C">
        <w:t>)</w:t>
      </w:r>
      <w:r>
        <w:tab/>
        <w:t xml:space="preserve">art. 14a–14c, </w:t>
      </w:r>
      <w:r w:rsidRPr="008F451C">
        <w:t>art.</w:t>
      </w:r>
      <w:r>
        <w:t xml:space="preserve"> 21a, art. 34 ust. 1 w zakresie w jakim odwołuje się do art. 14a i 21a, art. 34 ust. 2b–2f, art. 35 ust. 1a, art. </w:t>
      </w:r>
      <w:r w:rsidRPr="008F451C">
        <w:t>40a</w:t>
      </w:r>
      <w:r>
        <w:t>-40p, art. 44, art. 56 ust. 1 pkt 10c–10q i 14–14j oraz część 5 i 6 załącznika nr 2 do ustawy</w:t>
      </w:r>
      <w:r w:rsidRPr="008F451C">
        <w:t xml:space="preserve"> tracą m</w:t>
      </w:r>
      <w:r>
        <w:t>oc z dniem 1 stycznia 2027 r.;</w:t>
      </w:r>
    </w:p>
    <w:p w14:paraId="530DB18F" w14:textId="77777777" w:rsidR="00746684" w:rsidRDefault="00746684" w:rsidP="00746684">
      <w:pPr>
        <w:pStyle w:val="PKTpunkt"/>
      </w:pPr>
      <w:r>
        <w:t>3)</w:t>
      </w:r>
      <w:r>
        <w:tab/>
        <w:t>art. 11 ust. 2 oraz art. 13, 14, art. 56 ust. 1 pkt 3, art. 57 pkt 1, art. 58 ust. 1, 4 i 5, w zakresie, w jakim przepisy te odnoszą się do art. 11 ust. 2, tracą moc z dniem 1 stycznia 2030 r. r.;</w:t>
      </w:r>
    </w:p>
    <w:p w14:paraId="4F61A246" w14:textId="77777777" w:rsidR="00746684" w:rsidRDefault="00746684" w:rsidP="00746684">
      <w:pPr>
        <w:pStyle w:val="PKTpunkt"/>
      </w:pPr>
      <w:r>
        <w:lastRenderedPageBreak/>
        <w:t>4)</w:t>
      </w:r>
      <w:r>
        <w:tab/>
        <w:t>art. 15 ust. 1-3 traci moc po upływie</w:t>
      </w:r>
      <w:r w:rsidRPr="00E921D8">
        <w:t xml:space="preserve"> 30 miesięcy od dnia wejścia w życie aktu wykonawczego przyjętego na podstawie art. 12 ust. 6 </w:t>
      </w:r>
      <w:r>
        <w:t>rozporządzenia nr 2025/40;</w:t>
      </w:r>
    </w:p>
    <w:p w14:paraId="6F9B43C6" w14:textId="77777777" w:rsidR="00746684" w:rsidRDefault="00746684" w:rsidP="00746684">
      <w:pPr>
        <w:pStyle w:val="PKTpunkt"/>
      </w:pPr>
      <w:r>
        <w:t>5)</w:t>
      </w:r>
      <w:r>
        <w:tab/>
        <w:t>art. 15 ust. 4 traci moc z dniem 12 sierpnia 2028 r.</w:t>
      </w:r>
    </w:p>
    <w:p w14:paraId="7F5CE15D" w14:textId="77777777" w:rsidR="00111E9B" w:rsidRDefault="002717E0" w:rsidP="002717E0">
      <w:pPr>
        <w:pStyle w:val="ARTartustawynprozporzdzenia"/>
      </w:pPr>
      <w:r>
        <w:rPr>
          <w:rFonts w:ascii="Times New Roman" w:hAnsi="Times New Roman" w:cs="Times New Roman"/>
        </w:rPr>
        <w:t xml:space="preserve">Ustawa wchodzi w życie </w:t>
      </w:r>
      <w:r>
        <w:t>w życie z dniem 12 sierpnia 2026 r., z wyjątkiem:</w:t>
      </w:r>
    </w:p>
    <w:p w14:paraId="308AF8C7" w14:textId="77777777" w:rsidR="00746684" w:rsidRDefault="00746684" w:rsidP="00746684">
      <w:pPr>
        <w:pStyle w:val="PKTpunkt"/>
      </w:pPr>
      <w:r>
        <w:t>1)</w:t>
      </w:r>
      <w:r>
        <w:tab/>
        <w:t>art. 55–71, art. 189 pkt 5, 6, 9 i 10, art. 195, art. 198-202, art. 205-207 i art. 213, które wchodzą w życie z dniem 1 stycznia 2026 r.;</w:t>
      </w:r>
    </w:p>
    <w:p w14:paraId="5E76ADA7" w14:textId="77777777" w:rsidR="00746684" w:rsidRDefault="00746684" w:rsidP="00746684">
      <w:pPr>
        <w:pStyle w:val="PKTpunkt"/>
      </w:pPr>
      <w:r>
        <w:t>2)</w:t>
      </w:r>
      <w:r>
        <w:tab/>
        <w:t>art. 12, 19–21, art. 22–37, 115, 116 ust. 1 i 3–6, art. 117–136, 156, 158–164, 173–180, art. 187 pkt 2 lit. b, pkt 7 i 8,</w:t>
      </w:r>
      <w:r w:rsidRPr="006260FF">
        <w:t xml:space="preserve"> art. 188</w:t>
      </w:r>
      <w:r>
        <w:t>, art. 196 i 197 oraz art. 203 i 204, które wchodzą w życie z dniem 1 stycznia 2027 r.;</w:t>
      </w:r>
    </w:p>
    <w:p w14:paraId="09F0C4D3" w14:textId="77777777" w:rsidR="00746684" w:rsidRPr="001D5233" w:rsidRDefault="00746684" w:rsidP="00746684">
      <w:pPr>
        <w:pStyle w:val="PKTpunkt"/>
      </w:pPr>
      <w:r>
        <w:t>3</w:t>
      </w:r>
      <w:r w:rsidRPr="001D5233">
        <w:t>)</w:t>
      </w:r>
      <w:r>
        <w:tab/>
      </w:r>
      <w:r w:rsidRPr="001D5233">
        <w:t xml:space="preserve">art. </w:t>
      </w:r>
      <w:r>
        <w:t xml:space="preserve">144 i 153 </w:t>
      </w:r>
      <w:r w:rsidRPr="001D5233">
        <w:t>które wchodzą w życie z dniem 12 lutego 2028 r.</w:t>
      </w:r>
      <w:r>
        <w:t>;</w:t>
      </w:r>
    </w:p>
    <w:p w14:paraId="74BB8E5E" w14:textId="77777777" w:rsidR="00746684" w:rsidRDefault="00746684" w:rsidP="00746684">
      <w:pPr>
        <w:pStyle w:val="PKTpunkt"/>
      </w:pPr>
      <w:r>
        <w:t>4</w:t>
      </w:r>
      <w:r w:rsidRPr="005137FC">
        <w:t>)</w:t>
      </w:r>
      <w:r>
        <w:tab/>
      </w:r>
      <w:r w:rsidRPr="005137FC">
        <w:t>art.</w:t>
      </w:r>
      <w:r>
        <w:t xml:space="preserve"> 38–45, art. 49–54, art. 72–73, art. 81–87, art. 93–109, art. 116 ust. 2, art. 165–172, 184–186, 191 pkt 2 lit. b, które wchodzą w życie z dniem 1 stycznia 2028 r.;</w:t>
      </w:r>
    </w:p>
    <w:p w14:paraId="5A51A36F" w14:textId="77777777" w:rsidR="00746684" w:rsidRDefault="00746684" w:rsidP="00746684">
      <w:pPr>
        <w:pStyle w:val="PKTpunkt"/>
      </w:pPr>
      <w:r>
        <w:t>5)</w:t>
      </w:r>
      <w:r>
        <w:tab/>
        <w:t xml:space="preserve">art. 137, 138 i art. 189 pkt 4 które wchodzą w życie z dniem </w:t>
      </w:r>
      <w:r w:rsidRPr="006A54F5">
        <w:t>12 sierpnia 2028 r. lub 24 miesiące od dnia wejścia w życie aktu wykonawczego przyjętego na podstawie</w:t>
      </w:r>
      <w:r>
        <w:t xml:space="preserve"> art. 12 </w:t>
      </w:r>
      <w:r w:rsidRPr="006A54F5">
        <w:t>ust.</w:t>
      </w:r>
      <w:r>
        <w:t> </w:t>
      </w:r>
      <w:r w:rsidRPr="006A54F5">
        <w:t xml:space="preserve">6 lub 7 </w:t>
      </w:r>
      <w:r>
        <w:t>rozporządzenia nr 2025/40</w:t>
      </w:r>
      <w:r w:rsidRPr="006A54F5">
        <w:t>,</w:t>
      </w:r>
      <w:r>
        <w:t xml:space="preserve"> </w:t>
      </w:r>
      <w:r w:rsidRPr="006A54F5">
        <w:t>w zależności od tego, która z tych dat jest</w:t>
      </w:r>
      <w:r>
        <w:t> </w:t>
      </w:r>
      <w:r w:rsidRPr="006A54F5">
        <w:t>późniejsza</w:t>
      </w:r>
      <w:r>
        <w:t>;</w:t>
      </w:r>
    </w:p>
    <w:p w14:paraId="08F7B9C3" w14:textId="77777777" w:rsidR="00746684" w:rsidRDefault="00746684" w:rsidP="00746684">
      <w:pPr>
        <w:pStyle w:val="PKTpunkt"/>
      </w:pPr>
      <w:r>
        <w:t>6</w:t>
      </w:r>
      <w:r w:rsidRPr="00292440">
        <w:t>)</w:t>
      </w:r>
      <w:r>
        <w:tab/>
      </w:r>
      <w:r w:rsidRPr="00292440">
        <w:t>pkt 10</w:t>
      </w:r>
      <w:r>
        <w:t>–</w:t>
      </w:r>
      <w:r w:rsidRPr="00292440">
        <w:t>15 załącznika nr 5 do ustawy, które wchodzą w życie z dniem 12 lutego 2029 r.</w:t>
      </w:r>
      <w:r>
        <w:t>;</w:t>
      </w:r>
    </w:p>
    <w:p w14:paraId="229E188D" w14:textId="77777777" w:rsidR="00746684" w:rsidRDefault="00746684" w:rsidP="00746684">
      <w:pPr>
        <w:pStyle w:val="PKTpunkt"/>
      </w:pPr>
      <w:r>
        <w:t>7)</w:t>
      </w:r>
      <w:r>
        <w:tab/>
        <w:t>art. 143, 145, 146 i 150–152 które wchodzą w życie z dniem 1 stycznia 2030 r.</w:t>
      </w:r>
    </w:p>
    <w:p w14:paraId="2936D864" w14:textId="2BE639D1" w:rsidR="00416DE7" w:rsidRPr="00DA6C79" w:rsidRDefault="00416DE7" w:rsidP="00416DE7">
      <w:pPr>
        <w:spacing w:line="360" w:lineRule="auto"/>
        <w:ind w:firstLine="510"/>
        <w:jc w:val="both"/>
        <w:rPr>
          <w:rFonts w:ascii="Times New Roman" w:hAnsi="Times New Roman" w:cs="Times New Roman"/>
        </w:rPr>
      </w:pPr>
      <w:r w:rsidRPr="00416DE7">
        <w:rPr>
          <w:rFonts w:ascii="Times New Roman" w:hAnsi="Times New Roman" w:cs="Times New Roman"/>
        </w:rPr>
        <w:t>Projekt jest zgodny z prawem Unii Europejskiej.</w:t>
      </w:r>
    </w:p>
    <w:sectPr w:rsidR="00416DE7" w:rsidRPr="00DA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67E9B" w14:textId="77777777" w:rsidR="006D6624" w:rsidRDefault="006D6624" w:rsidP="00AD7960">
      <w:pPr>
        <w:spacing w:after="0" w:line="240" w:lineRule="auto"/>
      </w:pPr>
      <w:r>
        <w:separator/>
      </w:r>
    </w:p>
  </w:endnote>
  <w:endnote w:type="continuationSeparator" w:id="0">
    <w:p w14:paraId="62B7C0DB" w14:textId="77777777" w:rsidR="006D6624" w:rsidRDefault="006D6624" w:rsidP="00AD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CB44A" w14:textId="77777777" w:rsidR="006D6624" w:rsidRDefault="006D6624" w:rsidP="00AD7960">
      <w:pPr>
        <w:spacing w:after="0" w:line="240" w:lineRule="auto"/>
      </w:pPr>
      <w:r>
        <w:separator/>
      </w:r>
    </w:p>
  </w:footnote>
  <w:footnote w:type="continuationSeparator" w:id="0">
    <w:p w14:paraId="5CEFAB54" w14:textId="77777777" w:rsidR="006D6624" w:rsidRDefault="006D6624" w:rsidP="00AD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CC8"/>
    <w:multiLevelType w:val="hybridMultilevel"/>
    <w:tmpl w:val="5E7AD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58D7"/>
    <w:multiLevelType w:val="hybridMultilevel"/>
    <w:tmpl w:val="F01E4356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C15361B"/>
    <w:multiLevelType w:val="hybridMultilevel"/>
    <w:tmpl w:val="B8169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31762"/>
    <w:multiLevelType w:val="hybridMultilevel"/>
    <w:tmpl w:val="8522F080"/>
    <w:lvl w:ilvl="0" w:tplc="04150011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4570165E"/>
    <w:multiLevelType w:val="hybridMultilevel"/>
    <w:tmpl w:val="A29E2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D2F1D"/>
    <w:multiLevelType w:val="hybridMultilevel"/>
    <w:tmpl w:val="6FE63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787464">
    <w:abstractNumId w:val="3"/>
  </w:num>
  <w:num w:numId="2" w16cid:durableId="460728987">
    <w:abstractNumId w:val="1"/>
  </w:num>
  <w:num w:numId="3" w16cid:durableId="137966694">
    <w:abstractNumId w:val="5"/>
  </w:num>
  <w:num w:numId="4" w16cid:durableId="1168250964">
    <w:abstractNumId w:val="0"/>
  </w:num>
  <w:num w:numId="5" w16cid:durableId="500395500">
    <w:abstractNumId w:val="4"/>
  </w:num>
  <w:num w:numId="6" w16cid:durableId="1444348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79"/>
    <w:rsid w:val="00032042"/>
    <w:rsid w:val="00037013"/>
    <w:rsid w:val="00065F03"/>
    <w:rsid w:val="00073CB7"/>
    <w:rsid w:val="00093A2D"/>
    <w:rsid w:val="00104606"/>
    <w:rsid w:val="00111E9B"/>
    <w:rsid w:val="001125A1"/>
    <w:rsid w:val="00154B87"/>
    <w:rsid w:val="001849D4"/>
    <w:rsid w:val="00184F66"/>
    <w:rsid w:val="001B2F3F"/>
    <w:rsid w:val="00217023"/>
    <w:rsid w:val="002540AF"/>
    <w:rsid w:val="00260EF0"/>
    <w:rsid w:val="002717E0"/>
    <w:rsid w:val="00292AD3"/>
    <w:rsid w:val="002D1D40"/>
    <w:rsid w:val="00311206"/>
    <w:rsid w:val="003C3101"/>
    <w:rsid w:val="00416DE7"/>
    <w:rsid w:val="00436614"/>
    <w:rsid w:val="00442100"/>
    <w:rsid w:val="00456716"/>
    <w:rsid w:val="004660D3"/>
    <w:rsid w:val="004A2DCE"/>
    <w:rsid w:val="004B7D91"/>
    <w:rsid w:val="004E7789"/>
    <w:rsid w:val="00520905"/>
    <w:rsid w:val="00531BA3"/>
    <w:rsid w:val="005B0BD7"/>
    <w:rsid w:val="005F468A"/>
    <w:rsid w:val="00620B7C"/>
    <w:rsid w:val="0062445D"/>
    <w:rsid w:val="006C62E9"/>
    <w:rsid w:val="006D6624"/>
    <w:rsid w:val="006F13D7"/>
    <w:rsid w:val="00704A43"/>
    <w:rsid w:val="00746684"/>
    <w:rsid w:val="00790DBB"/>
    <w:rsid w:val="007A7E91"/>
    <w:rsid w:val="007B4AB0"/>
    <w:rsid w:val="008B6FBE"/>
    <w:rsid w:val="008D0E69"/>
    <w:rsid w:val="008F7674"/>
    <w:rsid w:val="00900577"/>
    <w:rsid w:val="009216EF"/>
    <w:rsid w:val="00937A8F"/>
    <w:rsid w:val="00944DF5"/>
    <w:rsid w:val="00945505"/>
    <w:rsid w:val="009529BC"/>
    <w:rsid w:val="00953CF5"/>
    <w:rsid w:val="00985D4D"/>
    <w:rsid w:val="009A2EDB"/>
    <w:rsid w:val="009D02A1"/>
    <w:rsid w:val="009E305C"/>
    <w:rsid w:val="00A03FC6"/>
    <w:rsid w:val="00A34634"/>
    <w:rsid w:val="00A37EBD"/>
    <w:rsid w:val="00A46D51"/>
    <w:rsid w:val="00A759D3"/>
    <w:rsid w:val="00A84549"/>
    <w:rsid w:val="00AB5635"/>
    <w:rsid w:val="00AB5784"/>
    <w:rsid w:val="00AD648E"/>
    <w:rsid w:val="00AD7960"/>
    <w:rsid w:val="00B04A4E"/>
    <w:rsid w:val="00C14415"/>
    <w:rsid w:val="00C50CA3"/>
    <w:rsid w:val="00C67C32"/>
    <w:rsid w:val="00CC29B4"/>
    <w:rsid w:val="00CE0ABD"/>
    <w:rsid w:val="00D03A41"/>
    <w:rsid w:val="00D11FEA"/>
    <w:rsid w:val="00D6449B"/>
    <w:rsid w:val="00D7192A"/>
    <w:rsid w:val="00DA6C79"/>
    <w:rsid w:val="00DC3359"/>
    <w:rsid w:val="00DE52C2"/>
    <w:rsid w:val="00E61AB6"/>
    <w:rsid w:val="00EE0371"/>
    <w:rsid w:val="00F078A6"/>
    <w:rsid w:val="00F77759"/>
    <w:rsid w:val="00F8748D"/>
    <w:rsid w:val="00FA2C47"/>
    <w:rsid w:val="00FB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9288"/>
  <w15:chartTrackingRefBased/>
  <w15:docId w15:val="{E2EA9C67-F970-467B-96D5-2D428EE1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6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6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6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6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6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6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6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6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6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6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6C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6C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6C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6C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6C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6C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6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6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6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6C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6C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6C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6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6C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6C79"/>
    <w:rPr>
      <w:b/>
      <w:bCs/>
      <w:smallCaps/>
      <w:color w:val="0F4761" w:themeColor="accent1" w:themeShade="BF"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DA6C7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Times"/>
      <w:kern w:val="0"/>
      <w:szCs w:val="20"/>
      <w:lang w:eastAsia="pl-PL"/>
      <w14:ligatures w14:val="none"/>
    </w:rPr>
  </w:style>
  <w:style w:type="paragraph" w:customStyle="1" w:styleId="PKTpunkt">
    <w:name w:val="PKT – punkt"/>
    <w:uiPriority w:val="16"/>
    <w:qFormat/>
    <w:rsid w:val="002540A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3C3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2248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Muniak Joanna</dc:creator>
  <cp:keywords/>
  <dc:description/>
  <cp:lastModifiedBy>Mariański Piotr</cp:lastModifiedBy>
  <cp:revision>2</cp:revision>
  <dcterms:created xsi:type="dcterms:W3CDTF">2025-08-13T09:29:00Z</dcterms:created>
  <dcterms:modified xsi:type="dcterms:W3CDTF">2025-08-13T09:29:00Z</dcterms:modified>
</cp:coreProperties>
</file>